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 w:rsidR="1">
      <w:pPr>
        <w:pStyle w:val="Title"/>
      </w:pPr>
      <w:r>
        <w:t>产品变更申请单</w:t>
      </w:r>
    </w:p>
    <w:p>
      <w:pPr>
        <w:pStyle w:val="Small"/>
      </w:pPr>
      <w:r>
        <w:t>质量层回归样本 · RFC-QL-2026-017 · 评审版本 v1.2</w:t>
      </w:r>
    </w:p>
    <w:tbl>
      <w:tblPr>
        <w:tblW w:w="9360" w:type="dxa"/>
        <w:tblInd w:w="120" w:type="dxa"/>
        <w:tblBorders>
          <w:top w:val="single" w:sz="6" w:color="D9E2F0"/>
          <w:left w:val="single" w:sz="6" w:color="D9E2F0"/>
          <w:bottom w:val="single" w:sz="6" w:color="D9E2F0"/>
          <w:right w:val="single" w:sz="6" w:color="D9E2F0"/>
          <w:insideH w:val="single" w:sz="4" w:color="E5E7EB"/>
          <w:insideV w:val="single" w:sz="4" w:color="E5E7EB"/>
        </w:tblBorders>
        <w:tblLayout w:type="fixed"/>
      </w:tblPr>
      <w:tblGrid>
        <w:gridCol w:w="2700"/>
        <w:gridCol w:w="6660"/>
      </w:tblGrid>
      <w:tr>
        <w:tc>
          <w:tcPr>
            <w:tcW w:w="2700" w:type="dxa"/>
            <w:shd w:fill="F2F4F7"/>
          </w:tcPr>
          <w:p>
            <w:r>
              <w:rPr>
                <w:b/>
              </w:rPr>
              <w:t>申请编号</w:t>
            </w:r>
          </w:p>
        </w:tc>
        <w:tc>
          <w:tcPr>
            <w:tcW w:w="6660" w:type="dxa"/>
          </w:tcPr>
          <w:p>
            <w:r>
              <w:t>RFC-QL-2026-017</w:t>
            </w:r>
          </w:p>
        </w:tc>
      </w:tr>
      <w:tr>
        <w:tc>
          <w:tcPr>
            <w:tcW w:w="2700" w:type="dxa"/>
            <w:shd w:fill="F2F4F7"/>
          </w:tcPr>
          <w:p>
            <w:r>
              <w:rPr>
                <w:b/>
              </w:rPr>
              <w:t>变更主题</w:t>
            </w:r>
          </w:p>
        </w:tc>
        <w:tc>
          <w:tcPr>
            <w:tcW w:w="6660" w:type="dxa"/>
          </w:tcPr>
          <w:p>
            <w:r>
              <w:t>为跨页表格和引用解析增加证据状态字段</w:t>
            </w:r>
          </w:p>
        </w:tc>
      </w:tr>
      <w:tr>
        <w:tc>
          <w:tcPr>
            <w:tcW w:w="2700" w:type="dxa"/>
            <w:shd w:fill="F2F4F7"/>
          </w:tcPr>
          <w:p>
            <w:r>
              <w:rPr>
                <w:b/>
              </w:rPr>
              <w:t>申请人 / 负责人</w:t>
            </w:r>
          </w:p>
        </w:tc>
        <w:tc>
          <w:tcPr>
            <w:tcW w:w="6660" w:type="dxa"/>
          </w:tcPr>
          <w:p>
            <w:r>
              <w:t>林若川 / 文档智能平台组</w:t>
            </w:r>
          </w:p>
        </w:tc>
      </w:tr>
      <w:tr>
        <w:tc>
          <w:tcPr>
            <w:tcW w:w="2700" w:type="dxa"/>
            <w:shd w:fill="F2F4F7"/>
          </w:tcPr>
          <w:p>
            <w:r>
              <w:rPr>
                <w:b/>
              </w:rPr>
              <w:t>优先级 / 目标版本</w:t>
            </w:r>
          </w:p>
        </w:tc>
        <w:tc>
          <w:tcPr>
            <w:tcW w:w="6660" w:type="dxa"/>
          </w:tcPr>
          <w:p>
            <w:r>
              <w:t>High / parser-gateway 2.5.0</w:t>
            </w:r>
          </w:p>
        </w:tc>
      </w:tr>
    </w:tbl>
    <w:tbl>
      <w:tblPr>
        <w:tblW w:w="9360" w:type="dxa"/>
        <w:tblInd w:w="120" w:type="dxa"/>
        <w:tblBorders>
          <w:top w:val="single" w:sz="8" w:color="9DB7D3"/>
          <w:left w:val="single" w:sz="8" w:color="9DB7D3"/>
          <w:bottom w:val="single" w:sz="8" w:color="9DB7D3"/>
          <w:right w:val="single" w:sz="8" w:color="9DB7D3"/>
        </w:tblBorders>
        <w:tblLayout w:type="fixed"/>
      </w:tblPr>
      <w:tblGrid>
        <w:gridCol w:w="9360"/>
      </w:tblGrid>
      <w:tr>
        <w:tc>
          <w:tcPr>
            <w:tcW w:w="9360" w:type="dxa"/>
            <w:shd w:fill="E8EEF5"/>
          </w:tcPr>
          <w:p>
            <w:r>
              <w:rPr>
                <w:b/>
                <w:color w:val="0B2545"/>
              </w:rPr>
              <w:t>变更摘要：</w:t>
            </w:r>
            <w:r>
              <w:t>质量层当前只能返回 verified 或 rejected。面对续表表头缺失、作者年式引用多候选等情况，系统需要保留原始证据、候选集合和人工复核状态，避免自动绑定造成知识库污染。</w:t>
            </w:r>
          </w:p>
        </w:tc>
      </w:tr>
    </w:tbl>
    <w:p>
      <w:pPr>
        <w:pStyle w:val="Heading1"/>
      </w:pPr>
      <w:r>
        <w:t>1. 变更内容</w:t>
      </w:r>
    </w:p>
    <w:p>
      <w:r>
        <w:t>本次变更涉及解析结果 schema、表格结构恢复和引用定位三个模块。新增 resolution_state、evidence_refs 和 candidate_targets 字段；当证据不足时，质量层将结果置为 manual_review_required，并向标注队列发送原始页面截图和解析版本。</w:t>
      </w:r>
    </w:p>
    <w:p>
      <w:pPr>
        <w:pStyle w:val="Heading2"/>
      </w:pPr>
      <w:r>
        <w:t>影响范围</w:t>
      </w:r>
    </w:p>
    <w:p>
      <w:pPr>
        <w:numPr>
          <w:ilvl w:val="0"/>
          <w:numId w:val="1"/>
        </w:numPr>
      </w:pPr>
      <w:r>
        <w:t>解析 API：v2/parse 和 v2/replay 的响应增加可选字段，不破坏旧客户端。</w:t>
      </w:r>
    </w:p>
    <w:p>
      <w:pPr>
        <w:numPr>
          <w:ilvl w:val="0"/>
          <w:numId w:val="1"/>
        </w:numPr>
      </w:pPr>
      <w:r>
        <w:t>质量队列：新增 ambiguous_reference 和 cross_page_table 两类任务。</w:t>
      </w:r>
    </w:p>
    <w:p>
      <w:pPr>
        <w:numPr>
          <w:ilvl w:val="0"/>
          <w:numId w:val="1"/>
        </w:numPr>
      </w:pPr>
      <w:r>
        <w:t>下游索引：仅接收 verified 关系，其他状态保留在待处理索引。</w:t>
      </w:r>
    </w:p>
    <w:p>
      <w:pPr>
        <w:pStyle w:val="Heading1"/>
        <w:pageBreakBefore/>
      </w:pPr>
      <w:r>
        <w:t>2. 验收标准</w:t>
      </w:r>
    </w:p>
    <w:tbl>
      <w:tblPr>
        <w:tblW w:w="9360" w:type="dxa"/>
        <w:tblInd w:w="120" w:type="dxa"/>
        <w:tblBorders>
          <w:top w:val="single" w:sz="6" w:color="B8C6D6"/>
          <w:left w:val="single" w:sz="6" w:color="B8C6D6"/>
          <w:bottom w:val="single" w:sz="6" w:color="B8C6D6"/>
          <w:right w:val="single" w:sz="6" w:color="B8C6D6"/>
          <w:insideH w:val="single" w:sz="4" w:color="D9E2F0"/>
          <w:insideV w:val="single" w:sz="4" w:color="D9E2F0"/>
        </w:tblBorders>
        <w:tblLayout w:type="fixed"/>
      </w:tblPr>
      <w:tblGrid>
        <w:gridCol w:w="900"/>
        <w:gridCol w:w="3500"/>
        <w:gridCol w:w="3460"/>
        <w:gridCol w:w="1500"/>
      </w:tblGrid>
      <w:tr>
        <w:trPr>
          <w:tblHeader/>
        </w:trPr>
        <w:tc>
          <w:tcPr>
            <w:tcW w:w="900" w:type="dxa"/>
            <w:shd w:fill="F2F4F7"/>
          </w:tcPr>
          <w:p>
            <w:r>
              <w:rPr>
                <w:b/>
              </w:rPr>
              <w:t>ID</w:t>
            </w:r>
          </w:p>
        </w:tc>
        <w:tc>
          <w:tcPr>
            <w:tcW w:w="3500" w:type="dxa"/>
            <w:shd w:fill="F2F4F7"/>
          </w:tcPr>
          <w:p>
            <w:r>
              <w:rPr>
                <w:b/>
              </w:rPr>
              <w:t>验收项</w:t>
            </w:r>
          </w:p>
        </w:tc>
        <w:tc>
          <w:tcPr>
            <w:tcW w:w="3460" w:type="dxa"/>
            <w:shd w:fill="F2F4F7"/>
          </w:tcPr>
          <w:p>
            <w:r>
              <w:rPr>
                <w:b/>
              </w:rPr>
              <w:t>通过条件</w:t>
            </w:r>
          </w:p>
        </w:tc>
        <w:tc>
          <w:tcPr>
            <w:tcW w:w="1500" w:type="dxa"/>
            <w:shd w:fill="F2F4F7"/>
          </w:tcPr>
          <w:p>
            <w:r>
              <w:rPr>
                <w:b/>
              </w:rPr>
              <w:t>负责人</w:t>
            </w:r>
          </w:p>
        </w:tc>
      </w:tr>
      <w:tr>
        <w:tc>
          <w:tcPr>
            <w:tcW w:w="900" w:type="dxa"/>
          </w:tcPr>
          <w:p>
            <w:r>
              <w:t>A1</w:t>
            </w:r>
          </w:p>
        </w:tc>
        <w:tc>
          <w:tcPr>
            <w:tcW w:w="3500" w:type="dxa"/>
          </w:tcPr>
          <w:p>
            <w:r>
              <w:t>跨页表格续表</w:t>
            </w:r>
          </w:p>
        </w:tc>
        <w:tc>
          <w:tcPr>
            <w:tcW w:w="3460" w:type="dxa"/>
          </w:tcPr>
          <w:p>
            <w:r>
              <w:t>继承列名并保留 continuation_of 关系</w:t>
            </w:r>
          </w:p>
        </w:tc>
        <w:tc>
          <w:tcPr>
            <w:tcW w:w="1500" w:type="dxa"/>
          </w:tcPr>
          <w:p>
            <w:r>
              <w:t>表格算法</w:t>
            </w:r>
          </w:p>
        </w:tc>
      </w:tr>
      <w:tr>
        <w:tc>
          <w:tcPr>
            <w:tcW w:w="900" w:type="dxa"/>
          </w:tcPr>
          <w:p>
            <w:r>
              <w:t>A2</w:t>
            </w:r>
          </w:p>
        </w:tc>
        <w:tc>
          <w:tcPr>
            <w:tcW w:w="3500" w:type="dxa"/>
          </w:tcPr>
          <w:p>
            <w:r>
              <w:t>引用多候选</w:t>
            </w:r>
          </w:p>
        </w:tc>
        <w:tc>
          <w:tcPr>
            <w:tcW w:w="3460" w:type="dxa"/>
          </w:tcPr>
          <w:p>
            <w:r>
              <w:t>返回 manual_review_required，不自动绑定</w:t>
            </w:r>
          </w:p>
        </w:tc>
        <w:tc>
          <w:tcPr>
            <w:tcW w:w="1500" w:type="dxa"/>
          </w:tcPr>
          <w:p>
            <w:r>
              <w:t>质量层</w:t>
            </w:r>
          </w:p>
        </w:tc>
      </w:tr>
      <w:tr>
        <w:tc>
          <w:tcPr>
            <w:tcW w:w="900" w:type="dxa"/>
          </w:tcPr>
          <w:p>
            <w:r>
              <w:t>A3</w:t>
            </w:r>
          </w:p>
        </w:tc>
        <w:tc>
          <w:tcPr>
            <w:tcW w:w="3500" w:type="dxa"/>
          </w:tcPr>
          <w:p>
            <w:r>
              <w:t>旧客户端兼容</w:t>
            </w:r>
          </w:p>
        </w:tc>
        <w:tc>
          <w:tcPr>
            <w:tcW w:w="3460" w:type="dxa"/>
          </w:tcPr>
          <w:p>
            <w:r>
              <w:t>未读取新字段时行为与 2.4.0 一致</w:t>
            </w:r>
          </w:p>
        </w:tc>
        <w:tc>
          <w:tcPr>
            <w:tcW w:w="1500" w:type="dxa"/>
          </w:tcPr>
          <w:p>
            <w:r>
              <w:t>API 组</w:t>
            </w:r>
          </w:p>
        </w:tc>
      </w:tr>
    </w:tbl>
    <w:p>
      <w:pPr>
        <w:pStyle w:val="Heading1"/>
      </w:pPr>
      <w:r>
        <w:t>3. 风险与回滚</w:t>
      </w:r>
    </w:p>
    <w:p>
      <w:r>
        <w:t>主要风险是字段数量增加导致索引映射遗漏，以及人工复核队列短期积压。发布前在 staging 回放 12 份共享开发文件集；若 verified 关系准确率下降超过 2 个百分点，立即切回 2.4.0 解析器，并保留新字段以便后续重放。</w:t>
      </w:r>
    </w:p>
    <w:p>
      <w:pPr>
        <w:pStyle w:val="Heading2"/>
      </w:pPr>
      <w:r>
        <w:t>审批记录</w:t>
      </w:r>
    </w:p>
    <w:p>
      <w:r>
        <w:t>产品：待评审　　算法：周海（已确认）　　平台：陈晨（待确认）　　计划发布时间：2026-08-24 22:00--23:00</w:t>
      </w:r>
    </w:p>
    <w:sectPr>
      <w:headerReference w:type="default" r:id="rId1"/>
      <w:footerReference w:type="default" r:id="rId2"/>
      <w:pgSz w:w="12240" w:h="15840"/>
      <w:pgMar w:top="1440" w:right="1440" w:bottom="1440" w:left="1440" w:header="708" w:footer="708"/>
      <w:cols w:space="720"/>
    </w:sectPr>
  </w:body>
</w:document>
</file>

<file path=word/footer1.xml><?xml version="1.0" encoding="utf-8"?>
<w:ftr xmlns:w="http://schemas.openxmlformats.org/wordprocessingml/2006/main">
  <w:p>
    <w:pPr>
      <w:jc w:val="right"/>
    </w:pPr>
    <w:r>
      <w:rPr>
        <w:sz w:val="16"/>
        <w:color w:val="6B7280"/>
      </w:rPr>
      <w:t>内部评审稿 · 2026-08-17</w:t>
    </w:r>
  </w:p>
</w:ftr>
</file>

<file path=word/header1.xml><?xml version="1.0" encoding="utf-8"?>
<w:hdr xmlns:w="http://schemas.openxmlformats.org/wordprocessingml/2006/main">
  <w:p>
    <w:pPr>
      <w:jc w:val="right"/>
    </w:pPr>
    <w:r>
      <w:rPr>
        <w:sz w:val="16"/>
        <w:color w:val="6B7280"/>
      </w:rPr>
      <w:t>LLMwiki · 产品变更流程</w:t>
    </w: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percent="10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color w:val="1F1F1F"/>
      </w:rPr>
    </w:rPrDefault>
    <w:pPrDefault>
      <w:pPr>
        <w:spacing w:after="120" w:line="264" w:lineRule="auto"/>
      </w:pPr>
    </w:pPrDefault>
  </w:docDefaults>
  <w:style w:type="paragraph" w:styleId="Normal">
    <w:name w:val="Normal"/>
    <w:pPr>
      <w:spacing w:after="120" w:line="264" w:lineRule="auto"/>
    </w:pPr>
    <w:rPr>
      <w:rFonts w:ascii="Calibri" w:hAnsi="Calibri"/>
      <w:sz w:val="22"/>
    </w:rPr>
  </w:style>
  <w:style w:type="paragraph" w:styleId="Title">
    <w:name w:val="Title"/>
    <w:pPr>
      <w:spacing w:after="160"/>
      <w:jc w:val="left"/>
    </w:pPr>
    <w:rPr>
      <w:rFonts w:ascii="Calibri" w:hAnsi="Calibri"/>
      <w:b/>
      <w:sz w:val="36"/>
      <w:color w:val="0B2545"/>
    </w:rPr>
  </w:style>
  <w:style w:type="paragraph" w:styleId="Heading1">
    <w:name w:val="heading 1"/>
    <w:pPr>
      <w:keepNext/>
      <w:spacing w:before="320" w:after="160"/>
    </w:pPr>
    <w:rPr>
      <w:b/>
      <w:sz w:val="32"/>
      <w:color w:val="2E74B5"/>
    </w:rPr>
  </w:style>
  <w:style w:type="paragraph" w:styleId="Heading2">
    <w:name w:val="heading 2"/>
    <w:pPr>
      <w:keepNext/>
      <w:spacing w:before="240" w:after="120"/>
    </w:pPr>
    <w:rPr>
      <w:b/>
      <w:sz w:val="26"/>
      <w:color w:val="2E74B5"/>
    </w:rPr>
  </w:style>
  <w:style w:type="paragraph" w:styleId="Small">
    <w:name w:val="Small"/>
    <w:rPr>
      <w:sz w:val="18"/>
      <w:color w:val="66666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eader" Target="header1.xml"/><Relationship Id="rId2" Type="http://schemas.openxmlformats.org/officeDocument/2006/relationships/footer" Target="footer1.xml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>
  <dc:title>产品变更申请单：解析质量层回归样本</dc:title>
  <dc:creator>文档智能平台组</dc:creator>
  <cp:lastModifiedBy>文档智能平台组</cp:lastModifiedBy>
</cp:coreProperties>
</file>