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Microsoft YaHei" w:hAnsi="Microsoft YaHei" w:eastAsia="Microsoft YaHei"/>
          <w:b/>
          <w:sz w:val="34"/>
        </w:rPr>
        <w:t>LLM Wiki 文档解析与下游串联——阶段结论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3"/>
        </w:rPr>
        <w:t>核心结论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19"/>
        </w:rPr>
        <w:t>一、架构由“单工具脚本”升级为 DDD 松耦合平台｜朱恩铄</w:t>
      </w:r>
    </w:p>
    <w:p>
      <w:r>
        <w:t>系统划分为触发入口、应用编排、领域核心、基础设施适配器和下游 Wiki 五部分。领域核心定义统一文档、能力路由、质量治理和来源生命周期等稳定规则；网页、命令行、文件夹监听、解析模型、磁盘存储和 Wiki 都位于核心之外。基础设施层实现领域层定义的接口，并通过依赖注入进入应用流程，依赖方向由外向内，避免核心反向依赖框架或厂商。</w:t>
      </w:r>
    </w:p>
    <w:p>
      <w:r>
        <w:t>该设计带来四项收益：新增解析器只增加适配器，不修改核心业务；网页、命令行和文件夹触发共用同一应用用例；质量层只处理统一文档，不为不同模型重复写规则；下游只消费稳定交付包，不理解 MinerU、Docling 等私有格式。新增、修改、移动、删除、内容未变和失败重试均有稳定来源编号、解析版本和事件记录；全量自动化回归 254 项通过、1 项预期失败。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19"/>
        </w:rPr>
        <w:t>二、路由从“MinerU 全支持”升级为“按能力全支持”｜张云雅</w:t>
      </w:r>
    </w:p>
    <w:p>
      <w:r>
        <w:t>实测数据来自 allin6，按“数据集类别 + 文档目录”对齐为 224 份逻辑来源，包括 PDF 125、新版 Office 50、旧版 Office 49。MinerU 单工具可以覆盖 224/224，按逐文件明细约耗时 7701.2 秒；质量优先路由将复杂 PDF 交给 MinerU、新版 Office 交给 Docling、旧版 Office 交给 AnyDoc，同样覆盖 224/224，约耗时 5128.829 秒，本批总时间减少约 33.4%。</w:t>
      </w:r>
    </w:p>
    <w:p>
      <w:r>
        <w:t>路由价值不只是提速，而是根据 OCR、图片、复杂版面、表格结构和格式兼容性选择能力：MinerU 保障复杂 PDF，Docling 承担新版 Office 的结构化解析，AnyDoc 承担轻量和旧版 Office 快速转换；工具不可用时按能力声明降级。Firecrawl 可作为网页来源适配器，输入 URL 后输出 Markdown、HTML、链接、图片或结构化数据，无需改变领域核心。不同工具硬件与调用管线并非完全一致，因此 33.4% 是当前数据集的工程结果，不作为跨环境固定性能承诺。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19"/>
        </w:rPr>
        <w:t>三、质量层由“结果检查”升级为“可追踪的安全治理”｜叶耀华</w:t>
      </w:r>
    </w:p>
    <w:p>
      <w:r>
        <w:t>四模型共回放 777 个输出单元，756 个非空、21 个为空，回放无脚本错误。质量层改写 172 个单元，执行 1450 次白名单修复：行尾空白清理 132 次、Markdown 表格分隔行对齐 9 次、MinerU HTML 表格转换 1309 次；另有 2 个表格因不能唯一定位而拒绝自动替换。</w:t>
      </w:r>
    </w:p>
    <w:p>
      <w:r>
        <w:t>修复前后均执行完整诊断，最终形成 726 个带警告通过、51 个拒绝交付。质量层不补写 OCR、不猜正文、不重排不确定阅读顺序、不臆造表格单元格；所有问题、实际修复、已解决问题、拒绝修复和准入状态都写入质量报告。正式输出为 optimized.md 和 quality_package.json，既保证 Wiki 可消费，也保证修改可解释、可复检。</w:t>
      </w:r>
    </w:p>
    <w:p>
      <w:r>
        <w:br w:type="page"/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3"/>
        </w:rPr>
        <w:t>演示与串联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19"/>
        </w:rPr>
        <w:t>四、比赛数据集已经形成正式解析侧交付</w:t>
      </w:r>
    </w:p>
    <w:p>
      <w:r>
        <w:t>allin6 四个解析结果目录中的 224 个逻辑来源已经完成多模型校验、候选选优和正式包物化。选中分布为 MinerU 213、Docling 8、AnyDoc 3；46 个来源至少有一个候选被质量门拒绝，并自动选择其他可用结果。最终形成 224 个正式包，每包包含统一文档、优化正文、质量报告、资源目录和交付记录；共物化 8471 张正文实际引用图片，最终拒绝数 0、悬空本地图片引用 0、必需文件缺失 0。</w:t>
      </w:r>
    </w:p>
    <w:p>
      <w:r>
        <w:t>这里的“完成”是解析侧已经准备好可验证数据源，不等于 Wiki 已上线。历史数据来自已保存的模型结果，缺失的真实页码、坐标和 OCR 不会被补造；需要更强证据的样本必须导入解析器原生产物或重新解析。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19"/>
        </w:rPr>
        <w:t>五、多模态采用“文件、语义和证据关系分离”的统一契约｜朱恩铄、杨欣川</w:t>
      </w:r>
    </w:p>
    <w:p>
      <w:r>
        <w:t>图片原文件、PDF 原有图注、OCR 文本、VLM Caption 和视觉结论分别保存，避免互相覆盖。图片通过稳定资源编号关联内容块和检索 Chunk；页码、坐标、页面尺寸、坐标系、模型版本、提示词版本和证据状态均可追溯。每张图片固定保留 Caption 与 OCR 两个结果槽；未执行、识别不清、调用失败或缺失都有明确状态，非 ready 结果不得进入检索。</w:t>
      </w:r>
    </w:p>
    <w:p>
      <w:r>
        <w:t>双方字段映射已经落地，当前只剩两个接口细节需要确认：归一化坐标与 pt 页面尺寸的换算语义；结构化表格 rows、cells、跨行跨列和表头的稳定 Schema。随后由质量层确认 OCR 置信度、视觉推断和资源异常对应的警告、复核或拒绝阈值。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19"/>
        </w:rPr>
        <w:t>六、下游通过适配器消费，不与解析内部实现耦合｜朱恩铄</w:t>
      </w:r>
    </w:p>
    <w:p>
      <w:r>
        <w:t>解析服务只向下游发布质量通过的 Markdown、真实图片资源和质量/来源元数据。adapter 会验证文档身份、质量状态、非空正文、资源安全路径及 SHA-256，重写 Wiki 图片引用；来源删除时撤回对应正文。姚丞韬的 Wiki 只监听自己的 raw/sources，再执行知识构建、索引、图谱和问答，不直接调用 MinerU，也不读取解析器私有 JSON。</w:t>
      </w:r>
    </w:p>
    <w:p>
      <w:r>
        <w:t>接入代码已推送至 chengtyao2-design/mobilework 的 codex/document-parser-integration 分支。当前可确认的是解析侧数据包、接入入口和契约已经准备完成；最终发布目录、Wiki 实际消费字段、资源大小限制以及端到端上线状态，以真实联调和验收为准。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19"/>
        </w:rPr>
        <w:t>七、整体阶段判断</w:t>
      </w:r>
    </w:p>
    <w:p>
      <w:r>
        <w:t>文档解析、路由、质量治理、数据集正式包、生命周期核心能力和下游桥接代码已经完成。剩余工作集中在多模态两个字段细节、质量门阈值以及下游实际消费验收，不再是架构级重构或大块解析开发。</w:t>
      </w:r>
    </w:p>
    <w:sectPr w:rsidR="00FC693F" w:rsidRPr="0006063C" w:rsidSect="00034616">
      <w:pgSz w:w="12240" w:h="15840"/>
      <w:pgMar w:top="709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下午展示-两页结论</dc:title>
  <dc:subject/>
  <dc:creator>朱恩铄、张云雅、叶耀华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