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14B62" w14:textId="0098D8D3" w:rsidR="000E50B2" w:rsidRPr="000E50B2" w:rsidRDefault="000E50B2" w:rsidP="000E50B2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</w:pPr>
      <w:r w:rsidRPr="00BF1380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1</w:t>
      </w:r>
      <w:r w:rsidRPr="00BF1380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、</w:t>
      </w:r>
      <w:r w:rsidRPr="000E50B2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简要描述一下气体放电和等离子体中常见的概念以及物理意义，比如德拜长度、鞘层、等离子体频率等。</w:t>
      </w:r>
    </w:p>
    <w:p w14:paraId="0235B21E" w14:textId="77777777" w:rsidR="000E50B2" w:rsidRPr="000E50B2" w:rsidRDefault="000E50B2" w:rsidP="000E50B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0E50B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等离子体定义</w:t>
      </w:r>
      <w:r w:rsidRPr="000E50B2">
        <w:rPr>
          <w:rFonts w:ascii="Times New Roman" w:eastAsia="宋体" w:hAnsi="Times New Roman" w:cs="Times New Roman"/>
          <w:color w:val="333333"/>
          <w:kern w:val="0"/>
          <w:szCs w:val="21"/>
        </w:rPr>
        <w:t>：等离子体是由大量且等量的正负电荷和中性粒子组成的表现</w:t>
      </w:r>
      <w:proofErr w:type="gramStart"/>
      <w:r w:rsidRPr="000E50B2">
        <w:rPr>
          <w:rFonts w:ascii="Times New Roman" w:eastAsia="宋体" w:hAnsi="Times New Roman" w:cs="Times New Roman"/>
          <w:color w:val="333333"/>
          <w:kern w:val="0"/>
          <w:szCs w:val="21"/>
        </w:rPr>
        <w:t>出集体</w:t>
      </w:r>
      <w:proofErr w:type="gramEnd"/>
      <w:r w:rsidRPr="000E50B2">
        <w:rPr>
          <w:rFonts w:ascii="Times New Roman" w:eastAsia="宋体" w:hAnsi="Times New Roman" w:cs="Times New Roman"/>
          <w:color w:val="333333"/>
          <w:kern w:val="0"/>
          <w:szCs w:val="21"/>
        </w:rPr>
        <w:t>行为的一种准中性气体，一般也称之为物质的第四态。其中，准中性强调的是等离子体中的含有等量的正电荷和负电荷，集体行为是说如果在等离子体中某处受到干扰，会导致局部的电荷运动，正负电荷的局部分离会产生电场，电荷运动产生的电流也会产生磁场，然后这些场会影响其他部位带电粒子的运动，最终表现出一种集体的振荡行为。可以根据等离子体判据判定等离子体是否是等离子体：</w:t>
      </w:r>
    </w:p>
    <w:p w14:paraId="182BB1CE" w14:textId="2CBD1D2E" w:rsidR="000E50B2" w:rsidRPr="00BF1380" w:rsidRDefault="00BF1380" w:rsidP="00BF1380">
      <w:pPr>
        <w:widowControl/>
        <w:spacing w:before="100" w:beforeAutospacing="1" w:after="100" w:afterAutospacing="1"/>
        <w:ind w:left="720"/>
        <w:jc w:val="righ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         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333333"/>
                <w:kern w:val="0"/>
                <w:szCs w:val="21"/>
              </w:rPr>
              <m:t>λ</m:t>
            </m:r>
            <m:ctrlPr>
              <w:rPr>
                <w:rFonts w:ascii="Cambria Math" w:eastAsia="宋体" w:hAnsi="Cambria Math" w:cs="Times New Roman"/>
                <w:color w:val="333333"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Times New Roman"/>
                <w:color w:val="333333"/>
                <w:kern w:val="0"/>
                <w:szCs w:val="21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333333"/>
            <w:kern w:val="0"/>
            <w:szCs w:val="21"/>
          </w:rPr>
          <m:t>≪</m:t>
        </m:r>
        <m:r>
          <w:rPr>
            <w:rFonts w:ascii="Cambria Math" w:eastAsia="宋体" w:hAnsi="Cambria Math" w:cs="Times New Roman"/>
            <w:color w:val="333333"/>
            <w:kern w:val="0"/>
            <w:szCs w:val="21"/>
          </w:rPr>
          <m:t>L</m:t>
        </m:r>
      </m:oMath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               (1)</w:t>
      </w:r>
    </w:p>
    <w:p w14:paraId="231FEC9A" w14:textId="691DBFF8" w:rsidR="000E50B2" w:rsidRPr="00BF1380" w:rsidRDefault="00BF1380" w:rsidP="00BF1380">
      <w:pPr>
        <w:widowControl/>
        <w:spacing w:before="100" w:beforeAutospacing="1" w:after="100" w:afterAutospacing="1"/>
        <w:ind w:left="720"/>
        <w:jc w:val="righ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                   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333333"/>
                <w:kern w:val="0"/>
                <w:szCs w:val="21"/>
              </w:rPr>
              <m:t>N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333333"/>
            <w:kern w:val="0"/>
            <w:szCs w:val="21"/>
          </w:rPr>
          <m:t>≫</m:t>
        </m:r>
        <m:r>
          <w:rPr>
            <w:rFonts w:ascii="Cambria Math" w:eastAsia="宋体" w:hAnsi="Cambria Math" w:cs="Times New Roman"/>
            <w:color w:val="333333"/>
            <w:kern w:val="0"/>
            <w:szCs w:val="21"/>
          </w:rPr>
          <m:t>1</m:t>
        </m:r>
      </m:oMath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               (2)</w:t>
      </w:r>
    </w:p>
    <w:p w14:paraId="18F67212" w14:textId="348CF09C" w:rsidR="000E50B2" w:rsidRPr="00BF1380" w:rsidRDefault="00BF1380" w:rsidP="00BF1380">
      <w:pPr>
        <w:widowControl/>
        <w:spacing w:before="100" w:beforeAutospacing="1" w:after="100" w:afterAutospacing="1"/>
        <w:ind w:left="720"/>
        <w:jc w:val="righ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                             </w:t>
      </w:r>
      <m:oMath>
        <m:r>
          <w:rPr>
            <w:rFonts w:ascii="Cambria Math" w:eastAsia="宋体" w:hAnsi="Cambria Math" w:cs="Times New Roman"/>
            <w:color w:val="333333"/>
            <w:kern w:val="0"/>
            <w:szCs w:val="21"/>
          </w:rPr>
          <m:t>ωτ</m:t>
        </m:r>
        <m:r>
          <w:rPr>
            <w:rFonts w:ascii="Cambria Math" w:eastAsia="宋体" w:hAnsi="Cambria Math" w:cs="Times New Roman"/>
            <w:color w:val="333333"/>
            <w:kern w:val="0"/>
            <w:szCs w:val="21"/>
          </w:rPr>
          <m:t>&gt;1</m:t>
        </m:r>
      </m:oMath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               (3)</w:t>
      </w:r>
    </w:p>
    <w:p w14:paraId="055778E0" w14:textId="6DC8D04C" w:rsidR="000E50B2" w:rsidRPr="000E50B2" w:rsidRDefault="000E50B2" w:rsidP="000E50B2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0E50B2">
        <w:rPr>
          <w:rFonts w:ascii="Times New Roman" w:eastAsia="宋体" w:hAnsi="Times New Roman" w:cs="Times New Roman"/>
          <w:color w:val="333333"/>
          <w:kern w:val="0"/>
          <w:szCs w:val="21"/>
        </w:rPr>
        <w:t>其中，公式（</w:t>
      </w:r>
      <w:r w:rsidRPr="000E50B2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0E50B2">
        <w:rPr>
          <w:rFonts w:ascii="Times New Roman" w:eastAsia="宋体" w:hAnsi="Times New Roman" w:cs="Times New Roman"/>
          <w:color w:val="333333"/>
          <w:kern w:val="0"/>
          <w:szCs w:val="21"/>
        </w:rPr>
        <w:t>）表示德拜长度远远小于等离子体容器的尺寸，公式（</w:t>
      </w:r>
      <w:r w:rsidRPr="000E50B2">
        <w:rPr>
          <w:rFonts w:ascii="Times New Roman" w:eastAsia="宋体" w:hAnsi="Times New Roman" w:cs="Times New Roman"/>
          <w:color w:val="333333"/>
          <w:kern w:val="0"/>
          <w:szCs w:val="21"/>
        </w:rPr>
        <w:t>2</w:t>
      </w:r>
      <w:r w:rsidRPr="000E50B2">
        <w:rPr>
          <w:rFonts w:ascii="Times New Roman" w:eastAsia="宋体" w:hAnsi="Times New Roman" w:cs="Times New Roman"/>
          <w:color w:val="333333"/>
          <w:kern w:val="0"/>
          <w:szCs w:val="21"/>
        </w:rPr>
        <w:t>）用于判定等离子体的集体行为，表示以德拜长度为半径所构成的球体内的带电粒子数，公式（</w:t>
      </w:r>
      <w:r w:rsidRPr="000E50B2">
        <w:rPr>
          <w:rFonts w:ascii="Times New Roman" w:eastAsia="宋体" w:hAnsi="Times New Roman" w:cs="Times New Roman"/>
          <w:color w:val="333333"/>
          <w:kern w:val="0"/>
          <w:szCs w:val="21"/>
        </w:rPr>
        <w:t>3</w:t>
      </w:r>
      <w:r w:rsidRPr="000E50B2">
        <w:rPr>
          <w:rFonts w:ascii="Times New Roman" w:eastAsia="宋体" w:hAnsi="Times New Roman" w:cs="Times New Roman"/>
          <w:color w:val="333333"/>
          <w:kern w:val="0"/>
          <w:szCs w:val="21"/>
        </w:rPr>
        <w:t>）中</w:t>
      </w:r>
      <w:r w:rsidRPr="000E50B2">
        <w:rPr>
          <w:rFonts w:ascii="Times New Roman" w:eastAsia="宋体" w:hAnsi="Times New Roman" w:cs="Times New Roman"/>
          <w:i/>
          <w:iCs/>
          <w:color w:val="333333"/>
          <w:kern w:val="0"/>
          <w:szCs w:val="21"/>
        </w:rPr>
        <w:t>ω</w:t>
      </w:r>
      <w:r w:rsidRPr="000E50B2">
        <w:rPr>
          <w:rFonts w:ascii="Times New Roman" w:eastAsia="宋体" w:hAnsi="Times New Roman" w:cs="Times New Roman"/>
          <w:color w:val="333333"/>
          <w:kern w:val="0"/>
          <w:szCs w:val="21"/>
        </w:rPr>
        <w:t>表示典型的等离子体振荡频率，</w:t>
      </w:r>
      <w:r w:rsidRPr="000E50B2">
        <w:rPr>
          <w:rFonts w:ascii="Times New Roman" w:eastAsia="宋体" w:hAnsi="Times New Roman" w:cs="Times New Roman"/>
          <w:i/>
          <w:iCs/>
          <w:color w:val="333333"/>
          <w:kern w:val="0"/>
          <w:szCs w:val="21"/>
        </w:rPr>
        <w:t>τ</w:t>
      </w:r>
      <w:r w:rsidRPr="000E50B2">
        <w:rPr>
          <w:rFonts w:ascii="Times New Roman" w:eastAsia="宋体" w:hAnsi="Times New Roman" w:cs="Times New Roman"/>
          <w:color w:val="333333"/>
          <w:kern w:val="0"/>
          <w:szCs w:val="21"/>
        </w:rPr>
        <w:t>表示带电粒子与中性原子碰撞的平均时间。</w:t>
      </w:r>
    </w:p>
    <w:p w14:paraId="07C4E818" w14:textId="77777777" w:rsidR="000E50B2" w:rsidRPr="000E50B2" w:rsidRDefault="000E50B2" w:rsidP="000E50B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0E50B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德拜长度</w:t>
      </w:r>
      <w:r w:rsidRPr="000E50B2">
        <w:rPr>
          <w:rFonts w:ascii="Times New Roman" w:eastAsia="宋体" w:hAnsi="Times New Roman" w:cs="Times New Roman"/>
          <w:color w:val="333333"/>
          <w:kern w:val="0"/>
          <w:szCs w:val="21"/>
        </w:rPr>
        <w:t>：等离子体的集体行为决定了当外部电极插入其中时，会立刻有大量电荷集中到电极附近，这些电荷会将外部电极产生的电场屏蔽，这种屏蔽称之为德拜屏蔽，德拜屏蔽的尺度称为</w:t>
      </w:r>
      <w:r w:rsidRPr="000E50B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德拜长度</w:t>
      </w:r>
      <w:r w:rsidRPr="000E50B2">
        <w:rPr>
          <w:rFonts w:ascii="Times New Roman" w:eastAsia="宋体" w:hAnsi="Times New Roman" w:cs="Times New Roman"/>
          <w:color w:val="333333"/>
          <w:kern w:val="0"/>
          <w:szCs w:val="21"/>
        </w:rPr>
        <w:t>，计算公式：</w:t>
      </w:r>
    </w:p>
    <w:p w14:paraId="69CAFF4D" w14:textId="477A52BA" w:rsidR="000E50B2" w:rsidRPr="00BF1380" w:rsidRDefault="000E50B2" w:rsidP="000E50B2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333333"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333333"/>
                  <w:kern w:val="0"/>
                  <w:szCs w:val="21"/>
                </w:rPr>
                <m:t>λ</m:t>
              </m:r>
              <m:ctrlPr>
                <w:rPr>
                  <w:rFonts w:ascii="Cambria Math" w:eastAsia="宋体" w:hAnsi="Cambria Math" w:cs="Times New Roman"/>
                  <w:color w:val="333333"/>
                  <w:kern w:val="0"/>
                  <w:szCs w:val="21"/>
                </w:rPr>
              </m:ctrlPr>
            </m:e>
            <m:sub>
              <m:r>
                <m:rPr>
                  <m:nor/>
                </m:rPr>
                <w:rPr>
                  <w:rFonts w:ascii="Times New Roman" w:eastAsia="宋体" w:hAnsi="Times New Roman" w:cs="Times New Roman"/>
                  <w:color w:val="333333"/>
                  <w:kern w:val="0"/>
                  <w:szCs w:val="21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333333"/>
              <w:kern w:val="0"/>
              <w:szCs w:val="21"/>
            </w:rPr>
            <m:t>≡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color w:val="333333"/>
                  <w:kern w:val="0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color w:val="333333"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color w:val="333333"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color w:val="333333"/>
                          <w:kern w:val="0"/>
                          <w:szCs w:val="21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333333"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333333"/>
                              <w:kern w:val="0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="宋体" w:hAnsi="Times New Roman" w:cs="Times New Roman"/>
                              <w:color w:val="333333"/>
                              <w:kern w:val="0"/>
                              <w:szCs w:val="21"/>
                            </w:rPr>
                            <m:t>e</m:t>
                          </m:r>
                        </m:sub>
                      </m:sSub>
                      <m:ctrlPr>
                        <w:rPr>
                          <w:rFonts w:ascii="Cambria Math" w:eastAsia="宋体" w:hAnsi="Cambria Math" w:cs="Times New Roman"/>
                          <w:i/>
                          <w:color w:val="333333"/>
                          <w:kern w:val="0"/>
                          <w:szCs w:val="21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cs="Times New Roman"/>
                          <w:color w:val="333333"/>
                          <w:kern w:val="0"/>
                          <w:szCs w:val="21"/>
                        </w:rPr>
                        <m:t>4</m:t>
                      </m:r>
                      <m:r>
                        <w:rPr>
                          <w:rFonts w:ascii="Cambria Math" w:eastAsia="宋体" w:hAnsi="Cambria Math" w:cs="Times New Roman"/>
                          <w:color w:val="333333"/>
                          <w:kern w:val="0"/>
                          <w:szCs w:val="21"/>
                        </w:rPr>
                        <m:t>π</m:t>
                      </m:r>
                      <m:r>
                        <w:rPr>
                          <w:rFonts w:ascii="Cambria Math" w:eastAsia="宋体" w:hAnsi="Cambria Math" w:cs="Times New Roman"/>
                          <w:color w:val="333333"/>
                          <w:kern w:val="0"/>
                          <w:szCs w:val="21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333333"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333333"/>
                              <w:kern w:val="0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333333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宋体" w:hAnsi="Cambria Math" w:cs="Times New Roman"/>
                          <w:i/>
                          <w:color w:val="333333"/>
                          <w:kern w:val="0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eastAsia="宋体" w:hAnsi="Cambria Math" w:cs="Times New Roman"/>
                      <w:i/>
                      <w:color w:val="333333"/>
                      <w:kern w:val="0"/>
                      <w:szCs w:val="21"/>
                    </w:rPr>
                  </m:ctrlPr>
                </m:e>
              </m:d>
              <m:ctrlPr>
                <w:rPr>
                  <w:rFonts w:ascii="Cambria Math" w:eastAsia="宋体" w:hAnsi="Cambria Math" w:cs="Times New Roman"/>
                  <w:color w:val="333333"/>
                  <w:kern w:val="0"/>
                  <w:szCs w:val="21"/>
                </w:rPr>
              </m:ctrlPr>
            </m:e>
            <m:sup>
              <m:r>
                <w:rPr>
                  <w:rFonts w:ascii="Cambria Math" w:eastAsia="宋体" w:hAnsi="Cambria Math" w:cs="Times New Roman"/>
                  <w:color w:val="333333"/>
                  <w:kern w:val="0"/>
                  <w:szCs w:val="21"/>
                </w:rPr>
                <m:t>1</m:t>
              </m:r>
              <m:r>
                <m:rPr>
                  <m:lit/>
                </m:rPr>
                <w:rPr>
                  <w:rFonts w:ascii="Cambria Math" w:eastAsia="宋体" w:hAnsi="Cambria Math" w:cs="Times New Roman"/>
                  <w:color w:val="333333"/>
                  <w:kern w:val="0"/>
                  <w:szCs w:val="21"/>
                </w:rPr>
                <m:t>/</m:t>
              </m:r>
              <m:r>
                <w:rPr>
                  <w:rFonts w:ascii="Cambria Math" w:eastAsia="宋体" w:hAnsi="Cambria Math" w:cs="Times New Roman"/>
                  <w:color w:val="333333"/>
                  <w:kern w:val="0"/>
                  <w:szCs w:val="21"/>
                </w:rPr>
                <m:t>2</m:t>
              </m:r>
            </m:sup>
          </m:sSup>
        </m:oMath>
      </m:oMathPara>
    </w:p>
    <w:p w14:paraId="77F4DA45" w14:textId="5ED9EFA2" w:rsidR="000E50B2" w:rsidRPr="000E50B2" w:rsidRDefault="000E50B2" w:rsidP="000E50B2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0E50B2">
        <w:rPr>
          <w:rFonts w:ascii="Times New Roman" w:eastAsia="宋体" w:hAnsi="Times New Roman" w:cs="Times New Roman"/>
          <w:color w:val="333333"/>
          <w:kern w:val="0"/>
          <w:szCs w:val="21"/>
        </w:rPr>
        <w:t>其中</w:t>
      </w:r>
      <w:r w:rsidRPr="000E50B2">
        <w:rPr>
          <w:rFonts w:ascii="Times New Roman" w:eastAsia="宋体" w:hAnsi="Times New Roman" w:cs="Times New Roman"/>
          <w:i/>
          <w:iCs/>
          <w:color w:val="333333"/>
          <w:kern w:val="0"/>
          <w:szCs w:val="21"/>
        </w:rPr>
        <w:t>K</w:t>
      </w:r>
      <w:r w:rsidRPr="000E50B2">
        <w:rPr>
          <w:rFonts w:ascii="Times New Roman" w:eastAsia="宋体" w:hAnsi="Times New Roman" w:cs="Times New Roman"/>
          <w:color w:val="333333"/>
          <w:kern w:val="0"/>
          <w:szCs w:val="21"/>
        </w:rPr>
        <w:t>为玻尔兹曼常数，</w:t>
      </w:r>
      <w:proofErr w:type="spellStart"/>
      <w:r w:rsidRPr="000E50B2">
        <w:rPr>
          <w:rFonts w:ascii="Times New Roman" w:eastAsia="宋体" w:hAnsi="Times New Roman" w:cs="Times New Roman"/>
          <w:i/>
          <w:iCs/>
          <w:color w:val="333333"/>
          <w:kern w:val="0"/>
          <w:szCs w:val="21"/>
        </w:rPr>
        <w:t>T</w:t>
      </w:r>
      <w:r w:rsidRPr="000E50B2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e</w:t>
      </w:r>
      <w:proofErr w:type="spellEnd"/>
      <w:r w:rsidRPr="000E50B2">
        <w:rPr>
          <w:rFonts w:ascii="Times New Roman" w:eastAsia="宋体" w:hAnsi="Times New Roman" w:cs="Times New Roman"/>
          <w:color w:val="333333"/>
          <w:kern w:val="0"/>
          <w:szCs w:val="21"/>
        </w:rPr>
        <w:t>为电子温度，</w:t>
      </w:r>
      <w:r w:rsidRPr="000E50B2">
        <w:rPr>
          <w:rFonts w:ascii="Times New Roman" w:eastAsia="宋体" w:hAnsi="Times New Roman" w:cs="Times New Roman"/>
          <w:i/>
          <w:iCs/>
          <w:color w:val="333333"/>
          <w:kern w:val="0"/>
          <w:szCs w:val="21"/>
        </w:rPr>
        <w:t>n</w:t>
      </w:r>
      <w:r w:rsidRPr="000E50B2">
        <w:rPr>
          <w:rFonts w:ascii="Times New Roman" w:eastAsia="宋体" w:hAnsi="Times New Roman" w:cs="Times New Roman"/>
          <w:color w:val="333333"/>
          <w:kern w:val="0"/>
          <w:szCs w:val="21"/>
        </w:rPr>
        <w:t>为等离子体数密度，</w:t>
      </w:r>
      <w:r w:rsidRPr="000E50B2">
        <w:rPr>
          <w:rFonts w:ascii="Times New Roman" w:eastAsia="宋体" w:hAnsi="Times New Roman" w:cs="Times New Roman"/>
          <w:i/>
          <w:iCs/>
          <w:color w:val="333333"/>
          <w:kern w:val="0"/>
          <w:szCs w:val="21"/>
        </w:rPr>
        <w:t>e</w:t>
      </w:r>
      <w:r w:rsidRPr="000E50B2">
        <w:rPr>
          <w:rFonts w:ascii="Times New Roman" w:eastAsia="宋体" w:hAnsi="Times New Roman" w:cs="Times New Roman"/>
          <w:color w:val="333333"/>
          <w:kern w:val="0"/>
          <w:szCs w:val="21"/>
        </w:rPr>
        <w:t>为元电荷数。</w:t>
      </w:r>
    </w:p>
    <w:p w14:paraId="0766842D" w14:textId="77777777" w:rsidR="000E50B2" w:rsidRPr="000E50B2" w:rsidRDefault="000E50B2" w:rsidP="000E50B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0E50B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鞘层</w:t>
      </w:r>
      <w:r w:rsidRPr="000E50B2">
        <w:rPr>
          <w:rFonts w:ascii="Times New Roman" w:eastAsia="宋体" w:hAnsi="Times New Roman" w:cs="Times New Roman"/>
          <w:color w:val="333333"/>
          <w:kern w:val="0"/>
          <w:szCs w:val="21"/>
        </w:rPr>
        <w:t>：对于有界等离子体，在等离子体界面，会有大量的电子聚集，原因在于等离子体中电子的质量远远小于离子，其运动速度快，先到达界壁聚集，界壁上负电荷积累到一定程度后形成一个</w:t>
      </w:r>
      <w:proofErr w:type="gramStart"/>
      <w:r w:rsidRPr="000E50B2">
        <w:rPr>
          <w:rFonts w:ascii="Times New Roman" w:eastAsia="宋体" w:hAnsi="Times New Roman" w:cs="Times New Roman"/>
          <w:color w:val="333333"/>
          <w:kern w:val="0"/>
          <w:szCs w:val="21"/>
        </w:rPr>
        <w:t>负电场</w:t>
      </w:r>
      <w:proofErr w:type="gramEnd"/>
      <w:r w:rsidRPr="000E50B2">
        <w:rPr>
          <w:rFonts w:ascii="Times New Roman" w:eastAsia="宋体" w:hAnsi="Times New Roman" w:cs="Times New Roman"/>
          <w:color w:val="333333"/>
          <w:kern w:val="0"/>
          <w:szCs w:val="21"/>
        </w:rPr>
        <w:t>排斥后面过来的离子，最终在靠近界壁的一个薄层形成一个很薄的正电荷区，这个薄正电荷区域称为鞘层。</w:t>
      </w:r>
      <w:proofErr w:type="gramStart"/>
      <w:r w:rsidRPr="000E50B2">
        <w:rPr>
          <w:rFonts w:ascii="Times New Roman" w:eastAsia="宋体" w:hAnsi="Times New Roman" w:cs="Times New Roman"/>
          <w:color w:val="333333"/>
          <w:kern w:val="0"/>
          <w:szCs w:val="21"/>
        </w:rPr>
        <w:t>鞘层厚度受界</w:t>
      </w:r>
      <w:proofErr w:type="gramEnd"/>
      <w:r w:rsidRPr="000E50B2">
        <w:rPr>
          <w:rFonts w:ascii="Times New Roman" w:eastAsia="宋体" w:hAnsi="Times New Roman" w:cs="Times New Roman"/>
          <w:color w:val="333333"/>
          <w:kern w:val="0"/>
          <w:szCs w:val="21"/>
        </w:rPr>
        <w:t>壁的电位、电子温度以及等离子体密度影响，其厚度一般为德拜长度的数十倍或者上百倍。</w:t>
      </w:r>
    </w:p>
    <w:p w14:paraId="02E9769D" w14:textId="76E5AAEE" w:rsidR="000E50B2" w:rsidRPr="00BF1380" w:rsidRDefault="000E50B2" w:rsidP="000E50B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0E50B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等离子体频率</w:t>
      </w:r>
      <w:r w:rsidRPr="000E50B2">
        <w:rPr>
          <w:rFonts w:ascii="Times New Roman" w:eastAsia="宋体" w:hAnsi="Times New Roman" w:cs="Times New Roman"/>
          <w:color w:val="333333"/>
          <w:kern w:val="0"/>
          <w:szCs w:val="21"/>
        </w:rPr>
        <w:t>：这是由等离子体的集体行为引发的一种振荡行为，当等离子体受到某种扰动后会引发正负电荷的分离，正负电荷分离会本来是希望抑制这种扰动，但是电荷分离后局部会有电场和磁场的形成，最终这种扰动会延伸至等离子体其他区域，最终形成周期性的振荡，其</w:t>
      </w:r>
      <w:r w:rsidRPr="000E50B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振荡频率</w:t>
      </w:r>
      <w:r w:rsidRPr="000E50B2">
        <w:rPr>
          <w:rFonts w:ascii="Times New Roman" w:eastAsia="宋体" w:hAnsi="Times New Roman" w:cs="Times New Roman"/>
          <w:color w:val="333333"/>
          <w:kern w:val="0"/>
          <w:szCs w:val="21"/>
        </w:rPr>
        <w:t>为：</w:t>
      </w:r>
    </w:p>
    <w:p w14:paraId="63DB74E7" w14:textId="4173A815" w:rsidR="000E50B2" w:rsidRPr="00BF1380" w:rsidRDefault="000E50B2" w:rsidP="000E50B2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333333"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333333"/>
                  <w:kern w:val="0"/>
                  <w:szCs w:val="21"/>
                </w:rPr>
                <m:t>ω</m:t>
              </m:r>
              <m:ctrlPr>
                <w:rPr>
                  <w:rFonts w:ascii="Cambria Math" w:eastAsia="宋体" w:hAnsi="Cambria Math" w:cs="Times New Roman"/>
                  <w:color w:val="333333"/>
                  <w:kern w:val="0"/>
                  <w:szCs w:val="21"/>
                </w:rPr>
              </m:ctrlPr>
            </m:e>
            <m:sub>
              <m:r>
                <m:rPr>
                  <m:nor/>
                </m:rPr>
                <w:rPr>
                  <w:rFonts w:ascii="Times New Roman" w:eastAsia="宋体" w:hAnsi="Times New Roman" w:cs="Times New Roman"/>
                  <w:color w:val="333333"/>
                  <w:kern w:val="0"/>
                  <w:szCs w:val="21"/>
                </w:rPr>
                <m:t>pe</m:t>
              </m:r>
            </m:sub>
          </m:sSub>
          <m:r>
            <w:rPr>
              <w:rFonts w:ascii="Cambria Math" w:eastAsia="宋体" w:hAnsi="Cambria Math" w:cs="Times New Roman"/>
              <w:color w:val="333333"/>
              <w:kern w:val="0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color w:val="333333"/>
                  <w:kern w:val="0"/>
                  <w:szCs w:val="21"/>
                </w:rPr>
              </m:ctrlPr>
            </m:radPr>
            <m:deg>
              <m:ctrlPr>
                <w:rPr>
                  <w:rFonts w:ascii="Cambria Math" w:eastAsia="宋体" w:hAnsi="Cambria Math" w:cs="Times New Roman"/>
                  <w:i/>
                  <w:color w:val="333333"/>
                  <w:kern w:val="0"/>
                  <w:szCs w:val="21"/>
                </w:rPr>
              </m:ctrlPr>
            </m:deg>
            <m:e>
              <m:f>
                <m:fPr>
                  <m:ctrlPr>
                    <w:rPr>
                      <w:rFonts w:ascii="Cambria Math" w:eastAsia="宋体" w:hAnsi="Cambria Math" w:cs="Times New Roman"/>
                      <w:color w:val="333333"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color w:val="333333"/>
                      <w:kern w:val="0"/>
                      <w:szCs w:val="21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333333"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333333"/>
                          <w:kern w:val="0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333333"/>
                          <w:kern w:val="0"/>
                          <w:szCs w:val="21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宋体" w:hAnsi="Cambria Math" w:cs="Times New Roman"/>
                      <w:i/>
                      <w:color w:val="333333"/>
                      <w:kern w:val="0"/>
                      <w:szCs w:val="2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333333"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333333"/>
                          <w:kern w:val="0"/>
                          <w:szCs w:val="21"/>
                        </w:rPr>
                        <m:t>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宋体" w:hAnsi="Times New Roman" w:cs="Times New Roman"/>
                          <w:color w:val="333333"/>
                          <w:kern w:val="0"/>
                          <w:szCs w:val="21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333333"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333333"/>
                          <w:kern w:val="0"/>
                          <w:szCs w:val="21"/>
                        </w:rPr>
                        <m:t>ε</m:t>
                      </m:r>
                      <m:ctrlPr>
                        <w:rPr>
                          <w:rFonts w:ascii="Cambria Math" w:eastAsia="宋体" w:hAnsi="Cambria Math" w:cs="Times New Roman"/>
                          <w:color w:val="333333"/>
                          <w:kern w:val="0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333333"/>
                          <w:kern w:val="0"/>
                          <w:szCs w:val="21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宋体" w:hAnsi="Cambria Math" w:cs="Times New Roman"/>
                      <w:i/>
                      <w:color w:val="333333"/>
                      <w:kern w:val="0"/>
                      <w:szCs w:val="21"/>
                    </w:rPr>
                  </m:ctrlPr>
                </m:den>
              </m:f>
            </m:e>
          </m:rad>
        </m:oMath>
      </m:oMathPara>
    </w:p>
    <w:p w14:paraId="0370C033" w14:textId="77777777" w:rsidR="000E50B2" w:rsidRPr="000E50B2" w:rsidRDefault="000E50B2" w:rsidP="000E50B2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14:paraId="6FF85524" w14:textId="6600DC40" w:rsidR="000E50B2" w:rsidRPr="000E50B2" w:rsidRDefault="000E50B2" w:rsidP="000E50B2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</w:pPr>
      <w:r w:rsidRPr="00BF1380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2</w:t>
      </w:r>
      <w:r w:rsidRPr="00BF1380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、</w:t>
      </w:r>
      <w:r w:rsidRPr="000E50B2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简要介绍一下常用的等离子体的模拟方法。</w:t>
      </w:r>
    </w:p>
    <w:p w14:paraId="24E73FEA" w14:textId="77777777" w:rsidR="000E50B2" w:rsidRPr="000E50B2" w:rsidRDefault="000E50B2" w:rsidP="000E50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0E50B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流体模拟</w:t>
      </w:r>
      <w:r w:rsidRPr="000E50B2">
        <w:rPr>
          <w:rFonts w:ascii="Times New Roman" w:eastAsia="宋体" w:hAnsi="Times New Roman" w:cs="Times New Roman"/>
          <w:color w:val="333333"/>
          <w:kern w:val="0"/>
          <w:szCs w:val="21"/>
        </w:rPr>
        <w:t>：将等离子体看成一种含有大量带电粒子的流体，从宏观角度研究等离子体大范围、长时间的性质，将微观得到的输运系数等作为已知条件，数值求解磁流体方程。由于电子和离子的质量差别非常大，对外加各种场的响应速度也会存在巨大差别，最终导致离子和电子的运动速度存在显著差异。为了避免双流体模拟带来的时间尺度问题，目前流体模拟采用准中性假设，电子被认为是无质量的流体，电场通过电导率模型来得到，因此流体模拟的电导率模型成为流体模拟结果准确性的前提。这种方法虽然求解精度相对较差，但是运算过程简单，计算时间短。</w:t>
      </w:r>
    </w:p>
    <w:p w14:paraId="568BB4F8" w14:textId="77777777" w:rsidR="000E50B2" w:rsidRPr="000E50B2" w:rsidRDefault="000E50B2" w:rsidP="000E50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0E50B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粒子模拟</w:t>
      </w:r>
      <w:r w:rsidRPr="000E50B2">
        <w:rPr>
          <w:rFonts w:ascii="Times New Roman" w:eastAsia="宋体" w:hAnsi="Times New Roman" w:cs="Times New Roman"/>
          <w:color w:val="333333"/>
          <w:kern w:val="0"/>
          <w:szCs w:val="21"/>
        </w:rPr>
        <w:t>：这种方法希望尽可能真实的模拟等离子体中带电粒子的运动，即跟踪大量单个微观粒子在热、力、电、磁等环境中的复杂运动，统计平均，得到等离子体的宏观特性。和流体模拟相比，粒子模拟方法更加直接，避免了采用流体近似造成的计算失真。而且，对于有界等离子体，会存在鞘层，</w:t>
      </w:r>
      <w:proofErr w:type="gramStart"/>
      <w:r w:rsidRPr="000E50B2">
        <w:rPr>
          <w:rFonts w:ascii="Times New Roman" w:eastAsia="宋体" w:hAnsi="Times New Roman" w:cs="Times New Roman"/>
          <w:color w:val="333333"/>
          <w:kern w:val="0"/>
          <w:szCs w:val="21"/>
        </w:rPr>
        <w:t>鞘层不</w:t>
      </w:r>
      <w:proofErr w:type="gramEnd"/>
      <w:r w:rsidRPr="000E50B2">
        <w:rPr>
          <w:rFonts w:ascii="Times New Roman" w:eastAsia="宋体" w:hAnsi="Times New Roman" w:cs="Times New Roman"/>
          <w:color w:val="333333"/>
          <w:kern w:val="0"/>
          <w:szCs w:val="21"/>
        </w:rPr>
        <w:t>满足准中性条件，不能采用流体模型进行模拟，采用粒子模拟是最合适的。但是，真实世界的等离子体是由数量巨大的粒子所组成，计算机无法跟踪每一个粒子的运动模拟真实世界，为此在粒子模拟中会采用一种巨粒子的形式去模拟，这是大量真实粒子的集合。这样处理会增加金碰撞效应的数量。这种方法求解精度相对更高，但是需要大量的计算时间。</w:t>
      </w:r>
    </w:p>
    <w:p w14:paraId="48AA7A71" w14:textId="77777777" w:rsidR="000E50B2" w:rsidRPr="000E50B2" w:rsidRDefault="000E50B2" w:rsidP="000E50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0E50B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混合模拟</w:t>
      </w:r>
      <w:r w:rsidRPr="000E50B2">
        <w:rPr>
          <w:rFonts w:ascii="Times New Roman" w:eastAsia="宋体" w:hAnsi="Times New Roman" w:cs="Times New Roman"/>
          <w:color w:val="333333"/>
          <w:kern w:val="0"/>
          <w:szCs w:val="21"/>
        </w:rPr>
        <w:t>：混合模拟方法建立在前面两种模拟方法之上，将二者结合，其中对等离子体中的离子和原子依旧采用粒子模拟方法，对电子则采用流体模拟方法。这种方法的求解时间介于二者之间。</w:t>
      </w:r>
    </w:p>
    <w:p w14:paraId="53E22685" w14:textId="77777777" w:rsidR="00556064" w:rsidRPr="00BF1380" w:rsidRDefault="00556064">
      <w:pPr>
        <w:rPr>
          <w:rFonts w:ascii="Times New Roman" w:hAnsi="Times New Roman" w:cs="Times New Roman"/>
        </w:rPr>
      </w:pPr>
    </w:p>
    <w:sectPr w:rsidR="00556064" w:rsidRPr="00BF1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0E9A"/>
    <w:multiLevelType w:val="multilevel"/>
    <w:tmpl w:val="EAE636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6D1442"/>
    <w:multiLevelType w:val="multilevel"/>
    <w:tmpl w:val="53A0BC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B2"/>
    <w:rsid w:val="000E50B2"/>
    <w:rsid w:val="00556064"/>
    <w:rsid w:val="005C0D94"/>
    <w:rsid w:val="005D1ED1"/>
    <w:rsid w:val="007523DB"/>
    <w:rsid w:val="0094466A"/>
    <w:rsid w:val="00BE0344"/>
    <w:rsid w:val="00BF1380"/>
    <w:rsid w:val="00C633D5"/>
    <w:rsid w:val="00FC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863F"/>
  <w15:chartTrackingRefBased/>
  <w15:docId w15:val="{18318859-8E7C-4E09-8565-B0746B8E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E50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E50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0E50B2"/>
  </w:style>
  <w:style w:type="paragraph" w:customStyle="1" w:styleId="md-list-item">
    <w:name w:val="md-list-item"/>
    <w:basedOn w:val="a"/>
    <w:rsid w:val="000E5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rsid w:val="000E5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0E50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蒋文嘉</dc:creator>
  <cp:keywords/>
  <dc:description/>
  <cp:lastModifiedBy>蒋文嘉</cp:lastModifiedBy>
  <cp:revision>2</cp:revision>
  <dcterms:created xsi:type="dcterms:W3CDTF">2022-09-24T12:54:00Z</dcterms:created>
  <dcterms:modified xsi:type="dcterms:W3CDTF">2022-09-24T13:02:00Z</dcterms:modified>
</cp:coreProperties>
</file>