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05F69">
      <w:pPr>
        <w:keepNext/>
        <w:widowControl/>
        <w:jc w:val="center"/>
      </w:pPr>
      <w:r>
        <w:rPr>
          <w:rFonts w:ascii="Assignment Hei" w:hAnsi="Assignment Hei" w:eastAsia="Assignment Hei"/>
          <w:b/>
          <w:sz w:val="24"/>
        </w:rPr>
        <w:t>内蒙古大学 计算机学院（人工智能学院）</w:t>
      </w:r>
    </w:p>
    <w:p w14:paraId="3F5F1C0F">
      <w:pPr>
        <w:keepNext/>
        <w:widowControl/>
        <w:spacing w:before="160"/>
        <w:jc w:val="center"/>
      </w:pPr>
      <w:r>
        <w:rPr>
          <w:rFonts w:ascii="Assignment Hei" w:hAnsi="Assignment Hei" w:eastAsia="Assignment Hei"/>
          <w:b/>
          <w:color w:val="1F3B73"/>
          <w:sz w:val="40"/>
        </w:rPr>
        <w:t>《自然语言处理》课程上机任务书（作业2）</w:t>
      </w:r>
    </w:p>
    <w:p w14:paraId="0AF85680">
      <w:pPr>
        <w:keepNext/>
        <w:widowControl/>
        <w:jc w:val="center"/>
      </w:pPr>
      <w:r>
        <w:rPr>
          <w:rFonts w:ascii="Assignment Hei" w:hAnsi="Assignment Hei" w:eastAsia="Assignment Hei"/>
          <w:b/>
          <w:color w:val="2E5496"/>
          <w:sz w:val="26"/>
        </w:rPr>
        <w:t>专题：基于Transformer的中英机器翻译实现与评测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1814"/>
        <w:gridCol w:w="7591"/>
      </w:tblGrid>
      <w:tr w14:paraId="21D18A11">
        <w:trPr>
          <w:cantSplit/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0980AF87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项目</w:t>
            </w:r>
          </w:p>
        </w:tc>
        <w:tc>
          <w:tcPr>
            <w:tcW w:w="7591" w:type="dxa"/>
            <w:shd w:val="clear" w:color="auto" w:fill="D9E2F3"/>
            <w:vAlign w:val="center"/>
          </w:tcPr>
          <w:p w14:paraId="060A0FC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内容</w:t>
            </w:r>
          </w:p>
        </w:tc>
      </w:tr>
      <w:tr w14:paraId="5319B301">
        <w:trPr>
          <w:cantSplit/>
          <w:jc w:val="center"/>
        </w:trPr>
        <w:tc>
          <w:tcPr>
            <w:tcW w:w="1814" w:type="dxa"/>
            <w:vAlign w:val="center"/>
          </w:tcPr>
          <w:p w14:paraId="0FE028B7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适用对象</w:t>
            </w:r>
          </w:p>
        </w:tc>
        <w:tc>
          <w:tcPr>
            <w:tcW w:w="7591" w:type="dxa"/>
            <w:vAlign w:val="center"/>
          </w:tcPr>
          <w:p w14:paraId="32060B3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人工智能专业本科生</w:t>
            </w:r>
          </w:p>
        </w:tc>
      </w:tr>
      <w:tr w14:paraId="53D49579">
        <w:trPr>
          <w:cantSplit/>
          <w:jc w:val="center"/>
        </w:trPr>
        <w:tc>
          <w:tcPr>
            <w:tcW w:w="1814" w:type="dxa"/>
            <w:vAlign w:val="center"/>
          </w:tcPr>
          <w:p w14:paraId="398086F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学时安排</w:t>
            </w:r>
          </w:p>
        </w:tc>
        <w:tc>
          <w:tcPr>
            <w:tcW w:w="7591" w:type="dxa"/>
            <w:vAlign w:val="center"/>
          </w:tcPr>
          <w:p w14:paraId="5C19E71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6学时（2×3学时，每次135分钟）</w:t>
            </w:r>
          </w:p>
        </w:tc>
      </w:tr>
      <w:tr w14:paraId="75E6DFD9">
        <w:trPr>
          <w:cantSplit/>
          <w:jc w:val="center"/>
        </w:trPr>
        <w:tc>
          <w:tcPr>
            <w:tcW w:w="1814" w:type="dxa"/>
            <w:vAlign w:val="center"/>
          </w:tcPr>
          <w:p w14:paraId="49F17FA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分组方式</w:t>
            </w:r>
          </w:p>
        </w:tc>
        <w:tc>
          <w:tcPr>
            <w:tcW w:w="7591" w:type="dxa"/>
            <w:vAlign w:val="center"/>
          </w:tcPr>
          <w:p w14:paraId="2C55F87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hint="eastAsia" w:ascii="Assignment Song" w:hAnsi="Assignment Song" w:eastAsia="宋体"/>
                <w:b w:val="0"/>
                <w:sz w:val="19"/>
                <w:lang w:val="en-US" w:eastAsia="zh-CN"/>
              </w:rPr>
              <w:t>不分组</w:t>
            </w:r>
          </w:p>
        </w:tc>
      </w:tr>
      <w:tr w14:paraId="7C42A5CB">
        <w:trPr>
          <w:cantSplit/>
          <w:jc w:val="center"/>
        </w:trPr>
        <w:tc>
          <w:tcPr>
            <w:tcW w:w="1814" w:type="dxa"/>
            <w:vAlign w:val="center"/>
          </w:tcPr>
          <w:p w14:paraId="65D1AEF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固定数据集</w:t>
            </w:r>
          </w:p>
        </w:tc>
        <w:tc>
          <w:tcPr>
            <w:tcW w:w="7591" w:type="dxa"/>
            <w:vAlign w:val="center"/>
          </w:tcPr>
          <w:p w14:paraId="132FA93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Courier New" w:hAnsi="Courier New" w:eastAsia="Assignment Song"/>
                <w:b w:val="0"/>
                <w:sz w:val="18"/>
              </w:rPr>
              <w:t>Helsinki-NLP/opus-100</w:t>
            </w:r>
            <w:r>
              <w:rPr>
                <w:rFonts w:ascii="Assignment Song" w:hAnsi="Assignment Song" w:eastAsia="Assignment Song"/>
                <w:b w:val="0"/>
                <w:sz w:val="19"/>
              </w:rPr>
              <w:t xml:space="preserve">，配置 </w:t>
            </w:r>
            <w:r>
              <w:rPr>
                <w:rFonts w:ascii="Courier New" w:hAnsi="Courier New" w:eastAsia="Assignment Song"/>
                <w:b w:val="0"/>
                <w:sz w:val="18"/>
              </w:rPr>
              <w:t>en-zh</w:t>
            </w:r>
          </w:p>
        </w:tc>
      </w:tr>
      <w:tr w14:paraId="464358F7">
        <w:trPr>
          <w:cantSplit/>
          <w:jc w:val="center"/>
        </w:trPr>
        <w:tc>
          <w:tcPr>
            <w:tcW w:w="1814" w:type="dxa"/>
            <w:vAlign w:val="center"/>
          </w:tcPr>
          <w:p w14:paraId="359EC3B2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核心工作量</w:t>
            </w:r>
          </w:p>
        </w:tc>
        <w:tc>
          <w:tcPr>
            <w:tcW w:w="7591" w:type="dxa"/>
            <w:vAlign w:val="center"/>
          </w:tcPr>
          <w:p w14:paraId="6905C3B0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从固定数据集中采样约24,000句对；手写Transformer核心组件；完成≥3组受控消融；在官方测试集2,000句上全量评测</w:t>
            </w:r>
          </w:p>
        </w:tc>
      </w:tr>
      <w:tr w14:paraId="63B4BC24">
        <w:trPr>
          <w:cantSplit/>
          <w:jc w:val="center"/>
        </w:trPr>
        <w:tc>
          <w:tcPr>
            <w:tcW w:w="1814" w:type="dxa"/>
            <w:vAlign w:val="center"/>
          </w:tcPr>
          <w:p w14:paraId="200F11D7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提交物</w:t>
            </w:r>
          </w:p>
        </w:tc>
        <w:tc>
          <w:tcPr>
            <w:tcW w:w="7591" w:type="dxa"/>
            <w:vAlign w:val="center"/>
          </w:tcPr>
          <w:p w14:paraId="673BA33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源码、模型文件、一份实验报告</w:t>
            </w:r>
          </w:p>
        </w:tc>
      </w:tr>
    </w:tbl>
    <w:p w14:paraId="11738978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一、实验目的</w:t>
      </w:r>
    </w:p>
    <w:p w14:paraId="35ABE7E4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本次上机要求从“数据—模型—训练—解码—评测—分析”完整走通一遍神经机器翻译流水线。重点不在于调用现成翻译工具，而在于亲手实现Transformer的核心组件，理解每个设计为什么有效，并学会用受控实验和错误案例来判断一个改动到底有没有用。</w:t>
      </w:r>
    </w:p>
    <w:p w14:paraId="0F29E4A5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具体目标：</w:t>
      </w:r>
    </w:p>
    <w:p w14:paraId="0511D0CC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1. 掌握平行语料的加载、清洗、去重、长度过滤与固定划分方法。</w:t>
      </w:r>
    </w:p>
    <w:p w14:paraId="2EB5FD07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2. 手写Transformer核心组件：缩放点积注意力、多头注意力、位置编码、前馈网络、残差与LayerNorm、编码器层、解码器层、mask机制。</w:t>
      </w:r>
    </w:p>
    <w:p w14:paraId="3308BE21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3. 掌握Teacher Forcing训练、交叉熵损失、Label Smoothing、AdamW、学习率warmup、梯度裁剪、早停与checkpoint保存。</w:t>
      </w:r>
    </w:p>
    <w:p w14:paraId="4C643289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4. 实现贪心解码与Beam Search，理解beam size对译文质量和速度的影响。</w:t>
      </w:r>
    </w:p>
    <w:p w14:paraId="0C9F3484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5. 掌握BLEU、chrF、长度比、重复率等机器翻译自动评价指标，并完成不少于60条的LLM主观打分。</w:t>
      </w:r>
    </w:p>
    <w:p w14:paraId="131C2C9F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6. 完成受控消融实验，能够用具体错误案例解释“改了什么、为什么改、改后效果如何”。</w:t>
      </w:r>
    </w:p>
    <w:p w14:paraId="75DD008C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7. 在翻译实践中体会机器翻译的能力边界，理解自动指标与人类感受之间的差距。</w:t>
      </w:r>
    </w:p>
    <w:p w14:paraId="766CE7CF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二、实验核心任务</w:t>
      </w:r>
    </w:p>
    <w:p w14:paraId="60400605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一句话概括：</w:t>
      </w:r>
    </w:p>
    <w:p w14:paraId="5326248B">
      <w:pPr>
        <w:widowControl/>
        <w:spacing w:before="120" w:after="160"/>
        <w:jc w:val="center"/>
      </w:pPr>
      <w:r>
        <w:rPr>
          <w:rFonts w:ascii="Assignment Hei" w:hAnsi="Assignment Hei" w:eastAsia="Assignment Hei"/>
          <w:b/>
          <w:color w:val="C00000"/>
          <w:sz w:val="24"/>
        </w:rPr>
        <w:t>加载固定数据 → 手写Transformer → 训练基线 → 受控消融 → 束搜索解码 → 自动指标与主观打分 → 错误归因 → 写报告。</w:t>
      </w:r>
    </w:p>
    <w:p w14:paraId="12DFC204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具体任务：</w:t>
      </w:r>
    </w:p>
    <w:p w14:paraId="3CFE6061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● </w:t>
      </w:r>
      <w:r>
        <w:rPr>
          <w:rFonts w:ascii="Assignment Song" w:hAnsi="Assignment Song" w:eastAsia="Assignment Song"/>
          <w:b/>
          <w:sz w:val="22"/>
        </w:rPr>
        <w:t>任务A 数据准备</w:t>
      </w:r>
      <w:r>
        <w:rPr>
          <w:rFonts w:ascii="Assignment Song" w:hAnsi="Assignment Song" w:eastAsia="Assignment Song"/>
          <w:b w:val="0"/>
          <w:sz w:val="22"/>
        </w:rPr>
        <w:t xml:space="preserve">：使用 </w:t>
      </w:r>
      <w:r>
        <w:rPr>
          <w:rFonts w:ascii="Courier New" w:hAnsi="Courier New" w:eastAsia="Assignment Song"/>
          <w:b w:val="0"/>
          <w:sz w:val="20"/>
        </w:rPr>
        <w:t>Helsinki-NLP/opus-100</w:t>
      </w:r>
      <w:r>
        <w:rPr>
          <w:rFonts w:ascii="Assignment Song" w:hAnsi="Assignment Song" w:eastAsia="Assignment Song"/>
          <w:b w:val="0"/>
          <w:sz w:val="22"/>
        </w:rPr>
        <w:t xml:space="preserve"> 的 </w:t>
      </w:r>
      <w:r>
        <w:rPr>
          <w:rFonts w:ascii="Courier New" w:hAnsi="Courier New" w:eastAsia="Assignment Song"/>
          <w:b w:val="0"/>
          <w:sz w:val="20"/>
        </w:rPr>
        <w:t>en-zh</w:t>
      </w:r>
      <w:r>
        <w:rPr>
          <w:rFonts w:ascii="Assignment Song" w:hAnsi="Assignment Song" w:eastAsia="Assignment Song"/>
          <w:b w:val="0"/>
          <w:sz w:val="22"/>
        </w:rPr>
        <w:t xml:space="preserve"> 配置，从官方训练集中固定采样20,000句对作为训练集；官方验证集2,000句和测试集2,000句直接使用。完成格式转换、去重检查、长度统计与人工抽检。</w:t>
      </w:r>
    </w:p>
    <w:p w14:paraId="7DF057EE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● </w:t>
      </w:r>
      <w:r>
        <w:rPr>
          <w:rFonts w:ascii="Assignment Song" w:hAnsi="Assignment Song" w:eastAsia="Assignment Song"/>
          <w:b/>
          <w:sz w:val="22"/>
        </w:rPr>
        <w:t>任务B 模型实现</w:t>
      </w:r>
      <w:r>
        <w:rPr>
          <w:rFonts w:ascii="Assignment Song" w:hAnsi="Assignment Song" w:eastAsia="Assignment Song"/>
          <w:b w:val="0"/>
          <w:sz w:val="22"/>
        </w:rPr>
        <w:t xml:space="preserve">：从零实现Transformer编码器—解码器翻译模型，不得直接调用 </w:t>
      </w:r>
      <w:r>
        <w:rPr>
          <w:rFonts w:ascii="Courier New" w:hAnsi="Courier New" w:eastAsia="Assignment Song"/>
          <w:b w:val="0"/>
          <w:sz w:val="20"/>
        </w:rPr>
        <w:t>torch.nn.Transformer</w:t>
      </w:r>
      <w:r>
        <w:rPr>
          <w:rFonts w:ascii="Assignment Song" w:hAnsi="Assignment Song" w:eastAsia="Assignment Song"/>
          <w:b w:val="0"/>
          <w:sz w:val="22"/>
        </w:rPr>
        <w:t xml:space="preserve"> 或任何现成翻译模型作为主系统。</w:t>
      </w:r>
    </w:p>
    <w:p w14:paraId="3935A83E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● </w:t>
      </w:r>
      <w:r>
        <w:rPr>
          <w:rFonts w:ascii="Assignment Song" w:hAnsi="Assignment Song" w:eastAsia="Assignment Song"/>
          <w:b/>
          <w:sz w:val="22"/>
        </w:rPr>
        <w:t>任务C 训练与消融</w:t>
      </w:r>
      <w:r>
        <w:rPr>
          <w:rFonts w:ascii="Assignment Song" w:hAnsi="Assignment Song" w:eastAsia="Assignment Song"/>
          <w:b w:val="0"/>
          <w:sz w:val="22"/>
        </w:rPr>
        <w:t>：训练Base模型，并完成≥3组受控消融实验。除被检验变量外，数据划分、随机种子、最大长度、batch策略和解码参数保持一致。</w:t>
      </w:r>
    </w:p>
    <w:p w14:paraId="04DBE494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● </w:t>
      </w:r>
      <w:r>
        <w:rPr>
          <w:rFonts w:ascii="Assignment Song" w:hAnsi="Assignment Song" w:eastAsia="Assignment Song"/>
          <w:b/>
          <w:sz w:val="22"/>
        </w:rPr>
        <w:t>任务D 评测与分析</w:t>
      </w:r>
      <w:r>
        <w:rPr>
          <w:rFonts w:ascii="Assignment Song" w:hAnsi="Assignment Song" w:eastAsia="Assignment Song"/>
          <w:b w:val="0"/>
          <w:sz w:val="22"/>
        </w:rPr>
        <w:t>：在官方测试集2,000句上全量解码，计算BLEU、chrF、长度比、重复率；抽样≥60条做LLM主观打分；完成≥3个典型错误案例归因。</w:t>
      </w:r>
    </w:p>
    <w:p w14:paraId="447462AD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三、任务与评价指标</w:t>
      </w:r>
    </w:p>
    <w:p w14:paraId="78A10BBB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主任务为</w:t>
      </w:r>
      <w:r>
        <w:rPr>
          <w:rFonts w:ascii="Assignment Song" w:hAnsi="Assignment Song" w:eastAsia="Assignment Song"/>
          <w:b/>
          <w:sz w:val="22"/>
        </w:rPr>
        <w:t>中英机器翻译（中文→英文）</w:t>
      </w:r>
      <w:r>
        <w:rPr>
          <w:rFonts w:ascii="Assignment Song" w:hAnsi="Assignment Song" w:eastAsia="Assignment Song"/>
          <w:b w:val="0"/>
          <w:sz w:val="22"/>
        </w:rPr>
        <w:t>。输入为中文句子，输出为英文译文。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1250"/>
        <w:gridCol w:w="1800"/>
        <w:gridCol w:w="3100"/>
        <w:gridCol w:w="3255"/>
      </w:tblGrid>
      <w:tr w14:paraId="04FCE00E">
        <w:trPr>
          <w:cantSplit/>
          <w:tblHeader/>
          <w:jc w:val="center"/>
        </w:trPr>
        <w:tc>
          <w:tcPr>
            <w:tcW w:w="1250" w:type="dxa"/>
            <w:shd w:val="clear" w:color="auto" w:fill="D9E2F3"/>
            <w:vAlign w:val="center"/>
          </w:tcPr>
          <w:p w14:paraId="270FC56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任务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0F60E19A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输入→输出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21CD33A1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自动指标</w:t>
            </w:r>
          </w:p>
        </w:tc>
        <w:tc>
          <w:tcPr>
            <w:tcW w:w="3255" w:type="dxa"/>
            <w:shd w:val="clear" w:color="auto" w:fill="D9E2F3"/>
            <w:vAlign w:val="center"/>
          </w:tcPr>
          <w:p w14:paraId="378C7AB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主要难点</w:t>
            </w:r>
          </w:p>
        </w:tc>
      </w:tr>
      <w:tr w14:paraId="2E209492">
        <w:trPr>
          <w:cantSplit/>
          <w:jc w:val="center"/>
        </w:trPr>
        <w:tc>
          <w:tcPr>
            <w:tcW w:w="1250" w:type="dxa"/>
            <w:vAlign w:val="center"/>
          </w:tcPr>
          <w:p w14:paraId="5C06A63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中英翻译</w:t>
            </w:r>
          </w:p>
        </w:tc>
        <w:tc>
          <w:tcPr>
            <w:tcW w:w="1800" w:type="dxa"/>
            <w:vAlign w:val="center"/>
          </w:tcPr>
          <w:p w14:paraId="5D4872C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中文句子→英文译文</w:t>
            </w:r>
          </w:p>
        </w:tc>
        <w:tc>
          <w:tcPr>
            <w:tcW w:w="3100" w:type="dxa"/>
            <w:vAlign w:val="center"/>
          </w:tcPr>
          <w:p w14:paraId="643142A9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BLEU、chrF、长度比、重复率、输出合法率；LLM主观分</w:t>
            </w:r>
          </w:p>
        </w:tc>
        <w:tc>
          <w:tcPr>
            <w:tcW w:w="3255" w:type="dxa"/>
            <w:vAlign w:val="center"/>
          </w:tcPr>
          <w:p w14:paraId="49E80B1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语序调整、冠词与单复数、专名与数字、长句结构、重复生成与漏译</w:t>
            </w:r>
          </w:p>
        </w:tc>
      </w:tr>
    </w:tbl>
    <w:p w14:paraId="51D16E20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指标说明</w:t>
      </w:r>
    </w:p>
    <w:p w14:paraId="6066A189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BLEU</w:t>
      </w:r>
      <w:r>
        <w:rPr>
          <w:rFonts w:ascii="Assignment Song" w:hAnsi="Assignment Song" w:eastAsia="Assignment Song"/>
          <w:b w:val="0"/>
          <w:sz w:val="22"/>
        </w:rPr>
        <w:t>：基于n-gram精确率的标准机器翻译指标，范围为0—100，越高越好。0表示输出与参考译文没有任何重叠，100表示完全一致。一般经验上，20—29分表示“要点清晰但仍有明显语法错误”，30—40分表示“从可理解到质量良好”。学生手写的小型Transformer在20k训练句对上的BLEU通常不会很高，重点是观察不同配置之间的相对变化，而不是追求绝对高分。</w:t>
      </w:r>
    </w:p>
    <w:p w14:paraId="6ACC6E2E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chrF</w:t>
      </w:r>
      <w:r>
        <w:rPr>
          <w:rFonts w:ascii="Assignment Song" w:hAnsi="Assignment Song" w:eastAsia="Assignment Song"/>
          <w:b w:val="0"/>
          <w:sz w:val="22"/>
        </w:rPr>
        <w:t>：字符级n-gram的F-score，同时考虑精确率和召回率，对形态变化和部分匹配更宽容，适合作为BLEU的补充。</w:t>
      </w:r>
    </w:p>
    <w:p w14:paraId="2AEF9D7D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长度比</w:t>
      </w:r>
      <w:r>
        <w:rPr>
          <w:rFonts w:ascii="Assignment Song" w:hAnsi="Assignment Song" w:eastAsia="Assignment Song"/>
          <w:b w:val="0"/>
          <w:sz w:val="22"/>
        </w:rPr>
        <w:t>：系统输出长度与参考译文长度之比。显著小于1提示漏译，显著大于1提示重复或过度生成。</w:t>
      </w:r>
    </w:p>
    <w:p w14:paraId="6C528ABE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重复率</w:t>
      </w:r>
      <w:r>
        <w:rPr>
          <w:rFonts w:ascii="Assignment Song" w:hAnsi="Assignment Song" w:eastAsia="Assignment Song"/>
          <w:b w:val="0"/>
          <w:sz w:val="22"/>
        </w:rPr>
        <w:t>：输出中连续重复n-gram的比例或重复句比例。</w:t>
      </w:r>
    </w:p>
    <w:p w14:paraId="2C9B83C2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输出合法率</w:t>
      </w:r>
      <w:r>
        <w:rPr>
          <w:rFonts w:ascii="Assignment Song" w:hAnsi="Assignment Song" w:eastAsia="Assignment Song"/>
          <w:b w:val="0"/>
          <w:sz w:val="22"/>
        </w:rPr>
        <w:t>：输出非空、无乱码、无控制符、长度合规的样本比例。</w:t>
      </w:r>
    </w:p>
    <w:p w14:paraId="7C5C826F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/>
          <w:sz w:val="22"/>
        </w:rPr>
        <w:t>LLM主观打分</w:t>
      </w:r>
      <w:r>
        <w:rPr>
          <w:rFonts w:ascii="Assignment Song" w:hAnsi="Assignment Song" w:eastAsia="Assignment Song"/>
          <w:b w:val="0"/>
          <w:sz w:val="22"/>
        </w:rPr>
        <w:t>：抽样≥60条，从忠实度、流畅度、语法正确性三个维度1—5分打分。裁判模型须为第三方模型，报告中注明模型名称与打分提示词。</w:t>
      </w:r>
    </w:p>
    <w:p w14:paraId="24EBAFF5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 xml:space="preserve">自动指标可调用课程下发的 </w:t>
      </w:r>
      <w:r>
        <w:rPr>
          <w:rFonts w:ascii="Courier New" w:hAnsi="Courier New" w:eastAsia="Assignment Song"/>
          <w:b w:val="0"/>
          <w:sz w:val="20"/>
        </w:rPr>
        <w:t>metrics.py</w:t>
      </w:r>
      <w:r>
        <w:rPr>
          <w:rFonts w:ascii="Assignment Song" w:hAnsi="Assignment Song" w:eastAsia="Assignment Song"/>
          <w:b w:val="0"/>
          <w:sz w:val="22"/>
        </w:rPr>
        <w:t>，也可自行实现，但须在报告中说明计算方式与参数设置。</w:t>
      </w:r>
    </w:p>
    <w:p w14:paraId="63FD67C8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四、数据准备要求（固定数据集）</w:t>
      </w:r>
    </w:p>
    <w:p w14:paraId="3F7C7EA8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4.1 固定数据集与划分</w:t>
      </w:r>
    </w:p>
    <w:p w14:paraId="3EFFE7CC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本次作业</w:t>
      </w:r>
      <w:r>
        <w:rPr>
          <w:rFonts w:ascii="Assignment Song" w:hAnsi="Assignment Song" w:eastAsia="Assignment Song"/>
          <w:b/>
          <w:sz w:val="22"/>
        </w:rPr>
        <w:t>固定使用</w:t>
      </w:r>
      <w:r>
        <w:rPr>
          <w:rFonts w:ascii="Assignment Song" w:hAnsi="Assignment Song" w:eastAsia="Assignment Song"/>
          <w:b w:val="0"/>
          <w:sz w:val="22"/>
        </w:rPr>
        <w:t xml:space="preserve"> </w:t>
      </w:r>
      <w:r>
        <w:rPr>
          <w:rFonts w:ascii="Courier New" w:hAnsi="Courier New" w:eastAsia="Assignment Song"/>
          <w:b w:val="0"/>
          <w:sz w:val="20"/>
        </w:rPr>
        <w:t>Helsinki-NLP/opus-100</w:t>
      </w:r>
      <w:r>
        <w:rPr>
          <w:rFonts w:ascii="Assignment Song" w:hAnsi="Assignment Song" w:eastAsia="Assignment Song"/>
          <w:b w:val="0"/>
          <w:sz w:val="22"/>
        </w:rPr>
        <w:t xml:space="preserve"> 的 </w:t>
      </w:r>
      <w:r>
        <w:rPr>
          <w:rFonts w:ascii="Courier New" w:hAnsi="Courier New" w:eastAsia="Assignment Song"/>
          <w:b w:val="0"/>
          <w:sz w:val="20"/>
        </w:rPr>
        <w:t>en-zh</w:t>
      </w:r>
      <w:r>
        <w:rPr>
          <w:rFonts w:ascii="Assignment Song" w:hAnsi="Assignment Song" w:eastAsia="Assignment Song"/>
          <w:b w:val="0"/>
          <w:sz w:val="22"/>
        </w:rPr>
        <w:t xml:space="preserve"> 配置。OPUS-100是以英语为中心的多语言平行语料，中英方向官方训练集为1,000,000句对，验证集和测试集各为2,000句对。数据统一版本号：</w:t>
      </w:r>
      <w:r>
        <w:rPr>
          <w:rFonts w:ascii="Assignment Song" w:hAnsi="Assignment Song" w:eastAsia="Assignment Song"/>
          <w:b/>
          <w:sz w:val="22"/>
        </w:rPr>
        <w:t>mt-zh-en-opus100-v1</w:t>
      </w:r>
      <w:r>
        <w:rPr>
          <w:rFonts w:ascii="Assignment Song" w:hAnsi="Assignment Song" w:eastAsia="Assignment Song"/>
          <w:b w:val="0"/>
          <w:sz w:val="22"/>
        </w:rPr>
        <w:t>。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1650"/>
        <w:gridCol w:w="1650"/>
        <w:gridCol w:w="6105"/>
      </w:tblGrid>
      <w:tr w14:paraId="25A08D49">
        <w:trPr>
          <w:cantSplit/>
          <w:tblHeader/>
          <w:jc w:val="center"/>
        </w:trPr>
        <w:tc>
          <w:tcPr>
            <w:tcW w:w="1650" w:type="dxa"/>
            <w:shd w:val="clear" w:color="auto" w:fill="D9E2F3"/>
            <w:vAlign w:val="center"/>
          </w:tcPr>
          <w:p w14:paraId="597967A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划分</w:t>
            </w:r>
          </w:p>
        </w:tc>
        <w:tc>
          <w:tcPr>
            <w:tcW w:w="1650" w:type="dxa"/>
            <w:shd w:val="clear" w:color="auto" w:fill="D9E2F3"/>
            <w:vAlign w:val="center"/>
          </w:tcPr>
          <w:p w14:paraId="08FF13B2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官方规模</w:t>
            </w:r>
          </w:p>
        </w:tc>
        <w:tc>
          <w:tcPr>
            <w:tcW w:w="6105" w:type="dxa"/>
            <w:shd w:val="clear" w:color="auto" w:fill="D9E2F3"/>
            <w:vAlign w:val="center"/>
          </w:tcPr>
          <w:p w14:paraId="447301F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作业中的使用方式</w:t>
            </w:r>
          </w:p>
        </w:tc>
      </w:tr>
      <w:tr w14:paraId="3A16FFEA">
        <w:trPr>
          <w:cantSplit/>
          <w:jc w:val="center"/>
        </w:trPr>
        <w:tc>
          <w:tcPr>
            <w:tcW w:w="1650" w:type="dxa"/>
            <w:vAlign w:val="center"/>
          </w:tcPr>
          <w:p w14:paraId="3C6856D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train</w:t>
            </w:r>
          </w:p>
        </w:tc>
        <w:tc>
          <w:tcPr>
            <w:tcW w:w="1650" w:type="dxa"/>
            <w:vAlign w:val="center"/>
          </w:tcPr>
          <w:p w14:paraId="404F1C0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1,000,000句对</w:t>
            </w:r>
          </w:p>
        </w:tc>
        <w:tc>
          <w:tcPr>
            <w:tcW w:w="6105" w:type="dxa"/>
            <w:vAlign w:val="center"/>
          </w:tcPr>
          <w:p w14:paraId="7143538A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/>
                <w:sz w:val="19"/>
              </w:rPr>
              <w:t>固定随机种子42，采样20,000句对</w:t>
            </w:r>
            <w:r>
              <w:rPr>
                <w:rFonts w:ascii="Assignment Song" w:hAnsi="Assignment Song" w:eastAsia="Assignment Song"/>
                <w:b w:val="0"/>
                <w:sz w:val="19"/>
              </w:rPr>
              <w:t>作为实际训练集</w:t>
            </w:r>
          </w:p>
        </w:tc>
      </w:tr>
      <w:tr w14:paraId="762B7FA7">
        <w:trPr>
          <w:cantSplit/>
          <w:jc w:val="center"/>
        </w:trPr>
        <w:tc>
          <w:tcPr>
            <w:tcW w:w="1650" w:type="dxa"/>
            <w:vAlign w:val="center"/>
          </w:tcPr>
          <w:p w14:paraId="53E480B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validation</w:t>
            </w:r>
          </w:p>
        </w:tc>
        <w:tc>
          <w:tcPr>
            <w:tcW w:w="1650" w:type="dxa"/>
            <w:vAlign w:val="center"/>
          </w:tcPr>
          <w:p w14:paraId="3C26E1A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2,000句对</w:t>
            </w:r>
          </w:p>
        </w:tc>
        <w:tc>
          <w:tcPr>
            <w:tcW w:w="6105" w:type="dxa"/>
            <w:vAlign w:val="center"/>
          </w:tcPr>
          <w:p w14:paraId="3689043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/>
                <w:sz w:val="19"/>
              </w:rPr>
              <w:t>直接使用官方验证集</w:t>
            </w:r>
            <w:r>
              <w:rPr>
                <w:rFonts w:ascii="Assignment Song" w:hAnsi="Assignment Song" w:eastAsia="Assignment Song"/>
                <w:b w:val="0"/>
                <w:sz w:val="19"/>
              </w:rPr>
              <w:t>，用于早停与选checkpoint</w:t>
            </w:r>
          </w:p>
        </w:tc>
      </w:tr>
      <w:tr w14:paraId="6D8EB904">
        <w:trPr>
          <w:cantSplit/>
          <w:jc w:val="center"/>
        </w:trPr>
        <w:tc>
          <w:tcPr>
            <w:tcW w:w="1650" w:type="dxa"/>
            <w:vAlign w:val="center"/>
          </w:tcPr>
          <w:p w14:paraId="0692510A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test</w:t>
            </w:r>
          </w:p>
        </w:tc>
        <w:tc>
          <w:tcPr>
            <w:tcW w:w="1650" w:type="dxa"/>
            <w:vAlign w:val="center"/>
          </w:tcPr>
          <w:p w14:paraId="1DD95AA5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2,000句对</w:t>
            </w:r>
          </w:p>
        </w:tc>
        <w:tc>
          <w:tcPr>
            <w:tcW w:w="6105" w:type="dxa"/>
            <w:vAlign w:val="center"/>
          </w:tcPr>
          <w:p w14:paraId="2C14CF1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/>
                <w:sz w:val="19"/>
              </w:rPr>
              <w:t>直接使用官方测试集</w:t>
            </w:r>
            <w:r>
              <w:rPr>
                <w:rFonts w:ascii="Assignment Song" w:hAnsi="Assignment Song" w:eastAsia="Assignment Song"/>
                <w:b w:val="0"/>
                <w:sz w:val="19"/>
              </w:rPr>
              <w:t>，全量解码评测，不得参与训练或调参</w:t>
            </w:r>
          </w:p>
        </w:tc>
      </w:tr>
    </w:tbl>
    <w:p w14:paraId="5B4D2E20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 xml:space="preserve">采样方式：加载 </w:t>
      </w:r>
      <w:r>
        <w:rPr>
          <w:rFonts w:ascii="Courier New" w:hAnsi="Courier New" w:eastAsia="Assignment Song"/>
          <w:b w:val="0"/>
          <w:sz w:val="20"/>
        </w:rPr>
        <w:t>en-zh</w:t>
      </w:r>
      <w:r>
        <w:rPr>
          <w:rFonts w:ascii="Assignment Song" w:hAnsi="Assignment Song" w:eastAsia="Assignment Song"/>
          <w:b w:val="0"/>
          <w:sz w:val="22"/>
        </w:rPr>
        <w:t xml:space="preserve"> 配置后，对官方训练集用固定种子42打乱，取前20,000条；验证集和测试集直接使用官方划分，不做任何改动。</w:t>
      </w:r>
    </w:p>
    <w:p w14:paraId="2E815428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 xml:space="preserve">官方字段为 </w:t>
      </w:r>
      <w:r>
        <w:rPr>
          <w:rFonts w:ascii="Courier New" w:hAnsi="Courier New" w:eastAsia="Assignment Song"/>
          <w:b w:val="0"/>
          <w:sz w:val="20"/>
        </w:rPr>
        <w:t>translation</w:t>
      </w:r>
      <w:r>
        <w:rPr>
          <w:rFonts w:ascii="Assignment Song" w:hAnsi="Assignment Song" w:eastAsia="Assignment Song"/>
          <w:b w:val="0"/>
          <w:sz w:val="22"/>
        </w:rPr>
        <w:t xml:space="preserve"> 字典，包含 </w:t>
      </w:r>
      <w:r>
        <w:rPr>
          <w:rFonts w:ascii="Courier New" w:hAnsi="Courier New" w:eastAsia="Assignment Song"/>
          <w:b w:val="0"/>
          <w:sz w:val="20"/>
        </w:rPr>
        <w:t>en</w:t>
      </w:r>
      <w:r>
        <w:rPr>
          <w:rFonts w:ascii="Assignment Song" w:hAnsi="Assignment Song" w:eastAsia="Assignment Song"/>
          <w:b w:val="0"/>
          <w:sz w:val="22"/>
        </w:rPr>
        <w:t xml:space="preserve"> 和 </w:t>
      </w:r>
      <w:r>
        <w:rPr>
          <w:rFonts w:ascii="Courier New" w:hAnsi="Courier New" w:eastAsia="Assignment Song"/>
          <w:b w:val="0"/>
          <w:sz w:val="20"/>
        </w:rPr>
        <w:t>zh</w:t>
      </w:r>
      <w:r>
        <w:rPr>
          <w:rFonts w:ascii="Assignment Song" w:hAnsi="Assignment Song" w:eastAsia="Assignment Song"/>
          <w:b w:val="0"/>
          <w:sz w:val="22"/>
        </w:rPr>
        <w:t xml:space="preserve"> 两个键。学生需将其统一转换为项目内部的JSONL格式，每条记录含 </w:t>
      </w:r>
      <w:r>
        <w:rPr>
          <w:rFonts w:ascii="Courier New" w:hAnsi="Courier New" w:eastAsia="Assignment Song"/>
          <w:b w:val="0"/>
          <w:sz w:val="20"/>
        </w:rPr>
        <w:t>id</w:t>
      </w:r>
      <w:r>
        <w:rPr>
          <w:rFonts w:ascii="Assignment Song" w:hAnsi="Assignment Song" w:eastAsia="Assignment Song"/>
          <w:b w:val="0"/>
          <w:sz w:val="22"/>
        </w:rPr>
        <w:t>、</w:t>
      </w:r>
      <w:r>
        <w:rPr>
          <w:rFonts w:ascii="Courier New" w:hAnsi="Courier New" w:eastAsia="Assignment Song"/>
          <w:b w:val="0"/>
          <w:sz w:val="20"/>
        </w:rPr>
        <w:t>src</w:t>
      </w:r>
      <w:r>
        <w:rPr>
          <w:rFonts w:ascii="Assignment Song" w:hAnsi="Assignment Song" w:eastAsia="Assignment Song"/>
          <w:b w:val="0"/>
          <w:sz w:val="22"/>
        </w:rPr>
        <w:t>（中文）、</w:t>
      </w:r>
      <w:r>
        <w:rPr>
          <w:rFonts w:ascii="Courier New" w:hAnsi="Courier New" w:eastAsia="Assignment Song"/>
          <w:b w:val="0"/>
          <w:sz w:val="20"/>
        </w:rPr>
        <w:t>tgt</w:t>
      </w:r>
      <w:r>
        <w:rPr>
          <w:rFonts w:ascii="Assignment Song" w:hAnsi="Assignment Song" w:eastAsia="Assignment Song"/>
          <w:b w:val="0"/>
          <w:sz w:val="22"/>
        </w:rPr>
        <w:t>（英文）、</w:t>
      </w:r>
      <w:r>
        <w:rPr>
          <w:rFonts w:ascii="Courier New" w:hAnsi="Courier New" w:eastAsia="Assignment Song"/>
          <w:b w:val="0"/>
          <w:sz w:val="20"/>
        </w:rPr>
        <w:t>split</w:t>
      </w:r>
      <w:r>
        <w:rPr>
          <w:rFonts w:ascii="Assignment Song" w:hAnsi="Assignment Song" w:eastAsia="Assignment Song"/>
          <w:b w:val="0"/>
          <w:sz w:val="22"/>
        </w:rPr>
        <w:t xml:space="preserve"> 字段。数据示例：</w:t>
      </w:r>
    </w:p>
    <w:p w14:paraId="42B8BAAE">
      <w:pPr>
        <w:widowControl/>
        <w:spacing w:after="60" w:line="336" w:lineRule="auto"/>
        <w:ind w:left="420" w:right="100"/>
      </w:pPr>
      <w:r>
        <w:rPr>
          <w:rFonts w:ascii="Courier New" w:hAnsi="Courier New" w:eastAsia="Assignment Song"/>
          <w:b w:val="0"/>
          <w:sz w:val="18"/>
        </w:rPr>
        <w:t>{"id":"opus-train-000001","src":"今天天气很好。","tgt":"The weather is nice today.","split":"train"}</w:t>
      </w:r>
    </w:p>
    <w:p w14:paraId="0EA52D55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4.2 必须完成的数据检查</w:t>
      </w:r>
    </w:p>
    <w:p w14:paraId="5E21C187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1. </w:t>
      </w:r>
      <w:r>
        <w:rPr>
          <w:rFonts w:ascii="Assignment Song" w:hAnsi="Assignment Song" w:eastAsia="Assignment Song"/>
          <w:b/>
          <w:sz w:val="22"/>
        </w:rPr>
        <w:t>去重检查</w:t>
      </w:r>
      <w:r>
        <w:rPr>
          <w:rFonts w:ascii="Assignment Song" w:hAnsi="Assignment Song" w:eastAsia="Assignment Song"/>
          <w:b w:val="0"/>
          <w:sz w:val="22"/>
        </w:rPr>
        <w:t>：检查训练集与测试集之间是否存在完全重复的句对。若存在，从训练集中移除，并在报告中记录移除数量。</w:t>
      </w:r>
    </w:p>
    <w:p w14:paraId="03ED91A0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2. </w:t>
      </w:r>
      <w:r>
        <w:rPr>
          <w:rFonts w:ascii="Assignment Song" w:hAnsi="Assignment Song" w:eastAsia="Assignment Song"/>
          <w:b/>
          <w:sz w:val="22"/>
        </w:rPr>
        <w:t>长度统计</w:t>
      </w:r>
      <w:r>
        <w:rPr>
          <w:rFonts w:ascii="Assignment Song" w:hAnsi="Assignment Song" w:eastAsia="Assignment Song"/>
          <w:b w:val="0"/>
          <w:sz w:val="22"/>
        </w:rPr>
        <w:t>：统计训练集、验证集、测试集的源端和目标端句长分布（按词/字符），给出短、中、长句占比，并报告最大长度。</w:t>
      </w:r>
    </w:p>
    <w:p w14:paraId="29D26602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3. </w:t>
      </w:r>
      <w:r>
        <w:rPr>
          <w:rFonts w:ascii="Assignment Song" w:hAnsi="Assignment Song" w:eastAsia="Assignment Song"/>
          <w:b/>
          <w:sz w:val="22"/>
        </w:rPr>
        <w:t>特殊样本统计</w:t>
      </w:r>
      <w:r>
        <w:rPr>
          <w:rFonts w:ascii="Assignment Song" w:hAnsi="Assignment Song" w:eastAsia="Assignment Song"/>
          <w:b w:val="0"/>
          <w:sz w:val="22"/>
        </w:rPr>
        <w:t>：统计训练集中含数字、专名（连续大写词或音译词）、日期的样本比例。</w:t>
      </w:r>
    </w:p>
    <w:p w14:paraId="00342CD8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4. </w:t>
      </w:r>
      <w:r>
        <w:rPr>
          <w:rFonts w:ascii="Assignment Song" w:hAnsi="Assignment Song" w:eastAsia="Assignment Song"/>
          <w:b/>
          <w:sz w:val="22"/>
        </w:rPr>
        <w:t>人工抽检</w:t>
      </w:r>
      <w:r>
        <w:rPr>
          <w:rFonts w:ascii="Assignment Song" w:hAnsi="Assignment Song" w:eastAsia="Assignment Song"/>
          <w:b w:val="0"/>
          <w:sz w:val="22"/>
        </w:rPr>
        <w:t>：从测试集随机抽50条，核对中英对齐是否合理、是否存在明显的隐私或敏感内容。合格≥45条方可进入评测。</w:t>
      </w:r>
    </w:p>
    <w:p w14:paraId="194A4CD6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4.3 分词与词表</w:t>
      </w:r>
    </w:p>
    <w:p w14:paraId="29C439FD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学生可从字符级切分和BPE子词切分中选择一种作为主方案。若选择BPE，须在训练集上学习词表，词表大小建议8k—16k，并保存分词模型，保证训练与解码一致。必须记录：词表大小、OOV率、平均子词数、最大序列长度、PAD/BOS/EOS/UNK索引。</w:t>
      </w:r>
    </w:p>
    <w:p w14:paraId="420A36A1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五、Transformer实现要求</w:t>
      </w:r>
    </w:p>
    <w:p w14:paraId="77011C35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5.1 必须手写实现的核心组件</w:t>
      </w:r>
    </w:p>
    <w:p w14:paraId="59373DA4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 xml:space="preserve">主模型不得直接调用 </w:t>
      </w:r>
      <w:r>
        <w:rPr>
          <w:rFonts w:ascii="Courier New" w:hAnsi="Courier New" w:eastAsia="Assignment Song"/>
          <w:b w:val="0"/>
          <w:sz w:val="20"/>
        </w:rPr>
        <w:t>torch.nn.Transformer</w:t>
      </w:r>
      <w:r>
        <w:rPr>
          <w:rFonts w:ascii="Assignment Song" w:hAnsi="Assignment Song" w:eastAsia="Assignment Song"/>
          <w:b w:val="0"/>
          <w:sz w:val="22"/>
        </w:rPr>
        <w:t xml:space="preserve"> 或任何现成翻译模型。以下组件须自行实现，并在报告附录中给出关键代码或伪代码说明：</w:t>
      </w:r>
    </w:p>
    <w:p w14:paraId="76FA3274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1. Scaled Dot-Product Attention与Multi-Head Attention；</w:t>
      </w:r>
    </w:p>
    <w:p w14:paraId="5BB119BF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2. 正弦位置编码或可学习位置编码；</w:t>
      </w:r>
    </w:p>
    <w:p w14:paraId="2E850758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3. Position-wise Feed-Forward Network；</w:t>
      </w:r>
    </w:p>
    <w:p w14:paraId="18A1EB41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4. Add &amp; Norm（残差连接 + LayerNorm）；</w:t>
      </w:r>
    </w:p>
    <w:p w14:paraId="5514DE0A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5. EncoderLayer与DecoderLayer；</w:t>
      </w:r>
    </w:p>
    <w:p w14:paraId="329C2F22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6. 源端padding mask、目标端causal mask及其组合；</w:t>
      </w:r>
    </w:p>
    <w:p w14:paraId="28923B9A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7. Label Smoothing交叉熵；</w:t>
      </w:r>
    </w:p>
    <w:p w14:paraId="7943BC70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8. 学习率warmup调度；</w:t>
      </w:r>
    </w:p>
    <w:p w14:paraId="12B1A539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9. 贪心解码与Beam Search（支持长度惩罚）；</w:t>
      </w:r>
    </w:p>
    <w:p w14:paraId="3F54BD34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10. 训练循环、梯度裁剪、早停、checkpoint保存与恢复。</w:t>
      </w:r>
    </w:p>
    <w:p w14:paraId="420F78FC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 xml:space="preserve">允许使用 </w:t>
      </w:r>
      <w:r>
        <w:rPr>
          <w:rFonts w:ascii="Courier New" w:hAnsi="Courier New" w:eastAsia="Assignment Song"/>
          <w:b w:val="0"/>
          <w:sz w:val="20"/>
        </w:rPr>
        <w:t>nn.Linear</w:t>
      </w:r>
      <w:r>
        <w:rPr>
          <w:rFonts w:ascii="Assignment Song" w:hAnsi="Assignment Song" w:eastAsia="Assignment Song"/>
          <w:b w:val="0"/>
          <w:sz w:val="22"/>
        </w:rPr>
        <w:t>、</w:t>
      </w:r>
      <w:r>
        <w:rPr>
          <w:rFonts w:ascii="Courier New" w:hAnsi="Courier New" w:eastAsia="Assignment Song"/>
          <w:b w:val="0"/>
          <w:sz w:val="20"/>
        </w:rPr>
        <w:t>nn.Embedding</w:t>
      </w:r>
      <w:r>
        <w:rPr>
          <w:rFonts w:ascii="Assignment Song" w:hAnsi="Assignment Song" w:eastAsia="Assignment Song"/>
          <w:b w:val="0"/>
          <w:sz w:val="22"/>
        </w:rPr>
        <w:t>、</w:t>
      </w:r>
      <w:r>
        <w:rPr>
          <w:rFonts w:ascii="Courier New" w:hAnsi="Courier New" w:eastAsia="Assignment Song"/>
          <w:b w:val="0"/>
          <w:sz w:val="20"/>
        </w:rPr>
        <w:t>nn.Dropout</w:t>
      </w:r>
      <w:r>
        <w:rPr>
          <w:rFonts w:ascii="Assignment Song" w:hAnsi="Assignment Song" w:eastAsia="Assignment Song"/>
          <w:b w:val="0"/>
          <w:sz w:val="22"/>
        </w:rPr>
        <w:t>、</w:t>
      </w:r>
      <w:r>
        <w:rPr>
          <w:rFonts w:ascii="Courier New" w:hAnsi="Courier New" w:eastAsia="Assignment Song"/>
          <w:b w:val="0"/>
          <w:sz w:val="20"/>
        </w:rPr>
        <w:t>nn.LayerNorm</w:t>
      </w:r>
      <w:r>
        <w:rPr>
          <w:rFonts w:ascii="Assignment Song" w:hAnsi="Assignment Song" w:eastAsia="Assignment Song"/>
          <w:b w:val="0"/>
          <w:sz w:val="22"/>
        </w:rPr>
        <w:t xml:space="preserve"> 等基础模块。若用 </w:t>
      </w:r>
      <w:r>
        <w:rPr>
          <w:rFonts w:ascii="Courier New" w:hAnsi="Courier New" w:eastAsia="Assignment Song"/>
          <w:b w:val="0"/>
          <w:sz w:val="20"/>
        </w:rPr>
        <w:t>nn.MultiheadAttention</w:t>
      </w:r>
      <w:r>
        <w:rPr>
          <w:rFonts w:ascii="Assignment Song" w:hAnsi="Assignment Song" w:eastAsia="Assignment Song"/>
          <w:b w:val="0"/>
          <w:sz w:val="22"/>
        </w:rPr>
        <w:t xml:space="preserve"> 作对照实验，须明确标注“对照”，主系统仍须手写注意力。</w:t>
      </w:r>
    </w:p>
    <w:p w14:paraId="5F53C5CF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5.</w:t>
      </w:r>
      <w:r>
        <w:rPr>
          <w:rFonts w:hint="eastAsia" w:ascii="Assignment Hei" w:hAnsi="Assignment Hei" w:eastAsia="宋体"/>
          <w:b/>
          <w:color w:val="2E5496"/>
          <w:sz w:val="24"/>
          <w:lang w:val="en-US" w:eastAsia="zh-CN"/>
        </w:rPr>
        <w:t>2</w:t>
      </w:r>
      <w:r>
        <w:rPr>
          <w:rFonts w:ascii="Assignment Hei" w:hAnsi="Assignment Hei" w:eastAsia="Assignment Hei"/>
          <w:b/>
          <w:color w:val="2E5496"/>
          <w:sz w:val="24"/>
        </w:rPr>
        <w:t xml:space="preserve"> 必须记录的模型信息</w:t>
      </w:r>
    </w:p>
    <w:p w14:paraId="33803365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参数量、词表大小、训练集/验证集/测试集规模、每epoch训练时间、总训练时间、峰值显存、平均解码延时（ms/句）、best checkpoint所在epoch及验证集指标。</w:t>
      </w:r>
    </w:p>
    <w:p w14:paraId="03895793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六、训练与受控消融</w:t>
      </w:r>
    </w:p>
    <w:p w14:paraId="0068765A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6.1 基线训练</w:t>
      </w:r>
    </w:p>
    <w:p w14:paraId="4F94930B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先训练Base模型，在官方验证集2,000句上选择最优checkpoint，再在官方测试集2,000句上只评测一次最终配置。训练日志须包含：epoch、train l</w:t>
      </w:r>
      <w:bookmarkStart w:id="0" w:name="_GoBack"/>
      <w:bookmarkEnd w:id="0"/>
      <w:r>
        <w:rPr>
          <w:rFonts w:ascii="Assignment Song" w:hAnsi="Assignment Song" w:eastAsia="Assignment Song"/>
          <w:b w:val="0"/>
          <w:sz w:val="22"/>
        </w:rPr>
        <w:t>oss、valid loss、valid BLEU、valid chrF、学习率、梯度范数。</w:t>
      </w:r>
    </w:p>
    <w:p w14:paraId="357CD1B4">
      <w:pPr>
        <w:keepNext/>
        <w:widowControl/>
        <w:spacing w:before="180" w:after="80"/>
      </w:pPr>
      <w:r>
        <w:rPr>
          <w:rFonts w:ascii="Assignment Hei" w:hAnsi="Assignment Hei" w:eastAsia="Assignment Hei"/>
          <w:b/>
          <w:color w:val="2E5496"/>
          <w:sz w:val="24"/>
        </w:rPr>
        <w:t>6.2 受控消融实验</w:t>
      </w:r>
    </w:p>
    <w:p w14:paraId="30E9473D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至少完成</w:t>
      </w:r>
      <w:r>
        <w:rPr>
          <w:rFonts w:ascii="Assignment Song" w:hAnsi="Assignment Song" w:eastAsia="Assignment Song"/>
          <w:b/>
          <w:sz w:val="22"/>
        </w:rPr>
        <w:t>3组</w:t>
      </w:r>
      <w:r>
        <w:rPr>
          <w:rFonts w:ascii="Assignment Song" w:hAnsi="Assignment Song" w:eastAsia="Assignment Song"/>
          <w:b w:val="0"/>
          <w:sz w:val="22"/>
        </w:rPr>
        <w:t>受控实验。除被检验变量外，数据划分、随机种子、最大长度、batch策略和解码参数必须完全一致。推荐从以下选择：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850"/>
        <w:gridCol w:w="1800"/>
        <w:gridCol w:w="2600"/>
        <w:gridCol w:w="4155"/>
      </w:tblGrid>
      <w:tr w14:paraId="0006DB76">
        <w:trPr>
          <w:cantSplit/>
          <w:tblHeader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33B20B7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编号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482ADC3A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实验变量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68A97AA8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对照设置</w:t>
            </w:r>
          </w:p>
        </w:tc>
        <w:tc>
          <w:tcPr>
            <w:tcW w:w="4155" w:type="dxa"/>
            <w:shd w:val="clear" w:color="auto" w:fill="D9E2F3"/>
            <w:vAlign w:val="center"/>
          </w:tcPr>
          <w:p w14:paraId="35E77E2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要检验的假设</w:t>
            </w:r>
          </w:p>
        </w:tc>
      </w:tr>
      <w:tr w14:paraId="1F51A00F">
        <w:trPr>
          <w:cantSplit/>
          <w:jc w:val="center"/>
        </w:trPr>
        <w:tc>
          <w:tcPr>
            <w:tcW w:w="850" w:type="dxa"/>
            <w:vAlign w:val="center"/>
          </w:tcPr>
          <w:p w14:paraId="2CC9EDC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E1</w:t>
            </w:r>
          </w:p>
        </w:tc>
        <w:tc>
          <w:tcPr>
            <w:tcW w:w="1800" w:type="dxa"/>
            <w:vAlign w:val="center"/>
          </w:tcPr>
          <w:p w14:paraId="20B5D360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分词粒度</w:t>
            </w:r>
          </w:p>
        </w:tc>
        <w:tc>
          <w:tcPr>
            <w:tcW w:w="2600" w:type="dxa"/>
            <w:vAlign w:val="center"/>
          </w:tcPr>
          <w:p w14:paraId="58DCD4D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字符级 vs BPE</w:t>
            </w:r>
          </w:p>
        </w:tc>
        <w:tc>
          <w:tcPr>
            <w:tcW w:w="4155" w:type="dxa"/>
            <w:vAlign w:val="center"/>
          </w:tcPr>
          <w:p w14:paraId="0B9662B3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子词是否改善OOV与长词翻译</w:t>
            </w:r>
          </w:p>
        </w:tc>
      </w:tr>
      <w:tr w14:paraId="7D24E4C9">
        <w:trPr>
          <w:cantSplit/>
          <w:jc w:val="center"/>
        </w:trPr>
        <w:tc>
          <w:tcPr>
            <w:tcW w:w="850" w:type="dxa"/>
            <w:vAlign w:val="center"/>
          </w:tcPr>
          <w:p w14:paraId="4153E71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E2</w:t>
            </w:r>
          </w:p>
        </w:tc>
        <w:tc>
          <w:tcPr>
            <w:tcW w:w="1800" w:type="dxa"/>
            <w:vAlign w:val="center"/>
          </w:tcPr>
          <w:p w14:paraId="7B99A66A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Label Smoothing</w:t>
            </w:r>
          </w:p>
        </w:tc>
        <w:tc>
          <w:tcPr>
            <w:tcW w:w="2600" w:type="dxa"/>
            <w:vAlign w:val="center"/>
          </w:tcPr>
          <w:p w14:paraId="2B6E58B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0.0 vs 0.1</w:t>
            </w:r>
          </w:p>
        </w:tc>
        <w:tc>
          <w:tcPr>
            <w:tcW w:w="4155" w:type="dxa"/>
            <w:vAlign w:val="center"/>
          </w:tcPr>
          <w:p w14:paraId="4376C689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是否缓解过拟合与过度自信</w:t>
            </w:r>
          </w:p>
        </w:tc>
      </w:tr>
      <w:tr w14:paraId="772C2E76">
        <w:trPr>
          <w:cantSplit/>
          <w:jc w:val="center"/>
        </w:trPr>
        <w:tc>
          <w:tcPr>
            <w:tcW w:w="850" w:type="dxa"/>
            <w:vAlign w:val="center"/>
          </w:tcPr>
          <w:p w14:paraId="58D36A9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E3</w:t>
            </w:r>
          </w:p>
        </w:tc>
        <w:tc>
          <w:tcPr>
            <w:tcW w:w="1800" w:type="dxa"/>
            <w:vAlign w:val="center"/>
          </w:tcPr>
          <w:p w14:paraId="6A218A9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Beam Search</w:t>
            </w:r>
          </w:p>
        </w:tc>
        <w:tc>
          <w:tcPr>
            <w:tcW w:w="2600" w:type="dxa"/>
            <w:vAlign w:val="center"/>
          </w:tcPr>
          <w:p w14:paraId="398B473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beam=1 vs beam=4</w:t>
            </w:r>
          </w:p>
        </w:tc>
        <w:tc>
          <w:tcPr>
            <w:tcW w:w="4155" w:type="dxa"/>
            <w:vAlign w:val="center"/>
          </w:tcPr>
          <w:p w14:paraId="0E9A62E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搜索宽度对BLEU与延时的影响</w:t>
            </w:r>
          </w:p>
        </w:tc>
      </w:tr>
      <w:tr w14:paraId="6A9E0C8D">
        <w:trPr>
          <w:cantSplit/>
          <w:jc w:val="center"/>
        </w:trPr>
        <w:tc>
          <w:tcPr>
            <w:tcW w:w="850" w:type="dxa"/>
            <w:vAlign w:val="center"/>
          </w:tcPr>
          <w:p w14:paraId="666857F2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E4</w:t>
            </w:r>
          </w:p>
        </w:tc>
        <w:tc>
          <w:tcPr>
            <w:tcW w:w="1800" w:type="dxa"/>
            <w:vAlign w:val="center"/>
          </w:tcPr>
          <w:p w14:paraId="417AEA58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层数/头数</w:t>
            </w:r>
          </w:p>
        </w:tc>
        <w:tc>
          <w:tcPr>
            <w:tcW w:w="2600" w:type="dxa"/>
            <w:vAlign w:val="center"/>
          </w:tcPr>
          <w:p w14:paraId="7A135F0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4层4头 vs 6层8头</w:t>
            </w:r>
          </w:p>
        </w:tc>
        <w:tc>
          <w:tcPr>
            <w:tcW w:w="4155" w:type="dxa"/>
            <w:vAlign w:val="center"/>
          </w:tcPr>
          <w:p w14:paraId="7781D320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容量增加是否值得成本</w:t>
            </w:r>
          </w:p>
        </w:tc>
      </w:tr>
      <w:tr w14:paraId="6341759A">
        <w:trPr>
          <w:cantSplit/>
          <w:jc w:val="center"/>
        </w:trPr>
        <w:tc>
          <w:tcPr>
            <w:tcW w:w="850" w:type="dxa"/>
            <w:vAlign w:val="center"/>
          </w:tcPr>
          <w:p w14:paraId="473783A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E5</w:t>
            </w:r>
          </w:p>
        </w:tc>
        <w:tc>
          <w:tcPr>
            <w:tcW w:w="1800" w:type="dxa"/>
            <w:vAlign w:val="center"/>
          </w:tcPr>
          <w:p w14:paraId="4FFF3DA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位置编码</w:t>
            </w:r>
          </w:p>
        </w:tc>
        <w:tc>
          <w:tcPr>
            <w:tcW w:w="2600" w:type="dxa"/>
            <w:vAlign w:val="center"/>
          </w:tcPr>
          <w:p w14:paraId="3059970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正弦 vs 可学习</w:t>
            </w:r>
          </w:p>
        </w:tc>
        <w:tc>
          <w:tcPr>
            <w:tcW w:w="4155" w:type="dxa"/>
            <w:vAlign w:val="center"/>
          </w:tcPr>
          <w:p w14:paraId="363643B8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低资源下哪种位置表示更稳</w:t>
            </w:r>
          </w:p>
        </w:tc>
      </w:tr>
    </w:tbl>
    <w:p w14:paraId="22AB667F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实验登记表：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650"/>
        <w:gridCol w:w="1450"/>
        <w:gridCol w:w="2350"/>
        <w:gridCol w:w="850"/>
        <w:gridCol w:w="850"/>
        <w:gridCol w:w="950"/>
        <w:gridCol w:w="1150"/>
        <w:gridCol w:w="1155"/>
      </w:tblGrid>
      <w:tr w14:paraId="0B195E67">
        <w:trPr>
          <w:cantSplit/>
          <w:tblHeader/>
          <w:jc w:val="center"/>
        </w:trPr>
        <w:tc>
          <w:tcPr>
            <w:tcW w:w="650" w:type="dxa"/>
            <w:shd w:val="clear" w:color="auto" w:fill="D9E2F3"/>
            <w:vAlign w:val="center"/>
          </w:tcPr>
          <w:p w14:paraId="466737D5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版本</w:t>
            </w:r>
          </w:p>
        </w:tc>
        <w:tc>
          <w:tcPr>
            <w:tcW w:w="1450" w:type="dxa"/>
            <w:shd w:val="clear" w:color="auto" w:fill="D9E2F3"/>
            <w:vAlign w:val="center"/>
          </w:tcPr>
          <w:p w14:paraId="218A7BF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改动要点</w:t>
            </w:r>
          </w:p>
        </w:tc>
        <w:tc>
          <w:tcPr>
            <w:tcW w:w="2350" w:type="dxa"/>
            <w:shd w:val="clear" w:color="auto" w:fill="D9E2F3"/>
            <w:vAlign w:val="center"/>
          </w:tcPr>
          <w:p w14:paraId="17D335A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改动依据（来自哪类错误/现象）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FB2D8F5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BLEU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2B6740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chrF</w:t>
            </w:r>
          </w:p>
        </w:tc>
        <w:tc>
          <w:tcPr>
            <w:tcW w:w="950" w:type="dxa"/>
            <w:shd w:val="clear" w:color="auto" w:fill="D9E2F3"/>
            <w:vAlign w:val="center"/>
          </w:tcPr>
          <w:p w14:paraId="7A8C1156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长度比</w:t>
            </w:r>
          </w:p>
        </w:tc>
        <w:tc>
          <w:tcPr>
            <w:tcW w:w="1150" w:type="dxa"/>
            <w:shd w:val="clear" w:color="auto" w:fill="D9E2F3"/>
            <w:vAlign w:val="center"/>
          </w:tcPr>
          <w:p w14:paraId="2AB8548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延时/成本</w:t>
            </w:r>
          </w:p>
        </w:tc>
        <w:tc>
          <w:tcPr>
            <w:tcW w:w="1155" w:type="dxa"/>
            <w:shd w:val="clear" w:color="auto" w:fill="D9E2F3"/>
            <w:vAlign w:val="center"/>
          </w:tcPr>
          <w:p w14:paraId="3ECC246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结论（保留/回避）</w:t>
            </w:r>
          </w:p>
        </w:tc>
      </w:tr>
      <w:tr w14:paraId="340FB0B9">
        <w:trPr>
          <w:cantSplit/>
          <w:jc w:val="center"/>
        </w:trPr>
        <w:tc>
          <w:tcPr>
            <w:tcW w:w="650" w:type="dxa"/>
            <w:vAlign w:val="center"/>
          </w:tcPr>
          <w:p w14:paraId="0FFF8B1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v1</w:t>
            </w:r>
          </w:p>
        </w:tc>
        <w:tc>
          <w:tcPr>
            <w:tcW w:w="1450" w:type="dxa"/>
            <w:vAlign w:val="center"/>
          </w:tcPr>
          <w:p w14:paraId="1E06A013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Base</w:t>
            </w:r>
          </w:p>
        </w:tc>
        <w:tc>
          <w:tcPr>
            <w:tcW w:w="2350" w:type="dxa"/>
            <w:vAlign w:val="center"/>
          </w:tcPr>
          <w:p w14:paraId="382ABC8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—</w:t>
            </w:r>
          </w:p>
        </w:tc>
        <w:tc>
          <w:tcPr>
            <w:tcW w:w="850" w:type="dxa"/>
            <w:vAlign w:val="center"/>
          </w:tcPr>
          <w:p w14:paraId="4CC61144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850" w:type="dxa"/>
            <w:vAlign w:val="center"/>
          </w:tcPr>
          <w:p w14:paraId="566E4563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950" w:type="dxa"/>
            <w:vAlign w:val="center"/>
          </w:tcPr>
          <w:p w14:paraId="463848E6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0" w:type="dxa"/>
            <w:vAlign w:val="center"/>
          </w:tcPr>
          <w:p w14:paraId="55C14364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5" w:type="dxa"/>
            <w:vAlign w:val="center"/>
          </w:tcPr>
          <w:p w14:paraId="7D0AFC14">
            <w:pPr>
              <w:keepNext w:val="0"/>
              <w:widowControl/>
              <w:spacing w:before="20" w:after="20" w:line="240" w:lineRule="auto"/>
              <w:jc w:val="center"/>
            </w:pPr>
          </w:p>
        </w:tc>
      </w:tr>
      <w:tr w14:paraId="57D8AA7B">
        <w:trPr>
          <w:cantSplit/>
          <w:jc w:val="center"/>
        </w:trPr>
        <w:tc>
          <w:tcPr>
            <w:tcW w:w="650" w:type="dxa"/>
            <w:vAlign w:val="center"/>
          </w:tcPr>
          <w:p w14:paraId="4F85961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v2</w:t>
            </w:r>
          </w:p>
        </w:tc>
        <w:tc>
          <w:tcPr>
            <w:tcW w:w="1450" w:type="dxa"/>
            <w:vAlign w:val="center"/>
          </w:tcPr>
          <w:p w14:paraId="1D1331FB">
            <w:pPr>
              <w:keepNext w:val="0"/>
              <w:widowControl/>
              <w:spacing w:before="20" w:after="20" w:line="240" w:lineRule="auto"/>
              <w:jc w:val="left"/>
            </w:pPr>
          </w:p>
        </w:tc>
        <w:tc>
          <w:tcPr>
            <w:tcW w:w="2350" w:type="dxa"/>
            <w:vAlign w:val="center"/>
          </w:tcPr>
          <w:p w14:paraId="5FFE3FCF">
            <w:pPr>
              <w:keepNext w:val="0"/>
              <w:widowControl/>
              <w:spacing w:before="20" w:after="20"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090463F5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850" w:type="dxa"/>
            <w:vAlign w:val="center"/>
          </w:tcPr>
          <w:p w14:paraId="6A807BEF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950" w:type="dxa"/>
            <w:vAlign w:val="center"/>
          </w:tcPr>
          <w:p w14:paraId="5B6ACAB1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0" w:type="dxa"/>
            <w:vAlign w:val="center"/>
          </w:tcPr>
          <w:p w14:paraId="07A3E434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5" w:type="dxa"/>
            <w:vAlign w:val="center"/>
          </w:tcPr>
          <w:p w14:paraId="1CA63FC1">
            <w:pPr>
              <w:keepNext w:val="0"/>
              <w:widowControl/>
              <w:spacing w:before="20" w:after="20" w:line="240" w:lineRule="auto"/>
              <w:jc w:val="center"/>
            </w:pPr>
          </w:p>
        </w:tc>
      </w:tr>
      <w:tr w14:paraId="5E745DA7">
        <w:trPr>
          <w:cantSplit/>
          <w:jc w:val="center"/>
        </w:trPr>
        <w:tc>
          <w:tcPr>
            <w:tcW w:w="650" w:type="dxa"/>
            <w:vAlign w:val="center"/>
          </w:tcPr>
          <w:p w14:paraId="3493A6BC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v3</w:t>
            </w:r>
          </w:p>
        </w:tc>
        <w:tc>
          <w:tcPr>
            <w:tcW w:w="1450" w:type="dxa"/>
            <w:vAlign w:val="center"/>
          </w:tcPr>
          <w:p w14:paraId="74EA13F4">
            <w:pPr>
              <w:keepNext w:val="0"/>
              <w:widowControl/>
              <w:spacing w:before="20" w:after="20" w:line="240" w:lineRule="auto"/>
              <w:jc w:val="left"/>
            </w:pPr>
          </w:p>
        </w:tc>
        <w:tc>
          <w:tcPr>
            <w:tcW w:w="2350" w:type="dxa"/>
            <w:vAlign w:val="center"/>
          </w:tcPr>
          <w:p w14:paraId="62061224">
            <w:pPr>
              <w:keepNext w:val="0"/>
              <w:widowControl/>
              <w:spacing w:before="20" w:after="20" w:line="240" w:lineRule="auto"/>
              <w:jc w:val="left"/>
            </w:pPr>
          </w:p>
        </w:tc>
        <w:tc>
          <w:tcPr>
            <w:tcW w:w="850" w:type="dxa"/>
            <w:vAlign w:val="center"/>
          </w:tcPr>
          <w:p w14:paraId="4AE05566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850" w:type="dxa"/>
            <w:vAlign w:val="center"/>
          </w:tcPr>
          <w:p w14:paraId="628086D4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950" w:type="dxa"/>
            <w:vAlign w:val="center"/>
          </w:tcPr>
          <w:p w14:paraId="752820C5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0" w:type="dxa"/>
            <w:vAlign w:val="center"/>
          </w:tcPr>
          <w:p w14:paraId="3C41665A">
            <w:pPr>
              <w:keepNext w:val="0"/>
              <w:widowControl/>
              <w:spacing w:before="20" w:after="20" w:line="240" w:lineRule="auto"/>
              <w:jc w:val="center"/>
            </w:pPr>
          </w:p>
        </w:tc>
        <w:tc>
          <w:tcPr>
            <w:tcW w:w="1155" w:type="dxa"/>
            <w:vAlign w:val="center"/>
          </w:tcPr>
          <w:p w14:paraId="38BAF520">
            <w:pPr>
              <w:keepNext w:val="0"/>
              <w:widowControl/>
              <w:spacing w:before="20" w:after="20" w:line="240" w:lineRule="auto"/>
              <w:jc w:val="center"/>
            </w:pPr>
          </w:p>
        </w:tc>
      </w:tr>
    </w:tbl>
    <w:p w14:paraId="6DBACF99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评分时更看重“为什么改、改后指标与成本如何变化”，而不是单一最高分。</w:t>
      </w:r>
    </w:p>
    <w:p w14:paraId="5972CA1C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七、解码与评测要求</w:t>
      </w:r>
    </w:p>
    <w:p w14:paraId="5EA7A35F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1. 必须实现贪心解码与Beam Search，Beam Search支持长度惩罚。</w:t>
      </w:r>
    </w:p>
    <w:p w14:paraId="0370FACE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2. 解码时正确使用BOS/EOS/PAD，遇EOS停止，禁止把PAD继续送入后续解码步骤。</w:t>
      </w:r>
    </w:p>
    <w:p w14:paraId="0210AC76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3. 输出去除特殊符号，保留标点；英文输出不应出现乱码或控制符。</w:t>
      </w:r>
    </w:p>
    <w:p w14:paraId="78F5AFFF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4. 官方测试集2,000句必须</w:t>
      </w:r>
      <w:r>
        <w:rPr>
          <w:rFonts w:ascii="Assignment Song" w:hAnsi="Assignment Song" w:eastAsia="Assignment Song"/>
          <w:b/>
          <w:sz w:val="22"/>
        </w:rPr>
        <w:t>全量解码</w:t>
      </w:r>
      <w:r>
        <w:rPr>
          <w:rFonts w:ascii="Assignment Song" w:hAnsi="Assignment Song" w:eastAsia="Assignment Song"/>
          <w:b w:val="0"/>
          <w:sz w:val="22"/>
        </w:rPr>
        <w:t>，不得只解码子集。</w:t>
      </w:r>
    </w:p>
    <w:p w14:paraId="40F64E6F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5. 计算BLEU、chrF、长度比、重复率、输出合法率、平均解码延时，汇总为结果表。</w:t>
      </w:r>
    </w:p>
    <w:p w14:paraId="1FEEE844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>6. 抽样不少于60条做LLM主观打分，覆盖不同句长。打分维度：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1500"/>
        <w:gridCol w:w="2600"/>
        <w:gridCol w:w="2600"/>
        <w:gridCol w:w="2705"/>
      </w:tblGrid>
      <w:tr w14:paraId="7CCA6D84">
        <w:trPr>
          <w:cantSplit/>
          <w:tblHeader/>
          <w:jc w:val="center"/>
        </w:trPr>
        <w:tc>
          <w:tcPr>
            <w:tcW w:w="1500" w:type="dxa"/>
            <w:shd w:val="clear" w:color="auto" w:fill="D9E2F3"/>
            <w:vAlign w:val="center"/>
          </w:tcPr>
          <w:p w14:paraId="1CFD149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维度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0D1530E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1分</w:t>
            </w:r>
          </w:p>
        </w:tc>
        <w:tc>
          <w:tcPr>
            <w:tcW w:w="2600" w:type="dxa"/>
            <w:shd w:val="clear" w:color="auto" w:fill="D9E2F3"/>
            <w:vAlign w:val="center"/>
          </w:tcPr>
          <w:p w14:paraId="0BAFCE3A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3分</w:t>
            </w:r>
          </w:p>
        </w:tc>
        <w:tc>
          <w:tcPr>
            <w:tcW w:w="2705" w:type="dxa"/>
            <w:shd w:val="clear" w:color="auto" w:fill="D9E2F3"/>
            <w:vAlign w:val="center"/>
          </w:tcPr>
          <w:p w14:paraId="26D70795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5分</w:t>
            </w:r>
          </w:p>
        </w:tc>
      </w:tr>
      <w:tr w14:paraId="72C6579D">
        <w:trPr>
          <w:cantSplit/>
          <w:jc w:val="center"/>
        </w:trPr>
        <w:tc>
          <w:tcPr>
            <w:tcW w:w="1500" w:type="dxa"/>
            <w:vAlign w:val="center"/>
          </w:tcPr>
          <w:p w14:paraId="3E90AC6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忠实度</w:t>
            </w:r>
          </w:p>
        </w:tc>
        <w:tc>
          <w:tcPr>
            <w:tcW w:w="2600" w:type="dxa"/>
            <w:vAlign w:val="center"/>
          </w:tcPr>
          <w:p w14:paraId="7D21803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严重漏译/错译</w:t>
            </w:r>
          </w:p>
        </w:tc>
        <w:tc>
          <w:tcPr>
            <w:tcW w:w="2600" w:type="dxa"/>
            <w:vAlign w:val="center"/>
          </w:tcPr>
          <w:p w14:paraId="6C85EA2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主要信息正确但有细节错误</w:t>
            </w:r>
          </w:p>
        </w:tc>
        <w:tc>
          <w:tcPr>
            <w:tcW w:w="2705" w:type="dxa"/>
            <w:vAlign w:val="center"/>
          </w:tcPr>
          <w:p w14:paraId="07FC51A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信息完整准确</w:t>
            </w:r>
          </w:p>
        </w:tc>
      </w:tr>
      <w:tr w14:paraId="228A4468">
        <w:trPr>
          <w:cantSplit/>
          <w:jc w:val="center"/>
        </w:trPr>
        <w:tc>
          <w:tcPr>
            <w:tcW w:w="1500" w:type="dxa"/>
            <w:vAlign w:val="center"/>
          </w:tcPr>
          <w:p w14:paraId="79B43B01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流畅度</w:t>
            </w:r>
          </w:p>
        </w:tc>
        <w:tc>
          <w:tcPr>
            <w:tcW w:w="2600" w:type="dxa"/>
            <w:vAlign w:val="center"/>
          </w:tcPr>
          <w:p w14:paraId="2C37BFE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不成句/严重重复</w:t>
            </w:r>
          </w:p>
        </w:tc>
        <w:tc>
          <w:tcPr>
            <w:tcW w:w="2600" w:type="dxa"/>
            <w:vAlign w:val="center"/>
          </w:tcPr>
          <w:p w14:paraId="65D349F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可读但有语序问题</w:t>
            </w:r>
          </w:p>
        </w:tc>
        <w:tc>
          <w:tcPr>
            <w:tcW w:w="2705" w:type="dxa"/>
            <w:vAlign w:val="center"/>
          </w:tcPr>
          <w:p w14:paraId="5ADEAC9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自然流畅</w:t>
            </w:r>
          </w:p>
        </w:tc>
      </w:tr>
      <w:tr w14:paraId="01F01D0F">
        <w:trPr>
          <w:cantSplit/>
          <w:jc w:val="center"/>
        </w:trPr>
        <w:tc>
          <w:tcPr>
            <w:tcW w:w="1500" w:type="dxa"/>
            <w:vAlign w:val="center"/>
          </w:tcPr>
          <w:p w14:paraId="06D631B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语法正确性</w:t>
            </w:r>
          </w:p>
        </w:tc>
        <w:tc>
          <w:tcPr>
            <w:tcW w:w="2600" w:type="dxa"/>
            <w:vAlign w:val="center"/>
          </w:tcPr>
          <w:p w14:paraId="337E6F4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冠词、时态、单复数大量错误</w:t>
            </w:r>
          </w:p>
        </w:tc>
        <w:tc>
          <w:tcPr>
            <w:tcW w:w="2600" w:type="dxa"/>
            <w:vAlign w:val="center"/>
          </w:tcPr>
          <w:p w14:paraId="2BD44905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部分正确</w:t>
            </w:r>
          </w:p>
        </w:tc>
        <w:tc>
          <w:tcPr>
            <w:tcW w:w="2705" w:type="dxa"/>
            <w:vAlign w:val="center"/>
          </w:tcPr>
          <w:p w14:paraId="150560D0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基本正确</w:t>
            </w:r>
          </w:p>
        </w:tc>
      </w:tr>
    </w:tbl>
    <w:p w14:paraId="3B589984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完成打分后，用一段简短讨论说明：BLEU/chrF较高的样本，主观分是否也较高；是否存在自动指标低但译文实际可接受、或自动指标高但译文不可读的案例。</w:t>
      </w:r>
    </w:p>
    <w:p w14:paraId="5B2A8B64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八、6学时进度安排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850"/>
        <w:gridCol w:w="1850"/>
        <w:gridCol w:w="1000"/>
        <w:gridCol w:w="3800"/>
        <w:gridCol w:w="1905"/>
      </w:tblGrid>
      <w:tr w14:paraId="5E9DC5C8">
        <w:trPr>
          <w:cantSplit/>
          <w:tblHeader/>
          <w:jc w:val="center"/>
        </w:trPr>
        <w:tc>
          <w:tcPr>
            <w:tcW w:w="850" w:type="dxa"/>
            <w:shd w:val="clear" w:color="auto" w:fill="D9E2F3"/>
            <w:vAlign w:val="center"/>
          </w:tcPr>
          <w:p w14:paraId="11B4461A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课次</w:t>
            </w:r>
          </w:p>
        </w:tc>
        <w:tc>
          <w:tcPr>
            <w:tcW w:w="1850" w:type="dxa"/>
            <w:shd w:val="clear" w:color="auto" w:fill="D9E2F3"/>
            <w:vAlign w:val="center"/>
          </w:tcPr>
          <w:p w14:paraId="5BA8FAD6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环节</w:t>
            </w:r>
          </w:p>
        </w:tc>
        <w:tc>
          <w:tcPr>
            <w:tcW w:w="1000" w:type="dxa"/>
            <w:shd w:val="clear" w:color="auto" w:fill="D9E2F3"/>
            <w:vAlign w:val="center"/>
          </w:tcPr>
          <w:p w14:paraId="6E54B0E8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时长</w:t>
            </w:r>
          </w:p>
        </w:tc>
        <w:tc>
          <w:tcPr>
            <w:tcW w:w="3800" w:type="dxa"/>
            <w:shd w:val="clear" w:color="auto" w:fill="D9E2F3"/>
            <w:vAlign w:val="center"/>
          </w:tcPr>
          <w:p w14:paraId="698091F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内容</w:t>
            </w:r>
          </w:p>
        </w:tc>
        <w:tc>
          <w:tcPr>
            <w:tcW w:w="1905" w:type="dxa"/>
            <w:shd w:val="clear" w:color="auto" w:fill="D9E2F3"/>
            <w:vAlign w:val="center"/>
          </w:tcPr>
          <w:p w14:paraId="27A5B8B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产出</w:t>
            </w:r>
          </w:p>
        </w:tc>
      </w:tr>
      <w:tr w14:paraId="29FB5FF5">
        <w:trPr>
          <w:cantSplit/>
          <w:jc w:val="center"/>
        </w:trPr>
        <w:tc>
          <w:tcPr>
            <w:tcW w:w="850" w:type="dxa"/>
            <w:vAlign w:val="center"/>
          </w:tcPr>
          <w:p w14:paraId="6264457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第1次</w:t>
            </w:r>
          </w:p>
        </w:tc>
        <w:tc>
          <w:tcPr>
            <w:tcW w:w="1850" w:type="dxa"/>
            <w:vAlign w:val="center"/>
          </w:tcPr>
          <w:p w14:paraId="6BA0F32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A0 环境与数据加载</w:t>
            </w:r>
          </w:p>
        </w:tc>
        <w:tc>
          <w:tcPr>
            <w:tcW w:w="1000" w:type="dxa"/>
            <w:vAlign w:val="center"/>
          </w:tcPr>
          <w:p w14:paraId="1EDFDEC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15分钟</w:t>
            </w:r>
          </w:p>
        </w:tc>
        <w:tc>
          <w:tcPr>
            <w:tcW w:w="3800" w:type="dxa"/>
            <w:vAlign w:val="center"/>
          </w:tcPr>
          <w:p w14:paraId="0753F89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配置PyTorch；加载OPUS-100；确认train/validation/test规模</w:t>
            </w:r>
          </w:p>
        </w:tc>
        <w:tc>
          <w:tcPr>
            <w:tcW w:w="1905" w:type="dxa"/>
            <w:vAlign w:val="center"/>
          </w:tcPr>
          <w:p w14:paraId="6E14455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环境与数据日志</w:t>
            </w:r>
          </w:p>
        </w:tc>
      </w:tr>
      <w:tr w14:paraId="0CF10770">
        <w:trPr>
          <w:cantSplit/>
          <w:jc w:val="center"/>
        </w:trPr>
        <w:tc>
          <w:tcPr>
            <w:tcW w:w="850" w:type="dxa"/>
            <w:vAlign w:val="center"/>
          </w:tcPr>
          <w:p w14:paraId="54B2690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第1次</w:t>
            </w:r>
          </w:p>
        </w:tc>
        <w:tc>
          <w:tcPr>
            <w:tcW w:w="1850" w:type="dxa"/>
            <w:vAlign w:val="center"/>
          </w:tcPr>
          <w:p w14:paraId="1A4F0CA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A1 数据转换与检查</w:t>
            </w:r>
          </w:p>
        </w:tc>
        <w:tc>
          <w:tcPr>
            <w:tcW w:w="1000" w:type="dxa"/>
            <w:vAlign w:val="center"/>
          </w:tcPr>
          <w:p w14:paraId="2952D53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30分钟</w:t>
            </w:r>
          </w:p>
        </w:tc>
        <w:tc>
          <w:tcPr>
            <w:tcW w:w="3800" w:type="dxa"/>
            <w:vAlign w:val="center"/>
          </w:tcPr>
          <w:p w14:paraId="4A83339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转为JSONL；固定种子采样20k训练集；去重、长度统计、抽检50条</w:t>
            </w:r>
          </w:p>
        </w:tc>
        <w:tc>
          <w:tcPr>
            <w:tcW w:w="1905" w:type="dxa"/>
            <w:vAlign w:val="center"/>
          </w:tcPr>
          <w:p w14:paraId="7FB7AF43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数据文件、检查记录</w:t>
            </w:r>
          </w:p>
        </w:tc>
      </w:tr>
      <w:tr w14:paraId="301215EC">
        <w:trPr>
          <w:cantSplit/>
          <w:jc w:val="center"/>
        </w:trPr>
        <w:tc>
          <w:tcPr>
            <w:tcW w:w="850" w:type="dxa"/>
            <w:vAlign w:val="center"/>
          </w:tcPr>
          <w:p w14:paraId="4CB5D863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第1次</w:t>
            </w:r>
          </w:p>
        </w:tc>
        <w:tc>
          <w:tcPr>
            <w:tcW w:w="1850" w:type="dxa"/>
            <w:vAlign w:val="center"/>
          </w:tcPr>
          <w:p w14:paraId="487DE10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A2 分词与词表</w:t>
            </w:r>
          </w:p>
        </w:tc>
        <w:tc>
          <w:tcPr>
            <w:tcW w:w="1000" w:type="dxa"/>
            <w:vAlign w:val="center"/>
          </w:tcPr>
          <w:p w14:paraId="4C36B50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25分钟</w:t>
            </w:r>
          </w:p>
        </w:tc>
        <w:tc>
          <w:tcPr>
            <w:tcW w:w="3800" w:type="dxa"/>
            <w:vAlign w:val="center"/>
          </w:tcPr>
          <w:p w14:paraId="42DE32D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字符级或BPE；保存词表；统计OOV与长度</w:t>
            </w:r>
          </w:p>
        </w:tc>
        <w:tc>
          <w:tcPr>
            <w:tcW w:w="1905" w:type="dxa"/>
            <w:vAlign w:val="center"/>
          </w:tcPr>
          <w:p w14:paraId="1A79684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词表、统计表</w:t>
            </w:r>
          </w:p>
        </w:tc>
      </w:tr>
      <w:tr w14:paraId="2DA9B42A">
        <w:trPr>
          <w:cantSplit/>
          <w:jc w:val="center"/>
        </w:trPr>
        <w:tc>
          <w:tcPr>
            <w:tcW w:w="850" w:type="dxa"/>
            <w:vAlign w:val="center"/>
          </w:tcPr>
          <w:p w14:paraId="7FF4C0A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第1次</w:t>
            </w:r>
          </w:p>
        </w:tc>
        <w:tc>
          <w:tcPr>
            <w:tcW w:w="1850" w:type="dxa"/>
            <w:vAlign w:val="center"/>
          </w:tcPr>
          <w:p w14:paraId="3871D20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A3 手写Transformer</w:t>
            </w:r>
          </w:p>
        </w:tc>
        <w:tc>
          <w:tcPr>
            <w:tcW w:w="1000" w:type="dxa"/>
            <w:vAlign w:val="center"/>
          </w:tcPr>
          <w:p w14:paraId="0E48B63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45分钟</w:t>
            </w:r>
          </w:p>
        </w:tc>
        <w:tc>
          <w:tcPr>
            <w:tcW w:w="3800" w:type="dxa"/>
            <w:vAlign w:val="center"/>
          </w:tcPr>
          <w:p w14:paraId="71285A7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Attention、位置编码、Encoder/Decoder、mask</w:t>
            </w:r>
          </w:p>
        </w:tc>
        <w:tc>
          <w:tcPr>
            <w:tcW w:w="1905" w:type="dxa"/>
            <w:vAlign w:val="center"/>
          </w:tcPr>
          <w:p w14:paraId="3E51065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模型代码通过形状测试</w:t>
            </w:r>
          </w:p>
        </w:tc>
      </w:tr>
      <w:tr w14:paraId="670BF698">
        <w:trPr>
          <w:cantSplit/>
          <w:jc w:val="center"/>
        </w:trPr>
        <w:tc>
          <w:tcPr>
            <w:tcW w:w="850" w:type="dxa"/>
            <w:vAlign w:val="center"/>
          </w:tcPr>
          <w:p w14:paraId="24B485A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第1次</w:t>
            </w:r>
          </w:p>
        </w:tc>
        <w:tc>
          <w:tcPr>
            <w:tcW w:w="1850" w:type="dxa"/>
            <w:vAlign w:val="center"/>
          </w:tcPr>
          <w:p w14:paraId="003835A9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A4 小样本过拟合</w:t>
            </w:r>
          </w:p>
        </w:tc>
        <w:tc>
          <w:tcPr>
            <w:tcW w:w="1000" w:type="dxa"/>
            <w:vAlign w:val="center"/>
          </w:tcPr>
          <w:p w14:paraId="0075A38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20分钟</w:t>
            </w:r>
          </w:p>
        </w:tc>
        <w:tc>
          <w:tcPr>
            <w:tcW w:w="3800" w:type="dxa"/>
            <w:vAlign w:val="center"/>
          </w:tcPr>
          <w:p w14:paraId="337C393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50—100句训练，确认loss可下降、解码不崩</w:t>
            </w:r>
          </w:p>
        </w:tc>
        <w:tc>
          <w:tcPr>
            <w:tcW w:w="1905" w:type="dxa"/>
            <w:vAlign w:val="center"/>
          </w:tcPr>
          <w:p w14:paraId="4020CD3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过拟合测试记录</w:t>
            </w:r>
          </w:p>
        </w:tc>
      </w:tr>
      <w:tr w14:paraId="3F1C88C7">
        <w:trPr>
          <w:cantSplit/>
          <w:jc w:val="center"/>
        </w:trPr>
        <w:tc>
          <w:tcPr>
            <w:tcW w:w="850" w:type="dxa"/>
            <w:vAlign w:val="center"/>
          </w:tcPr>
          <w:p w14:paraId="4D72C20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第2次</w:t>
            </w:r>
          </w:p>
        </w:tc>
        <w:tc>
          <w:tcPr>
            <w:tcW w:w="1850" w:type="dxa"/>
            <w:vAlign w:val="center"/>
          </w:tcPr>
          <w:p w14:paraId="4FA06627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B1 基线训练</w:t>
            </w:r>
          </w:p>
        </w:tc>
        <w:tc>
          <w:tcPr>
            <w:tcW w:w="1000" w:type="dxa"/>
            <w:vAlign w:val="center"/>
          </w:tcPr>
          <w:p w14:paraId="37634B2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60分钟</w:t>
            </w:r>
          </w:p>
        </w:tc>
        <w:tc>
          <w:tcPr>
            <w:tcW w:w="3800" w:type="dxa"/>
            <w:vAlign w:val="center"/>
          </w:tcPr>
          <w:p w14:paraId="1A446B5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训练Base模型；验证集选最优checkpoint</w:t>
            </w:r>
          </w:p>
        </w:tc>
        <w:tc>
          <w:tcPr>
            <w:tcW w:w="1905" w:type="dxa"/>
            <w:vAlign w:val="center"/>
          </w:tcPr>
          <w:p w14:paraId="35FEDB4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基线模型、训练日志</w:t>
            </w:r>
          </w:p>
        </w:tc>
      </w:tr>
      <w:tr w14:paraId="7372F024">
        <w:trPr>
          <w:cantSplit/>
          <w:jc w:val="center"/>
        </w:trPr>
        <w:tc>
          <w:tcPr>
            <w:tcW w:w="850" w:type="dxa"/>
            <w:vAlign w:val="center"/>
          </w:tcPr>
          <w:p w14:paraId="02B6948E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第2次</w:t>
            </w:r>
          </w:p>
        </w:tc>
        <w:tc>
          <w:tcPr>
            <w:tcW w:w="1850" w:type="dxa"/>
            <w:vAlign w:val="center"/>
          </w:tcPr>
          <w:p w14:paraId="280EF645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B2 受控消融</w:t>
            </w:r>
          </w:p>
        </w:tc>
        <w:tc>
          <w:tcPr>
            <w:tcW w:w="1000" w:type="dxa"/>
            <w:vAlign w:val="center"/>
          </w:tcPr>
          <w:p w14:paraId="7756F99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40分钟</w:t>
            </w:r>
          </w:p>
        </w:tc>
        <w:tc>
          <w:tcPr>
            <w:tcW w:w="3800" w:type="dxa"/>
            <w:vAlign w:val="center"/>
          </w:tcPr>
          <w:p w14:paraId="420F9BB8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完成≥3组消融；同种子同数据</w:t>
            </w:r>
          </w:p>
        </w:tc>
        <w:tc>
          <w:tcPr>
            <w:tcW w:w="1905" w:type="dxa"/>
            <w:vAlign w:val="center"/>
          </w:tcPr>
          <w:p w14:paraId="5ACE9E5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消融结果表</w:t>
            </w:r>
          </w:p>
        </w:tc>
      </w:tr>
      <w:tr w14:paraId="71C3ADB3">
        <w:trPr>
          <w:cantSplit/>
          <w:jc w:val="center"/>
        </w:trPr>
        <w:tc>
          <w:tcPr>
            <w:tcW w:w="850" w:type="dxa"/>
            <w:vAlign w:val="center"/>
          </w:tcPr>
          <w:p w14:paraId="4F4ED6A5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第2次</w:t>
            </w:r>
          </w:p>
        </w:tc>
        <w:tc>
          <w:tcPr>
            <w:tcW w:w="1850" w:type="dxa"/>
            <w:vAlign w:val="center"/>
          </w:tcPr>
          <w:p w14:paraId="1B4AC73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B3 测试集解码与指标</w:t>
            </w:r>
          </w:p>
        </w:tc>
        <w:tc>
          <w:tcPr>
            <w:tcW w:w="1000" w:type="dxa"/>
            <w:vAlign w:val="center"/>
          </w:tcPr>
          <w:p w14:paraId="3FBB94E3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20分钟</w:t>
            </w:r>
          </w:p>
        </w:tc>
        <w:tc>
          <w:tcPr>
            <w:tcW w:w="3800" w:type="dxa"/>
            <w:vAlign w:val="center"/>
          </w:tcPr>
          <w:p w14:paraId="46EE3923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2,000句全量解码；计算BLEU/chrF/长度比/重复率</w:t>
            </w:r>
          </w:p>
        </w:tc>
        <w:tc>
          <w:tcPr>
            <w:tcW w:w="1905" w:type="dxa"/>
            <w:vAlign w:val="center"/>
          </w:tcPr>
          <w:p w14:paraId="047C5018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原始译文、指标表</w:t>
            </w:r>
          </w:p>
        </w:tc>
      </w:tr>
      <w:tr w14:paraId="5F2ADAF8">
        <w:trPr>
          <w:cantSplit/>
          <w:jc w:val="center"/>
        </w:trPr>
        <w:tc>
          <w:tcPr>
            <w:tcW w:w="850" w:type="dxa"/>
            <w:vAlign w:val="center"/>
          </w:tcPr>
          <w:p w14:paraId="77D98D77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第2次</w:t>
            </w:r>
          </w:p>
        </w:tc>
        <w:tc>
          <w:tcPr>
            <w:tcW w:w="1850" w:type="dxa"/>
            <w:vAlign w:val="center"/>
          </w:tcPr>
          <w:p w14:paraId="3E577D2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B4 错误分析</w:t>
            </w:r>
          </w:p>
        </w:tc>
        <w:tc>
          <w:tcPr>
            <w:tcW w:w="1000" w:type="dxa"/>
            <w:vAlign w:val="center"/>
          </w:tcPr>
          <w:p w14:paraId="4C21632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15分钟</w:t>
            </w:r>
          </w:p>
        </w:tc>
        <w:tc>
          <w:tcPr>
            <w:tcW w:w="3800" w:type="dxa"/>
            <w:vAlign w:val="center"/>
          </w:tcPr>
          <w:p w14:paraId="342605A5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≥3个典型错误归因</w:t>
            </w:r>
          </w:p>
        </w:tc>
        <w:tc>
          <w:tcPr>
            <w:tcW w:w="1905" w:type="dxa"/>
            <w:vAlign w:val="center"/>
          </w:tcPr>
          <w:p w14:paraId="16A3728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错误分析表</w:t>
            </w:r>
          </w:p>
        </w:tc>
      </w:tr>
      <w:tr w14:paraId="3DA7B26B">
        <w:trPr>
          <w:cantSplit/>
          <w:jc w:val="center"/>
        </w:trPr>
        <w:tc>
          <w:tcPr>
            <w:tcW w:w="850" w:type="dxa"/>
            <w:vAlign w:val="center"/>
          </w:tcPr>
          <w:p w14:paraId="4C3B0A36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课后</w:t>
            </w:r>
          </w:p>
        </w:tc>
        <w:tc>
          <w:tcPr>
            <w:tcW w:w="1850" w:type="dxa"/>
            <w:vAlign w:val="center"/>
          </w:tcPr>
          <w:p w14:paraId="4788700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C1 主观打分与报告</w:t>
            </w:r>
          </w:p>
        </w:tc>
        <w:tc>
          <w:tcPr>
            <w:tcW w:w="1000" w:type="dxa"/>
            <w:vAlign w:val="center"/>
          </w:tcPr>
          <w:p w14:paraId="1EE21E10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—</w:t>
            </w:r>
          </w:p>
        </w:tc>
        <w:tc>
          <w:tcPr>
            <w:tcW w:w="3800" w:type="dxa"/>
            <w:vAlign w:val="center"/>
          </w:tcPr>
          <w:p w14:paraId="50268871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≥60条LLM打分；补齐实验报告</w:t>
            </w:r>
          </w:p>
        </w:tc>
        <w:tc>
          <w:tcPr>
            <w:tcW w:w="1905" w:type="dxa"/>
            <w:vAlign w:val="center"/>
          </w:tcPr>
          <w:p w14:paraId="50F207E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主观打分表、实验报告</w:t>
            </w:r>
          </w:p>
        </w:tc>
      </w:tr>
    </w:tbl>
    <w:p w14:paraId="154BAAE5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九、提交材料</w:t>
      </w:r>
    </w:p>
    <w:p w14:paraId="5C39BF16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本次作业只提交</w:t>
      </w:r>
      <w:r>
        <w:rPr>
          <w:rFonts w:ascii="Assignment Song" w:hAnsi="Assignment Song" w:eastAsia="Assignment Song"/>
          <w:b/>
          <w:sz w:val="22"/>
        </w:rPr>
        <w:t>三项</w:t>
      </w:r>
      <w:r>
        <w:rPr>
          <w:rFonts w:ascii="Assignment Song" w:hAnsi="Assignment Song" w:eastAsia="Assignment Song"/>
          <w:b w:val="0"/>
          <w:sz w:val="22"/>
        </w:rPr>
        <w:t>：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700"/>
        <w:gridCol w:w="1600"/>
        <w:gridCol w:w="7105"/>
      </w:tblGrid>
      <w:tr w14:paraId="1F048BB8">
        <w:trPr>
          <w:cantSplit/>
          <w:tblHeader/>
          <w:jc w:val="center"/>
        </w:trPr>
        <w:tc>
          <w:tcPr>
            <w:tcW w:w="700" w:type="dxa"/>
            <w:shd w:val="clear" w:color="auto" w:fill="D9E2F3"/>
            <w:vAlign w:val="center"/>
          </w:tcPr>
          <w:p w14:paraId="56DB670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序号</w:t>
            </w:r>
          </w:p>
        </w:tc>
        <w:tc>
          <w:tcPr>
            <w:tcW w:w="1600" w:type="dxa"/>
            <w:shd w:val="clear" w:color="auto" w:fill="D9E2F3"/>
            <w:vAlign w:val="center"/>
          </w:tcPr>
          <w:p w14:paraId="131DCA8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材料</w:t>
            </w:r>
          </w:p>
        </w:tc>
        <w:tc>
          <w:tcPr>
            <w:tcW w:w="7105" w:type="dxa"/>
            <w:shd w:val="clear" w:color="auto" w:fill="D9E2F3"/>
            <w:vAlign w:val="center"/>
          </w:tcPr>
          <w:p w14:paraId="26E79CB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要求</w:t>
            </w:r>
          </w:p>
        </w:tc>
      </w:tr>
      <w:tr w14:paraId="6F2317E0">
        <w:trPr>
          <w:cantSplit/>
          <w:jc w:val="center"/>
        </w:trPr>
        <w:tc>
          <w:tcPr>
            <w:tcW w:w="700" w:type="dxa"/>
            <w:vAlign w:val="center"/>
          </w:tcPr>
          <w:p w14:paraId="335FC04F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1</w:t>
            </w:r>
          </w:p>
        </w:tc>
        <w:tc>
          <w:tcPr>
            <w:tcW w:w="1600" w:type="dxa"/>
            <w:vAlign w:val="center"/>
          </w:tcPr>
          <w:p w14:paraId="64699075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源码</w:t>
            </w:r>
          </w:p>
        </w:tc>
        <w:tc>
          <w:tcPr>
            <w:tcW w:w="7105" w:type="dxa"/>
            <w:vAlign w:val="center"/>
          </w:tcPr>
          <w:p w14:paraId="3407762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完整可运行代码，含数据处理、模型、训练、解码、指标计算；附README说明运行环境、依赖、复现命令与随机种子</w:t>
            </w:r>
          </w:p>
        </w:tc>
      </w:tr>
      <w:tr w14:paraId="70D32266">
        <w:trPr>
          <w:cantSplit/>
          <w:jc w:val="center"/>
        </w:trPr>
        <w:tc>
          <w:tcPr>
            <w:tcW w:w="700" w:type="dxa"/>
            <w:vAlign w:val="center"/>
          </w:tcPr>
          <w:p w14:paraId="1758A246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</w:t>
            </w:r>
          </w:p>
        </w:tc>
        <w:tc>
          <w:tcPr>
            <w:tcW w:w="1600" w:type="dxa"/>
            <w:vAlign w:val="center"/>
          </w:tcPr>
          <w:p w14:paraId="43F4D19C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模型</w:t>
            </w:r>
          </w:p>
        </w:tc>
        <w:tc>
          <w:tcPr>
            <w:tcW w:w="7105" w:type="dxa"/>
            <w:vAlign w:val="center"/>
          </w:tcPr>
          <w:p w14:paraId="79A3427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最终Base模型与消融实验中保留配置的模型权重（或checkpoint）；附一份说明文件，注明每个模型对应的配置、参数量、验证集指标</w:t>
            </w:r>
          </w:p>
        </w:tc>
      </w:tr>
      <w:tr w14:paraId="4272E572">
        <w:trPr>
          <w:cantSplit/>
          <w:jc w:val="center"/>
        </w:trPr>
        <w:tc>
          <w:tcPr>
            <w:tcW w:w="700" w:type="dxa"/>
            <w:vAlign w:val="center"/>
          </w:tcPr>
          <w:p w14:paraId="41C6BD5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3</w:t>
            </w:r>
          </w:p>
        </w:tc>
        <w:tc>
          <w:tcPr>
            <w:tcW w:w="1600" w:type="dxa"/>
            <w:vAlign w:val="center"/>
          </w:tcPr>
          <w:p w14:paraId="61545AFF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实验报告</w:t>
            </w:r>
          </w:p>
        </w:tc>
        <w:tc>
          <w:tcPr>
            <w:tcW w:w="7105" w:type="dxa"/>
            <w:vAlign w:val="center"/>
          </w:tcPr>
          <w:p w14:paraId="2F3D948B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PDF+Word，不少于2000字；含数据检查结果、模型实现说明、消融表、评测结果、主观打分、≥3个错误案例与归因、结论与思考；关键代码与裁判提示词放附录</w:t>
            </w:r>
          </w:p>
        </w:tc>
      </w:tr>
    </w:tbl>
    <w:p w14:paraId="435BDA47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报告大纲：</w:t>
      </w:r>
    </w:p>
    <w:p w14:paraId="37F48698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一、实验环境与成本：硬件、PyTorch版本、参数量、训练总时长、峰值显存、平均解码延时。</w:t>
      </w:r>
    </w:p>
    <w:p w14:paraId="131E1419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二、数据准备：OPUS-100加载方式、采样设置（seed=42，20,000句）、去重结果、长度分布、抽检合格率。</w:t>
      </w:r>
    </w:p>
    <w:p w14:paraId="6A67FCFB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三、Transformer实现：整体结构图、Attention/mask/位置编码/Beam Search的关键说明、形状测试与过拟合测试结果。</w:t>
      </w:r>
    </w:p>
    <w:p w14:paraId="3F7E91A5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四、训练与消融：Base配置、≥3组受控实验表、每组BLEU/chrF/长度比/延时变化、改动依据与结论。</w:t>
      </w:r>
    </w:p>
    <w:p w14:paraId="1F09CB92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五、评测结果：测试集自动指标表、beam对比表、LLM主观分表及与自动指标的简要一致性讨论。</w:t>
      </w:r>
    </w:p>
    <w:p w14:paraId="79549E3B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六、错误分析：≥3个典型案例，按漏译、错译、语序、冠词/单复数、重复生成、专名数字错误等归类，说明根因与可行改进。</w:t>
      </w:r>
    </w:p>
    <w:p w14:paraId="7B7FFEEA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七、结论与思考：在20k训练规模下中英翻译的主要瓶颈；分词、模型容量、解码策略与指标之间的关系；自动指标的局限；对手写Transformer与预训练大模型差距的认识。</w:t>
      </w:r>
    </w:p>
    <w:p w14:paraId="43D87EA3">
      <w:pPr>
        <w:widowControl/>
        <w:spacing w:after="60" w:line="336" w:lineRule="auto"/>
        <w:ind w:firstLine="420"/>
      </w:pPr>
      <w:r>
        <w:rPr>
          <w:rFonts w:ascii="Assignment Song" w:hAnsi="Assignment Song" w:eastAsia="Assignment Song"/>
          <w:b w:val="0"/>
          <w:sz w:val="22"/>
        </w:rPr>
        <w:t>附录：核心代码、超参数表、裁判提示词模板、实验原始记录。</w:t>
      </w:r>
    </w:p>
    <w:p w14:paraId="640112AE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十、评分标准（百分制）</w:t>
      </w:r>
    </w:p>
    <w:tbl>
      <w:tblPr>
        <w:tblStyle w:val="33"/>
        <w:tblW w:w="94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108" w:type="dxa"/>
          <w:bottom w:w="45" w:type="dxa"/>
          <w:right w:w="108" w:type="dxa"/>
        </w:tblCellMar>
      </w:tblPr>
      <w:tblGrid>
        <w:gridCol w:w="1800"/>
        <w:gridCol w:w="900"/>
        <w:gridCol w:w="6705"/>
      </w:tblGrid>
      <w:tr w14:paraId="05B89AF2">
        <w:trPr>
          <w:cantSplit/>
          <w:tblHeader/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375FA33F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考核项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643C4B6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分值</w:t>
            </w:r>
          </w:p>
        </w:tc>
        <w:tc>
          <w:tcPr>
            <w:tcW w:w="6705" w:type="dxa"/>
            <w:shd w:val="clear" w:color="auto" w:fill="D9E2F3"/>
            <w:vAlign w:val="center"/>
          </w:tcPr>
          <w:p w14:paraId="1FCE8390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Hei" w:hAnsi="Assignment Hei" w:eastAsia="Assignment Hei"/>
                <w:b/>
                <w:sz w:val="19"/>
              </w:rPr>
              <w:t>评分要点</w:t>
            </w:r>
          </w:p>
        </w:tc>
      </w:tr>
      <w:tr w14:paraId="3253364A">
        <w:trPr>
          <w:cantSplit/>
          <w:jc w:val="center"/>
        </w:trPr>
        <w:tc>
          <w:tcPr>
            <w:tcW w:w="1800" w:type="dxa"/>
            <w:vAlign w:val="center"/>
          </w:tcPr>
          <w:p w14:paraId="5EF2A014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源码与模型</w:t>
            </w:r>
          </w:p>
        </w:tc>
        <w:tc>
          <w:tcPr>
            <w:tcW w:w="900" w:type="dxa"/>
            <w:vAlign w:val="center"/>
          </w:tcPr>
          <w:p w14:paraId="45572222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50分</w:t>
            </w:r>
          </w:p>
        </w:tc>
        <w:tc>
          <w:tcPr>
            <w:tcW w:w="6705" w:type="dxa"/>
            <w:vAlign w:val="center"/>
          </w:tcPr>
          <w:p w14:paraId="62281E3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代码可运行、可复现；Transformer核心组件为手写实现；训练、解码、Beam Search、指标计算完整；模型文件齐全且与报告配置一致</w:t>
            </w:r>
          </w:p>
        </w:tc>
      </w:tr>
      <w:tr w14:paraId="18AF8EAD">
        <w:trPr>
          <w:cantSplit/>
          <w:jc w:val="center"/>
        </w:trPr>
        <w:tc>
          <w:tcPr>
            <w:tcW w:w="1800" w:type="dxa"/>
            <w:vAlign w:val="center"/>
          </w:tcPr>
          <w:p w14:paraId="1F2C2E6D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实验与评测质量</w:t>
            </w:r>
          </w:p>
        </w:tc>
        <w:tc>
          <w:tcPr>
            <w:tcW w:w="900" w:type="dxa"/>
            <w:vAlign w:val="center"/>
          </w:tcPr>
          <w:p w14:paraId="41B8965D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30分</w:t>
            </w:r>
          </w:p>
        </w:tc>
        <w:tc>
          <w:tcPr>
            <w:tcW w:w="6705" w:type="dxa"/>
            <w:vAlign w:val="center"/>
          </w:tcPr>
          <w:p w14:paraId="176AF0A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固定数据集划分正确；完成≥3组受控消融；测试集2,000句全量评测；指标齐全；完成≥60条LLM主观打分</w:t>
            </w:r>
          </w:p>
        </w:tc>
      </w:tr>
      <w:tr w14:paraId="38FC5718">
        <w:trPr>
          <w:cantSplit/>
          <w:jc w:val="center"/>
        </w:trPr>
        <w:tc>
          <w:tcPr>
            <w:tcW w:w="1800" w:type="dxa"/>
            <w:vAlign w:val="center"/>
          </w:tcPr>
          <w:p w14:paraId="1D74875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实验报告</w:t>
            </w:r>
          </w:p>
        </w:tc>
        <w:tc>
          <w:tcPr>
            <w:tcW w:w="900" w:type="dxa"/>
            <w:vAlign w:val="center"/>
          </w:tcPr>
          <w:p w14:paraId="02AF3E9E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20分</w:t>
            </w:r>
          </w:p>
        </w:tc>
        <w:tc>
          <w:tcPr>
            <w:tcW w:w="6705" w:type="dxa"/>
            <w:vAlign w:val="center"/>
          </w:tcPr>
          <w:p w14:paraId="606AAAF8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报告结构完整、图表清晰；≥3个错误案例且归因合理；结论有依据</w:t>
            </w:r>
          </w:p>
        </w:tc>
      </w:tr>
      <w:tr w14:paraId="5E02D112">
        <w:trPr>
          <w:cantSplit/>
          <w:jc w:val="center"/>
        </w:trPr>
        <w:tc>
          <w:tcPr>
            <w:tcW w:w="1800" w:type="dxa"/>
            <w:vAlign w:val="center"/>
          </w:tcPr>
          <w:p w14:paraId="4AE6BE39">
            <w:pPr>
              <w:keepNext w:val="0"/>
              <w:widowControl/>
              <w:spacing w:before="20" w:after="20" w:line="240" w:lineRule="auto"/>
              <w:jc w:val="center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扣分项</w:t>
            </w:r>
          </w:p>
        </w:tc>
        <w:tc>
          <w:tcPr>
            <w:tcW w:w="900" w:type="dxa"/>
            <w:vAlign w:val="center"/>
          </w:tcPr>
          <w:p w14:paraId="609C6DC4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—</w:t>
            </w:r>
          </w:p>
        </w:tc>
        <w:tc>
          <w:tcPr>
            <w:tcW w:w="6705" w:type="dxa"/>
            <w:vAlign w:val="center"/>
          </w:tcPr>
          <w:p w14:paraId="5D7A2AE6">
            <w:pPr>
              <w:keepNext w:val="0"/>
              <w:widowControl/>
              <w:spacing w:before="20" w:after="20" w:line="240" w:lineRule="auto"/>
              <w:jc w:val="left"/>
            </w:pPr>
            <w:r>
              <w:rPr>
                <w:rFonts w:ascii="Assignment Song" w:hAnsi="Assignment Song" w:eastAsia="Assignment Song"/>
                <w:b w:val="0"/>
                <w:sz w:val="19"/>
              </w:rPr>
              <w:t>主系统直接调用翻译API或预训练翻译模型且未声明 −20分；测试集泄漏 −10分；含隐私或敏感内容 −10分；受控实验擅自改动对比条件 −5分；抄袭按零分处理</w:t>
            </w:r>
          </w:p>
        </w:tc>
      </w:tr>
    </w:tbl>
    <w:p w14:paraId="5C815A7B">
      <w:pPr>
        <w:keepNext/>
        <w:widowControl/>
        <w:spacing w:before="240" w:after="120"/>
      </w:pPr>
      <w:r>
        <w:rPr>
          <w:rFonts w:ascii="Assignment Hei" w:hAnsi="Assignment Hei" w:eastAsia="Assignment Hei"/>
          <w:b/>
          <w:color w:val="1F3B73"/>
          <w:sz w:val="30"/>
        </w:rPr>
        <w:t>十一、红线与纪律</w:t>
      </w:r>
    </w:p>
    <w:p w14:paraId="0DADA175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1. </w:t>
      </w:r>
      <w:r>
        <w:rPr>
          <w:rFonts w:ascii="Assignment Song" w:hAnsi="Assignment Song" w:eastAsia="Assignment Song"/>
          <w:b/>
          <w:sz w:val="22"/>
        </w:rPr>
        <w:t>主系统禁用现成模型</w:t>
      </w:r>
      <w:r>
        <w:rPr>
          <w:rFonts w:ascii="Assignment Song" w:hAnsi="Assignment Song" w:eastAsia="Assignment Song"/>
          <w:b w:val="0"/>
          <w:sz w:val="22"/>
        </w:rPr>
        <w:t>：不得直接调用翻译API或预训练翻译模型作为主系统。作为对照基线须单独标注，不计入主系统成绩。</w:t>
      </w:r>
    </w:p>
    <w:p w14:paraId="092CE3ED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2. </w:t>
      </w:r>
      <w:r>
        <w:rPr>
          <w:rFonts w:ascii="Assignment Song" w:hAnsi="Assignment Song" w:eastAsia="Assignment Song"/>
          <w:b/>
          <w:sz w:val="22"/>
        </w:rPr>
        <w:t>测试集隔离</w:t>
      </w:r>
      <w:r>
        <w:rPr>
          <w:rFonts w:ascii="Assignment Song" w:hAnsi="Assignment Song" w:eastAsia="Assignment Song"/>
          <w:b w:val="0"/>
          <w:sz w:val="22"/>
        </w:rPr>
        <w:t>：官方测试集2,000句不得参与训练、调参或早停选择。所有实验使用同一测试集版本。</w:t>
      </w:r>
    </w:p>
    <w:p w14:paraId="5E2394C2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3. </w:t>
      </w:r>
      <w:r>
        <w:rPr>
          <w:rFonts w:ascii="Assignment Song" w:hAnsi="Assignment Song" w:eastAsia="Assignment Song"/>
          <w:b/>
          <w:sz w:val="22"/>
        </w:rPr>
        <w:t>隐私合规</w:t>
      </w:r>
      <w:r>
        <w:rPr>
          <w:rFonts w:ascii="Assignment Song" w:hAnsi="Assignment Song" w:eastAsia="Assignment Song"/>
          <w:b w:val="0"/>
          <w:sz w:val="22"/>
        </w:rPr>
        <w:t>：数据中不得出现真实个人隐私信息或敏感内容；抽检时同步核查。</w:t>
      </w:r>
    </w:p>
    <w:p w14:paraId="48374969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4. </w:t>
      </w:r>
      <w:r>
        <w:rPr>
          <w:rFonts w:ascii="Assignment Song" w:hAnsi="Assignment Song" w:eastAsia="Assignment Song"/>
          <w:b/>
          <w:sz w:val="22"/>
        </w:rPr>
        <w:t>可复现</w:t>
      </w:r>
      <w:r>
        <w:rPr>
          <w:rFonts w:ascii="Assignment Song" w:hAnsi="Assignment Song" w:eastAsia="Assignment Song"/>
          <w:b w:val="0"/>
          <w:sz w:val="22"/>
        </w:rPr>
        <w:t>：固定随机种子42，保存数据版本、词表、超参数、解码配置和运行命令。受控实验除被检验变量外不得改动其他条件。</w:t>
      </w:r>
    </w:p>
    <w:p w14:paraId="41592872">
      <w:pPr>
        <w:widowControl/>
        <w:spacing w:after="40" w:line="324" w:lineRule="auto"/>
        <w:ind w:left="420" w:firstLine="0"/>
      </w:pPr>
      <w:r>
        <w:rPr>
          <w:rFonts w:ascii="Assignment Song" w:hAnsi="Assignment Song" w:eastAsia="Assignment Song"/>
          <w:b w:val="0"/>
          <w:sz w:val="22"/>
        </w:rPr>
        <w:t xml:space="preserve">5. </w:t>
      </w:r>
      <w:r>
        <w:rPr>
          <w:rFonts w:ascii="Assignment Song" w:hAnsi="Assignment Song" w:eastAsia="Assignment Song"/>
          <w:b/>
          <w:sz w:val="22"/>
        </w:rPr>
        <w:t>学术诚信</w:t>
      </w:r>
      <w:r>
        <w:rPr>
          <w:rFonts w:ascii="Assignment Song" w:hAnsi="Assignment Song" w:eastAsia="Assignment Song"/>
          <w:b w:val="0"/>
          <w:sz w:val="22"/>
        </w:rPr>
        <w:t>：允许讨论与参考公开资料，但代码与报告须独立完成；引用须注明来源。</w:t>
      </w:r>
    </w:p>
    <w:p w14:paraId="4B56A9AC">
      <w:pPr>
        <w:widowControl/>
        <w:jc w:val="right"/>
      </w:pPr>
      <w:r>
        <w:rPr>
          <w:rFonts w:ascii="Assignment Song" w:hAnsi="Assignment Song" w:eastAsia="Assignment Song"/>
          <w:b w:val="0"/>
          <w:sz w:val="21"/>
        </w:rPr>
        <w:t>计算机学院（人工智能学院）·2026年11月</w:t>
      </w:r>
    </w:p>
    <w:sectPr>
      <w:pgSz w:w="12240" w:h="15840"/>
      <w:pgMar w:top="1247" w:right="1361" w:bottom="113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ssignment Hei">
    <w:panose1 w:val="00000000000000000000"/>
    <w:charset w:val="00"/>
    <w:family w:val="swiss"/>
    <w:pitch w:val="default"/>
    <w:sig w:usb0="80000003" w:usb1="08000040" w:usb2="00000000" w:usb3="00000000" w:csb0="00000001" w:csb1="00000000"/>
  </w:font>
  <w:font w:name="Assignment Song">
    <w:panose1 w:val="02010600040101010101"/>
    <w:charset w:val="00"/>
    <w:family w:val="roman"/>
    <w:pitch w:val="default"/>
    <w:sig w:usb0="00000003" w:usb1="0801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5F726B"/>
    <w:rsid w:val="6FBD8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1637</Words>
  <Characters>1927</Characters>
  <Lines>0</Lines>
  <Paragraphs>0</Paragraphs>
  <TotalTime>5</TotalTime>
  <ScaleCrop>false</ScaleCrop>
  <LinksUpToDate>false</LinksUpToDate>
  <CharactersWithSpaces>2049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♞sodon</cp:lastModifiedBy>
  <dcterms:modified xsi:type="dcterms:W3CDTF">2026-10-23T14:34:56Z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eyJoZGlkIjoiYzdiYmNiMGM1YTlkM2YwNTIyNGJjMjExNjdlZjNhZTYiLCJ1c2VySWQiOiIzMjM3OTY0NTMifQ==</vt:lpwstr>
  </property>
  <property fmtid="{D5CDD505-2E9C-101B-9397-08002B2CF9AE}" pid="3" name="KSOProductBuildVer">
    <vt:lpwstr>2052-12.1.26046.26046</vt:lpwstr>
  </property>
  <property fmtid="{D5CDD505-2E9C-101B-9397-08002B2CF9AE}" pid="4" name="ICV">
    <vt:lpwstr>8A8157625B3E4CA7AC039055D5283298_13</vt:lpwstr>
  </property>
</Properties>
</file>