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大模型智能评测平台</w:t>
      </w:r>
    </w:p>
    <w:p>
      <w:pPr>
        <w:pStyle w:val="Title"/>
      </w:pPr>
      <w:r>
        <w:t>评测服务用户手册</w:t>
      </w:r>
    </w:p>
    <w:p>
      <w:pPr>
        <w:pStyle w:val="Subtitle"/>
      </w:pPr>
      <w:r>
        <w:t>面向服务运营人员和企业客户成员</w:t>
      </w:r>
    </w:p>
    <w:p>
      <w:r>
        <w:t>版本 1.0　更新日期 2026年10月24日</w:t>
      </w:r>
    </w:p>
    <w:p>
      <w:r>
        <w:t>本手册介绍企业开通、成员账号管理、模型接入、评测提交、额度计量与记录查询。运营方按第2章完成客户开通和日常管理；客户方按第3章完成接入与评测；记录查询和异常处理见第4至6章。功能入口以已部署版本和账号实际授权为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hyperlink w:anchor="chapter_1">
        <w:r>
          <w:rPr>
            <w:color w:val="203B50"/>
            <w:sz w:val="21"/>
          </w:rPr>
          <w:t>阅读说明</w:t>
        </w:r>
      </w:hyperlink>
    </w:p>
    <w:p>
      <w:pPr>
        <w:spacing w:after="80"/>
      </w:pPr>
      <w:hyperlink w:anchor="chapter_2">
        <w:r>
          <w:rPr>
            <w:color w:val="203B50"/>
            <w:sz w:val="21"/>
          </w:rPr>
          <w:t>1 岗位分工与准备事项</w:t>
        </w:r>
      </w:hyperlink>
    </w:p>
    <w:p>
      <w:pPr>
        <w:spacing w:after="80"/>
      </w:pPr>
      <w:hyperlink w:anchor="chapter_3">
        <w:r>
          <w:rPr>
            <w:color w:val="203B50"/>
            <w:sz w:val="21"/>
          </w:rPr>
          <w:t>2 运营方操作</w:t>
        </w:r>
      </w:hyperlink>
    </w:p>
    <w:p>
      <w:pPr>
        <w:spacing w:after="80"/>
      </w:pPr>
      <w:hyperlink w:anchor="chapter_4">
        <w:r>
          <w:rPr>
            <w:color w:val="203B50"/>
            <w:sz w:val="21"/>
          </w:rPr>
          <w:t>3 客户方操作</w:t>
        </w:r>
      </w:hyperlink>
    </w:p>
    <w:p>
      <w:pPr>
        <w:spacing w:after="80"/>
      </w:pPr>
      <w:hyperlink w:anchor="chapter_5">
        <w:r>
          <w:rPr>
            <w:color w:val="203B50"/>
            <w:sz w:val="21"/>
          </w:rPr>
          <w:t>4 记录查询与追溯</w:t>
        </w:r>
      </w:hyperlink>
    </w:p>
    <w:p>
      <w:pPr>
        <w:spacing w:after="80"/>
      </w:pPr>
      <w:hyperlink w:anchor="chapter_6">
        <w:r>
          <w:rPr>
            <w:color w:val="203B50"/>
            <w:sz w:val="21"/>
          </w:rPr>
          <w:t>5 应用集成说明</w:t>
        </w:r>
      </w:hyperlink>
    </w:p>
    <w:p>
      <w:pPr>
        <w:spacing w:after="80"/>
      </w:pPr>
      <w:hyperlink w:anchor="chapter_7">
        <w:r>
          <w:rPr>
            <w:color w:val="203B50"/>
            <w:sz w:val="21"/>
          </w:rPr>
          <w:t>6 状态与常见问题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阅读说明</w:t>
      </w:r>
      <w:bookmarkEnd w:id="1"/>
    </w:p>
    <w:p>
      <w:r>
        <w:t>本手册介绍企业开通、成员账号管理、模型接入、评测提交、额度计量与记录查询。运营方按第2章完成客户开通和日常管理；客户方按第3章完成接入与评测；记录查询和异常处理见第4至6章。功能入口以已部署版本和账号实际授权为准。</w:t>
      </w:r>
    </w:p>
    <w:p>
      <w:r>
        <w:t>平台内的完整菜单路径为“应用服务 → 评测服务”，页面地址为 /services。企业客户导航会简化，可能直接显示“评测服务”，无需查找平台管理菜单。运营账号默认打开“企业与成员管理”，客户账号默认打开“需求与交付”。</w:t>
      </w:r>
    </w:p>
    <w:p>
      <w:r>
        <w:t>本手册对应2026年10月24日的评测服务实现。自动化模式会提交真实评测任务；专家模式先生成待确认任务。是否已完成、是否有正式报告、是否已计量和是否已付款，需要分别核对，不能互相替代。</w:t>
      </w:r>
    </w:p>
    <w:p>
      <w:bookmarkStart w:id="2" w:name="chapter_2"/>
      <w:pPr>
        <w:pStyle w:val="Heading1"/>
        <w:pageBreakBefore/>
      </w:pPr>
      <w:r>
        <w:t>1 岗位分工与准备事项</w:t>
      </w:r>
      <w:bookmarkEnd w:id="2"/>
    </w:p>
    <w:p>
      <w:pPr>
        <w:pStyle w:val="Heading2"/>
      </w:pPr>
      <w:r>
        <w:t>1.1 运营方和客户方分别负责什么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运营方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客户方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企业开通与状态管理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开通企业，编辑名称，停用或删除企业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提供企业和负责人信息，核对账号归属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成员管理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查看成员，添加、编辑、停用、删除及重置密码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使用个人账号，可在本企业添加成员；修改自己的密码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评测数据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准备已发布且质检通过的数据集，向客户企业交付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从本企业共享数据集中选择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接入方和额度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审批每日及每月额度、请求频率和单价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创建接入方，保存密钥，提交额度申请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配置允许接入的域名，协助排查接入问题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注册本企业模型服务及版本，设置稳定和灰度路由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任务与报告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根据记录协助处理异常和交付核对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提交需求，确认专家配置，查看进度，取消任务和下载报告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操作追踪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在指定企业中查询成员操作和 API 访问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查询本企业记录，不能访问其他企业</w:t>
            </w:r>
          </w:p>
        </w:tc>
      </w:tr>
    </w:tbl>
    <w:p>
      <w:pPr>
        <w:spacing w:after="20"/>
      </w:pPr>
    </w:p>
    <w:p>
      <w:r>
        <w:t>客户角色不提供运营方的跨企业管理权限。同一企业共享服务任务与资产，企业内多个工作空间不是进一步的保密隔离边界。</w:t>
      </w:r>
    </w:p>
    <w:p>
      <w:pPr>
        <w:pStyle w:val="Heading2"/>
      </w:pPr>
      <w:r>
        <w:t>1.2 开始前准备</w:t>
      </w:r>
    </w:p>
    <w:p>
      <w:pPr>
        <w:pStyle w:val="ListBullet"/>
      </w:pPr>
      <w:r>
        <w:t>运营方准备企业名称、首位成员账号、数据集、约定的额度与单价；账号必须能正常登录并看到企业管理入口。</w:t>
      </w:r>
    </w:p>
    <w:p>
      <w:pPr>
        <w:pStyle w:val="ListBullet"/>
      </w:pPr>
      <w:r>
        <w:t>客户方准备平台访问地址、个人账号、上游模型接口地址、模型标识及必要凭据。上游接口当前需兼容 OpenAI 协议，并使用运营允许域名的 HTTPS 地址。</w:t>
      </w:r>
    </w:p>
    <w:p>
      <w:pPr>
        <w:pStyle w:val="ListBullet"/>
      </w:pPr>
      <w:r>
        <w:t>新建或重置成员密码时，密码至少12个字符，包含字母和数字。可点击“生成随机密码”，在保存前妥善记录；旧密码不能查看明文。</w:t>
      </w:r>
    </w:p>
    <w:p>
      <w:pPr>
        <w:pStyle w:val="ListBullet"/>
      </w:pPr>
      <w:r>
        <w:t>账号名使用3至50位字母、数字、下划线、点或短横线。成员创建后登录账号固定，编辑资料不会改变登录名。</w:t>
      </w:r>
    </w:p>
    <w:p>
      <w:pPr>
        <w:pStyle w:val="Heading2"/>
      </w:pPr>
      <w:r>
        <w:t>1.3 页面分区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分区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企业与成员管理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运营方管理已开通企业及成员，分配配额，查看指定企业记录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评测操作记录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查看本企业成员操作或 API 访问记录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需求与交付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提交和跟踪评测任务，确认执行、取消、下载报告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模型服务与版本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注册模型服务，维护版本和稳定、灰度路由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接入方与用量账单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创建或撤销接入密钥，查看额度、用量、金额与网关审计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企业空间与资产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新建空间、添加本企业成员、查看共享数据集和授权模型</w:t>
            </w:r>
          </w:p>
        </w:tc>
      </w:tr>
    </w:tbl>
    <w:p>
      <w:pPr>
        <w:spacing w:after="20"/>
      </w:pPr>
    </w:p>
    <w:p>
      <w:r>
        <w:t>看不到分区或按钮时，先确认账号角色和授权，不要更换对象编号尝试访问。</w:t>
      </w:r>
    </w:p>
    <w:p>
      <w:bookmarkStart w:id="3" w:name="chapter_3"/>
      <w:pPr>
        <w:pStyle w:val="Heading1"/>
        <w:pageBreakBefore/>
      </w:pPr>
      <w:r>
        <w:t>2 运营方操作</w:t>
      </w:r>
      <w:bookmarkEnd w:id="3"/>
    </w:p>
    <w:p>
      <w:pPr>
        <w:pStyle w:val="Heading2"/>
      </w:pPr>
      <w:r>
        <w:t>2.1 开通企业与首位成员</w:t>
      </w:r>
    </w:p>
    <w:p>
      <w:pPr>
        <w:ind w:left="283" w:hanging="283"/>
      </w:pPr>
      <w:r>
        <w:t>1. 进入“应用服务 → 评测服务 → 企业与成员管理”。</w:t>
      </w:r>
    </w:p>
    <w:p>
      <w:pPr>
        <w:ind w:left="283" w:hanging="283"/>
      </w:pPr>
      <w:r>
        <w:t>2. 点击“开通企业”，填写企业名称、登录账号和初始密码；也可以生成随机密码。</w:t>
      </w:r>
    </w:p>
    <w:p>
      <w:pPr>
        <w:ind w:left="283" w:hanging="283"/>
      </w:pPr>
      <w:r>
        <w:t>3. 保存前核对企业、账号及密码。保存后，系统创建企业、首位客户成员及默认工作空间。</w:t>
      </w:r>
    </w:p>
    <w:p>
      <w:pPr>
        <w:ind w:left="283" w:hanging="283"/>
      </w:pPr>
      <w:r>
        <w:t>4. 在企业列表按名称搜索，确认该企业显示“已启用”，并核对成员数量。</w:t>
      </w:r>
    </w:p>
    <w:p>
      <w:pPr>
        <w:ind w:left="283" w:hanging="283"/>
      </w:pPr>
      <w:r>
        <w:t>5. 通过约定的安全渠道交付平台地址、账号和初始密码。建议客户首次登录后在个人中心修改密码。</w:t>
      </w:r>
    </w:p>
    <w:p>
      <w:r>
        <w:t>企业开通不代表数据集、模型服务和调用额度已经就绪。继续完成数据交付，并让客户创建接入方后分配额度。运营方不要把自己的管理员账号交给客户共用。</w:t>
      </w:r>
    </w:p>
    <w:p>
      <w:pPr>
        <w:pStyle w:val="Heading2"/>
      </w:pPr>
      <w:r>
        <w:t>2.2 查看和编辑企业</w:t>
      </w:r>
    </w:p>
    <w:p>
      <w:r>
        <w:t>企业列表支持按名称搜索和状态筛选。“成员数”统计未删除成员，包含正常和已停用账号。</w:t>
      </w:r>
    </w:p>
    <w:p>
      <w:pPr>
        <w:ind w:left="283" w:hanging="283"/>
      </w:pPr>
      <w:r>
        <w:t>1. 找到目标企业，点击“编辑”。</w:t>
      </w:r>
    </w:p>
    <w:p>
      <w:pPr>
        <w:ind w:left="283" w:hanging="283"/>
      </w:pPr>
      <w:r>
        <w:t>2. 修改企业名称，或选择“启用”“停用”。</w:t>
      </w:r>
    </w:p>
    <w:p>
      <w:pPr>
        <w:ind w:left="283" w:hanging="283"/>
      </w:pPr>
      <w:r>
        <w:t>3. 保存后刷新并核对列表状态。</w:t>
      </w:r>
    </w:p>
    <w:p>
      <w:r>
        <w:t>停用企业后，成员不能登录使用评测服务，API 网关也会拒绝新请求。重新启用前核对合同、负责人、额度和接入配置。启停企业不等于对已进入执行流程的任务下达取消指令；需要停止任务时应单独处理并核对最终状态。</w:t>
      </w:r>
    </w:p>
    <w:p>
      <w:pPr>
        <w:pStyle w:val="Heading2"/>
      </w:pPr>
      <w:r>
        <w:t>2.3 查看和维护成员</w:t>
      </w:r>
    </w:p>
    <w:p>
      <w:r>
        <w:t>在目标企业行点击“成员与记录”，打开侧边管理面板，选择“企业成员”。这里可查看登录账号、昵称、邮箱、电话和账号状态。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操作方法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结果与注意事项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添加成员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点击“添加成员”，填写账号与初始密码后保存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企业需处于启用状态；新成员属于当前企业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编辑资料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在成员行点击“编辑”，修改昵称、邮箱或电话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登录账号固定，不能在此更名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停用或启用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在“编辑”中切换账号状态并保存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停用成员不能登录，该成员创建的 API 密钥也无法正常使用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重置密码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点击“重置密码”，填写或生成新密码并保存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旧密码不再用于登录；界面不提供旧密码明文查看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删除成员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点击“删除”，核对提示后确认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成员不能登录，相关密钥不可用；历史评测及审计归属保留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查看成员记录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点击“评测记录”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打开操作记录并自动筛选该成员</w:t>
            </w:r>
          </w:p>
        </w:tc>
      </w:tr>
    </w:tbl>
    <w:p>
      <w:pPr>
        <w:spacing w:after="20"/>
      </w:pPr>
    </w:p>
    <w:p>
      <w:r>
        <w:t>已删除成员仍可在成员表和记录筛选中出现，便于追溯；其登录账号不能重新注册使用。当前页面没有“恢复已删除成员”按钮，不应将删除当作临时停用。</w:t>
      </w:r>
    </w:p>
    <w:p>
      <w:r>
        <w:t>新密码不要写入评测需求或操作备注。平台只存储密码摘要，不提供密码找回明文；忘记密码应走重置流程。</w:t>
      </w:r>
    </w:p>
    <w:p>
      <w:pPr>
        <w:pStyle w:val="Heading2"/>
      </w:pPr>
      <w:r>
        <w:t>2.4 交付评测数据集</w:t>
      </w:r>
    </w:p>
    <w:p>
      <w:pPr>
        <w:ind w:left="283" w:hanging="283"/>
      </w:pPr>
      <w:r>
        <w:t>1. 在平台评测数据模块准备数据集，完成当前版本质检与发布，并按平台要求设置共享和授权。</w:t>
      </w:r>
    </w:p>
    <w:p>
      <w:pPr>
        <w:ind w:left="283" w:hanging="283"/>
      </w:pPr>
      <w:r>
        <w:t>2. 回到企业列表，在目标企业行点击“交付数据集”。也可从“企业空间与资产”点击“交付评测数据集”。</w:t>
      </w:r>
    </w:p>
    <w:p>
      <w:pPr>
        <w:ind w:left="283" w:hanging="283"/>
      </w:pPr>
      <w:r>
        <w:t>3. 按名称选择已启用企业和已发布且质检通过的数据集，无需手填 ID。</w:t>
      </w:r>
    </w:p>
    <w:p>
      <w:pPr>
        <w:ind w:left="283" w:hanging="283"/>
      </w:pPr>
      <w:r>
        <w:t>4. 保存后让客户进入“企业空间与资产”，核对共享数据集名称。</w:t>
      </w:r>
    </w:p>
    <w:p>
      <w:r>
        <w:t>交付会复制当前已发布版本及样本到客户企业，保留来源审计和质检信息；不是客户与运营方共享同一个可随时变化的数据集对象。源数据更新后不要假定客户副本自动更新，也不要反复交付制造同名副本；先核对已有交付与版本。</w:t>
      </w:r>
    </w:p>
    <w:p>
      <w:pPr>
        <w:pStyle w:val="Heading2"/>
      </w:pPr>
      <w:r>
        <w:t>2.5 分配接入方额度和单价</w:t>
      </w:r>
    </w:p>
    <w:p>
      <w:r>
        <w:t>客户先在本企业创建接入方。运营方进入“企业与成员管理 → 目标企业 → 成员与记录 → 接入方与配额”，按接入方名称及工作空间识别目标，点击“调整额度”。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填写建议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每日 Token 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当日可用量上限，含实际使用和在途预占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按日常评测规模审批；0会阻止需要预算的调用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每月 Token 额度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当月可用量上限，含实际使用和在途预占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根据月度计划设置，不把它理解为每日额度自动累加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每分钟请求数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网关访问频率限制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根据调用频率和轮询需要设置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单价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人民币分 / 千 Token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例如100分表示每千 Token 1元；按已批准价格填写</w:t>
            </w:r>
          </w:p>
        </w:tc>
      </w:tr>
    </w:tbl>
    <w:p>
      <w:pPr>
        <w:spacing w:after="20"/>
      </w:pPr>
    </w:p>
    <w:p>
      <w:r>
        <w:t>也可从“企业空间与资产 → 为企业接入方分配额度”依次选择企业和接入方。保存后核对接入方列表，要求客户重新打开提交表单查看可用预算。</w:t>
      </w:r>
    </w:p>
    <w:p>
      <w:r>
        <w:t>每日与每月额度按北京时间重置；仍在执行或待核量的预占会影响可用额度。单价在调用创建时冻结，修改价格不代表历史调用会重新按新价计量。页面金额不代表已收款，商业结算按双方约定另行核对。</w:t>
      </w:r>
    </w:p>
    <w:p>
      <w:pPr>
        <w:pStyle w:val="Heading2"/>
      </w:pPr>
      <w:r>
        <w:t>2.6 查询企业和成员操作</w:t>
      </w:r>
    </w:p>
    <w:p>
      <w:r>
        <w:t>在目标企业的“成员与记录 → 操作记录”中查看该企业记录。点击成员行的“评测记录”可直接定位该成员。</w:t>
      </w:r>
    </w:p>
    <w:p>
      <w:r>
        <w:t>“成员操作”覆盖评测提交、确认执行、取消、报告下载及服务、企业、成员管理等已记录动作；“API 访问记录”显示网关请求。选择成员和时间后点击“查询”，或使用“重置”清除筛选。详细说明见第4章。</w:t>
      </w:r>
    </w:p>
    <w:p>
      <w:pPr>
        <w:pStyle w:val="Heading2"/>
      </w:pPr>
      <w:r>
        <w:t>2.7 删除企业</w:t>
      </w:r>
    </w:p>
    <w:p>
      <w:r>
        <w:t>确需结束服务时，在企业列表点击“删除”，核对企业名称和影响后确认。删除会阻止企业成员与 API 继续使用服务，并保留历史资产、计量和审计归属；不是清空全部历史数据。</w:t>
      </w:r>
    </w:p>
    <w:p>
      <w:r>
        <w:t>当前页面不提供已删除企业的恢复入口，也不把已删除企业列入正常企业目录。如需后续查账或留存，应在删除前按组织制度完成资料交接。需要暂时暂停时使用“停用”，不要直接删除。</w:t>
      </w:r>
    </w:p>
    <w:p>
      <w:bookmarkStart w:id="4" w:name="chapter_4"/>
      <w:pPr>
        <w:pStyle w:val="Heading1"/>
        <w:pageBreakBefore/>
      </w:pPr>
      <w:r>
        <w:t>3 客户方操作</w:t>
      </w:r>
      <w:bookmarkEnd w:id="4"/>
    </w:p>
    <w:p>
      <w:pPr>
        <w:pStyle w:val="Heading2"/>
      </w:pPr>
      <w:r>
        <w:t>3.1 首次登录与团队准备</w:t>
      </w:r>
    </w:p>
    <w:p>
      <w:pPr>
        <w:ind w:left="283" w:hanging="283"/>
      </w:pPr>
      <w:r>
        <w:t>1. 使用运营方交付的地址、个人账号和初始密码登录。</w:t>
      </w:r>
    </w:p>
    <w:p>
      <w:pPr>
        <w:ind w:left="283" w:hanging="283"/>
      </w:pPr>
      <w:r>
        <w:t>2. 在个人中心核对资料，并按页面要求修改初始密码；个人修改密码与运营重置密码是不同入口。</w:t>
      </w:r>
    </w:p>
    <w:p>
      <w:pPr>
        <w:ind w:left="283" w:hanging="283"/>
      </w:pPr>
      <w:r>
        <w:t>3. 打开“评测服务”，在页头按名称选择企业工作空间。</w:t>
      </w:r>
    </w:p>
    <w:p>
      <w:pPr>
        <w:ind w:left="283" w:hanging="283"/>
      </w:pPr>
      <w:r>
        <w:t>4. 进入“企业空间与资产”，确认共享数据集和授权模型；没有可用数据集时联系运营交付。</w:t>
      </w:r>
    </w:p>
    <w:p>
      <w:pPr>
        <w:ind w:left="283" w:hanging="283"/>
      </w:pPr>
      <w:r>
        <w:t>5. 需要新的工作空间时点击“新建空间”。需要同事加入时点击“添加成员”，填写个人账号及初始密码。</w:t>
      </w:r>
    </w:p>
    <w:p>
      <w:r>
        <w:t>客户侧没有跨企业成员管理入口。本企业成员资料维护、停用、删除和密码重置需要运营方处理；添加成员后不要把个人登录账号转为多人共用账号。</w:t>
      </w:r>
    </w:p>
    <w:p>
      <w:pPr>
        <w:pStyle w:val="Heading2"/>
      </w:pPr>
      <w:r>
        <w:t>3.2 创建接入方并保存密钥</w:t>
      </w:r>
    </w:p>
    <w:p>
      <w:pPr>
        <w:ind w:left="283" w:hanging="283"/>
      </w:pPr>
      <w:r>
        <w:t>1. 在页头选择工作空间，进入“接入方与用量账单”。</w:t>
      </w:r>
    </w:p>
    <w:p>
      <w:pPr>
        <w:ind w:left="283" w:hanging="283"/>
      </w:pPr>
      <w:r>
        <w:t>2. 点击“创建接入方”，填写能识别业务用途的名称，例如“模型验证应用”。</w:t>
      </w:r>
    </w:p>
    <w:p>
      <w:pPr>
        <w:ind w:left="283" w:hanging="283"/>
      </w:pPr>
      <w:r>
        <w:t>3. 保存后，在“请保存接入密钥”弹窗中记录 API Key，并存入组织批准的凭据管理工具。</w:t>
      </w:r>
    </w:p>
    <w:p>
      <w:pPr>
        <w:ind w:left="283" w:hanging="283"/>
      </w:pPr>
      <w:r>
        <w:t>4. 关闭弹窗后不能再次查看完整密钥，只能看到前缀。密钥丢失时新建接入方并联系运营配置额度，按需要撤销旧密钥。</w:t>
      </w:r>
    </w:p>
    <w:p>
      <w:pPr>
        <w:ind w:left="283" w:hanging="283"/>
      </w:pPr>
      <w:r>
        <w:t>5. 将企业、工作空间和接入方名称告知运营，申请额度。新接入方默认额度为0，不能自行提高额度。</w:t>
      </w:r>
    </w:p>
    <w:p>
      <w:r>
        <w:t>API Key 用于应用调用评测网关；登录密码用于个人登录；上游 API Key 用于模型接口认证，三者不能混用。密钥撤销后新请求被拒绝，不会恢复显示原密钥。</w:t>
      </w:r>
    </w:p>
    <w:p>
      <w:pPr>
        <w:pStyle w:val="Heading2"/>
      </w:pPr>
      <w:r>
        <w:t>3.3 注册模型服务与版本</w:t>
      </w:r>
    </w:p>
    <w:p>
      <w:pPr>
        <w:ind w:left="283" w:hanging="283"/>
      </w:pPr>
      <w:r>
        <w:t>1. 进入“模型服务与版本”，点击“注册模型服务”，填写服务名称并保存。</w:t>
      </w:r>
    </w:p>
    <w:p>
      <w:pPr>
        <w:ind w:left="283" w:hanging="283"/>
      </w:pPr>
      <w:r>
        <w:t>2. 在服务卡片选择一种版本接入方式。</w:t>
      </w:r>
    </w:p>
    <w:p>
      <w:pPr>
        <w:ind w:left="283" w:hanging="283"/>
      </w:pPr>
      <w:r>
        <w:t>3. 使用“关联已有版本”时，填写服务版本名，按名称选择授权模型和可用的冻结模型版本。没有可用冻结版本的模型不可选。</w:t>
      </w:r>
    </w:p>
    <w:p>
      <w:pPr>
        <w:ind w:left="283" w:hanging="283"/>
      </w:pPr>
      <w:r>
        <w:t>4. 使用“注册模型接口”时，填写服务版本名，选择允许运营域名的接口地址，填写上游模型标识和所需 API Key；需要时输入同一允许域名下的自定义接口路径。</w:t>
      </w:r>
    </w:p>
    <w:p>
      <w:pPr>
        <w:ind w:left="283" w:hanging="283"/>
      </w:pPr>
      <w:r>
        <w:t>5. 保存后核对版本标签，并继续配置稳定版本。</w:t>
      </w:r>
    </w:p>
    <w:p>
      <w:r>
        <w:t>上游接口必须使用允许域名的 HTTPS 地址和443端口。地址不能附带用户名、密码、查询串或片段；没有允许的域名时请联系运营。服务版本名与上游模型标识含义不同，不要仅凭示例版本号判断实际上游部署。</w:t>
      </w:r>
    </w:p>
    <w:p>
      <w:pPr>
        <w:pStyle w:val="Heading2"/>
      </w:pPr>
      <w:r>
        <w:t>3.4 配置稳定版本和灰度路由</w:t>
      </w:r>
    </w:p>
    <w:p>
      <w:pPr>
        <w:ind w:left="283" w:hanging="283"/>
      </w:pPr>
      <w:r>
        <w:t>1. 在目标服务卡片点击“配置路由”。</w:t>
      </w:r>
    </w:p>
    <w:p>
      <w:pPr>
        <w:ind w:left="283" w:hanging="283"/>
      </w:pPr>
      <w:r>
        <w:t>2. 从已有版本中选择稳定版本。首次接入先只配置稳定版本即可。</w:t>
      </w:r>
    </w:p>
    <w:p>
      <w:pPr>
        <w:ind w:left="283" w:hanging="283"/>
      </w:pPr>
      <w:r>
        <w:t>3. 确需灰度时选择另一个灰度版本，再设置灰度流量比例；未选灰度版本时比例控件不可用。</w:t>
      </w:r>
    </w:p>
    <w:p>
      <w:pPr>
        <w:ind w:left="283" w:hanging="283"/>
      </w:pPr>
      <w:r>
        <w:t>4. 保存后核对卡片上的稳定版本、灰度版本与比例。</w:t>
      </w:r>
    </w:p>
    <w:p>
      <w:r>
        <w:t>稳定与灰度版本不能相同。路由影响此后提交的任务，已创建任务保持原版本。切换过稳定版本且存在上一版本时，可点击“回滚”切回上一稳定版本并关闭灰度。配置灰度或回滚不代表质量门禁已经通过，也不是旧流程中的“影子采样”和“转正”。</w:t>
      </w:r>
    </w:p>
    <w:p>
      <w:pPr>
        <w:pStyle w:val="Heading2"/>
      </w:pPr>
      <w:r>
        <w:t>3.5 提交评测需求</w:t>
      </w:r>
    </w:p>
    <w:p>
      <w:r>
        <w:t>点击页头“提交评测需求”，按下表填写。名称、版本和场景尽量从选择项中选取，不需要手动输入内部 ID。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1"/>
        <w:gridCol w:w="3048"/>
        <w:gridCol w:w="4286"/>
      </w:tblGrid>
      <w:tr>
        <w:trPr>
          <w:cantSplit/>
          <w:tblHeader/>
        </w:trPr>
        <w:tc>
          <w:tcPr>
            <w:tcW w:type="dxa" w:w="2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048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操作方法</w:t>
            </w:r>
          </w:p>
        </w:tc>
        <w:tc>
          <w:tcPr>
            <w:tcW w:type="dxa" w:w="4286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核对重点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评测标题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输入能识别本次目标的名称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方便后续按标题查询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配置方式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选择自动化模式或专家模式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自动化直接入队；专家模式还需确认执行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选择本工作空间有效接入方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该接入方需有足够日、月额度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选择已配置稳定版本的服务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不只确认服务名，还应核对其稳定版本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共享数据集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从本企业已交付数据集中选择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样本及参考答案应适合本次评测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Token 预算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选择1千、1万、10万、100万档位，或自定义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不得超过当前可用额度；额度不足的档位不可选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评测场景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专家模式下从中文选项中选择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按业务选择通用问答或其他适用场景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裁判工具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专家模式下选择精确、包含、正则或模糊匹配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按参考答案格式选择，不能把规则匹配当作通用专家判断</w:t>
            </w:r>
          </w:p>
        </w:tc>
      </w:tr>
      <w:tr>
        <w:trPr>
          <w:cantSplit/>
        </w:trPr>
        <w:tc>
          <w:tcPr>
            <w:tcW w:type="dxa" w:w="2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定制化需求</w:t>
            </w:r>
          </w:p>
        </w:tc>
        <w:tc>
          <w:tcPr>
            <w:tcW w:type="dxa" w:w="3048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按需补充文字</w:t>
            </w:r>
          </w:p>
        </w:tc>
        <w:tc>
          <w:tcPr>
            <w:tcW w:type="dxa" w:w="4286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用于记录需求；不会自动完成任意定制开发或自动审批</w:t>
            </w:r>
          </w:p>
        </w:tc>
      </w:tr>
    </w:tbl>
    <w:p>
      <w:pPr>
        <w:spacing w:after="20"/>
      </w:pPr>
    </w:p>
    <w:p>
      <w:r>
        <w:t>自动化模式使用标准精确匹配。精确匹配要求答案形式适合对应规则，开放式长文本不宜仅凭规则分数形成完整质量结论。正则等规则还需保证参考答案格式适用。</w:t>
      </w:r>
    </w:p>
    <w:p>
      <w:r>
        <w:t>提交时系统预占预算，结束后按实际用量计量。更换接入方时表单会根据剩余额度调整默认预算。按钮不可用时查看提示，先补齐接入方、已发布模型服务、共享数据集或额度。</w:t>
      </w:r>
    </w:p>
    <w:p>
      <w:pPr>
        <w:pStyle w:val="Heading2"/>
      </w:pPr>
      <w:r>
        <w:t>3.6 专家配置确认与任务跟踪</w:t>
      </w:r>
    </w:p>
    <w:p>
      <w:r>
        <w:t>进入“需求与交付”，按标题搜索，或从提交成员选择项中筛选。列表展示配置模式、状态、进度和实际 / 预占 Token，可独立分页并选择每页条数。</w:t>
      </w:r>
    </w:p>
    <w:p>
      <w:pPr>
        <w:pStyle w:val="ListBullet"/>
      </w:pPr>
      <w:r>
        <w:t>专家模式提交后为“待确认配置”，核对需求和配置后点击“确认执行”。此按钮是启动任务，不是专家已经审阅报告的证明。</w:t>
      </w:r>
    </w:p>
    <w:p>
      <w:pPr>
        <w:pStyle w:val="ListBullet"/>
      </w:pPr>
      <w:r>
        <w:t>自动化模式提交后直接入队。页面约每15秒更新一次，也可点击“刷新”。</w:t>
      </w:r>
    </w:p>
    <w:p>
      <w:pPr>
        <w:pStyle w:val="ListBullet"/>
      </w:pPr>
      <w:r>
        <w:t>草稿、排队、评测中或预算暂停任务可按页面状态“取消”。取消是请求，需继续查看最终状态；已发生的实际用量仍会计量。</w:t>
      </w:r>
    </w:p>
    <w:p>
      <w:pPr>
        <w:pStyle w:val="ListBullet"/>
      </w:pPr>
      <w:r>
        <w:t>部分失败或失败时记录调用编号、标题和提示，请运营协助。不要反复提交同一需求制造重复任务。</w:t>
      </w:r>
    </w:p>
    <w:p>
      <w:pPr>
        <w:pStyle w:val="Heading2"/>
      </w:pPr>
      <w:r>
        <w:t>3.7 下载报告与核对用量</w:t>
      </w:r>
    </w:p>
    <w:p>
      <w:r>
        <w:t>有正式报告时，任务行显示“下载报告”，点击保存 JSON 文件。未出现按钮时先检查任务状态和报告是否已生成，不能仅凭进度条判断报告可交付。</w:t>
      </w:r>
    </w:p>
    <w:p>
      <w:r>
        <w:t>在“接入方与用量账单”查看接入方日/月使用量、额度、频率、单价和计量金额。“调用审计与计量明细”显示当前已加载的任务页；完整任务翻页与筛选请回到“需求与交付”。</w:t>
      </w:r>
    </w:p>
    <w:p>
      <w:r>
        <w:t>“已计量”与“已付款”不同；“待核量”说明用量证据尚未完整，不能把0解释为免费或无消耗。金额以人民币显示，上游供应商账单仍需另行核对。</w:t>
      </w:r>
    </w:p>
    <w:p>
      <w:bookmarkStart w:id="5" w:name="chapter_5"/>
      <w:pPr>
        <w:pStyle w:val="Heading1"/>
        <w:pageBreakBefore/>
      </w:pPr>
      <w:r>
        <w:t>4 记录查询与追溯</w:t>
      </w:r>
      <w:bookmarkEnd w:id="5"/>
    </w:p>
    <w:p>
      <w:pPr>
        <w:pStyle w:val="Heading2"/>
      </w:pPr>
      <w:r>
        <w:t>4.1 选择正确入口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查询目标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入口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运营查看某企业全部记录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企业与成员管理 → 目标企业 → 成员与记录 → 操作记录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运营查看某成员记录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目标企业 → 企业成员 → 该成员行的评测记录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客户查看本企业记录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评测服务 → 评测操作记录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客户查看当前空间网关请求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接入方与用量账单 → 网关访问审计</w:t>
            </w:r>
          </w:p>
        </w:tc>
      </w:tr>
    </w:tbl>
    <w:p>
      <w:pPr>
        <w:spacing w:after="20"/>
      </w:pPr>
    </w:p>
    <w:p>
      <w:r>
        <w:t>主页面的“评测操作记录”默认查询当前登录账号所属企业，不是运营账号所管理的全部企业。运营追踪客户时必须先进入目标企业。</w:t>
      </w:r>
    </w:p>
    <w:p>
      <w:pPr>
        <w:pStyle w:val="Heading2"/>
      </w:pPr>
      <w:r>
        <w:t>4.2 成员操作记录</w:t>
      </w:r>
    </w:p>
    <w:p>
      <w:r>
        <w:t>选择“成员操作”，可按成员、操作类型、开始与结束时间查询。筛选后从第一页展示，记录支持分页；点击“详情”查看完整说明和关联对象编号。</w:t>
      </w:r>
    </w:p>
    <w:p>
      <w:r>
        <w:t>操作时间在此处按北京时间显示。已删除成员仍可作为筛选条件。操作人是实际执行该动作的账号：例如运营为客户调整额度，操作人显示运营账号；不能把该动作算成客户成员本人操作。</w:t>
      </w:r>
    </w:p>
    <w:p>
      <w:r>
        <w:t>关联对象可能是任务、调用、成员、服务或企业，应结合模块和操作类型识别。新补充的操作审计从功能上线后开始记录，旧版本未记录的历史动作不会自动补造。</w:t>
      </w:r>
    </w:p>
    <w:p>
      <w:pPr>
        <w:pStyle w:val="Heading2"/>
      </w:pPr>
      <w:r>
        <w:t>4.3 API 访问记录</w:t>
      </w:r>
    </w:p>
    <w:p>
      <w:r>
        <w:t>切换“API 访问记录”，选择成员和时间，再点击“查询”。查看请求方法、路径、HTTP 状态与接入方名称；详情可展开完整记录。操作类型筛选只用于“成员操作”。</w:t>
      </w:r>
    </w:p>
    <w:p>
      <w:r>
        <w:t>API 请求按密钥创建成员归属，不能由此认定实际调用者一定是该成员本人。幂等重试、参数错误、已知密钥的鉴权失败也可能被记录；一条访问记录不等于新执行了一次评测。未知密钥不能归属企业时，不会出现在某企业的已归属成员记录中。</w:t>
      </w:r>
    </w:p>
    <w:p>
      <w:r>
        <w:t>“接入方与用量账单”的原有网关审计和调用计量时间列标为 UTC；与北京时间记录对照时，北京时间等于 UTC 加8小时。</w:t>
      </w:r>
    </w:p>
    <w:p>
      <w:bookmarkStart w:id="6" w:name="chapter_6"/>
      <w:pPr>
        <w:pStyle w:val="Heading1"/>
        <w:pageBreakBefore/>
      </w:pPr>
      <w:r>
        <w:t>5 应用集成说明</w:t>
      </w:r>
      <w:bookmarkEnd w:id="6"/>
    </w:p>
    <w:p>
      <w:pPr>
        <w:pStyle w:val="Heading2"/>
      </w:pPr>
      <w:r>
        <w:t>5.1 准备请求</w:t>
      </w:r>
    </w:p>
    <w:p>
      <w:r>
        <w:t>页面用户可跳过本章。应用集成人员先完成接入方、额度、模型服务稳定版本和共享数据集准备，再阅读“接入方与用量账单 → API 接入”。页面上的请求示例会展示当前空间对象编号；集成程序使用编号，普通页面通过名称选择。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请求头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X-API-Key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本企业接入方密钥，不使用个人登录密码或上游模型密钥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Idempotency-Key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本次业务提交的唯一键；重试同一请求时保留原键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Content-Type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JSON 请求使用 application/json</w:t>
            </w:r>
          </w:p>
        </w:tc>
      </w:tr>
    </w:tbl>
    <w:p>
      <w:pPr>
        <w:spacing w:after="20"/>
      </w:pPr>
    </w:p>
    <w:p>
      <w:pPr>
        <w:pStyle w:val="Heading2"/>
      </w:pPr>
      <w:r>
        <w:t>5.2 提交 查询 下载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方法和路径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/api/service-gateway/v1/services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查询该密钥可用的模型服务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/api/service-gateway/v1/usage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查询额度及使用情况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POST /api/service-gateway/v1/evaluations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提交评测，参数参考页面 API 接入示例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/api/service-gateway/v1/evaluations/{id}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按返回的调用编号查询状态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GET /api/service-gateway/v1/evaluations/{id}/report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正式报告就绪后下载</w:t>
            </w:r>
          </w:p>
        </w:tc>
      </w:tr>
    </w:tbl>
    <w:p>
      <w:pPr>
        <w:spacing w:after="20"/>
      </w:pPr>
    </w:p>
    <w:p>
      <w:r>
        <w:t>同一幂等键和相同请求会返回原调用，不重复预占；同一键用于不同请求会被拒绝。轮询查询也会计入网关请求频率，设置合理间隔，避免每秒密集查询。</w:t>
      </w:r>
    </w:p>
    <w:p>
      <w:r>
        <w:t>API 当前没有专家任务确认执行入口；选择专家模式提交后，由有权成员到页面“确认执行”。不要使用旧的内部委托服务接口替代企业网关，也不要修改数据库中的任务状态。</w:t>
      </w:r>
    </w:p>
    <w:p>
      <w:bookmarkStart w:id="7" w:name="chapter_7"/>
      <w:pPr>
        <w:pStyle w:val="Heading1"/>
        <w:pageBreakBefore/>
      </w:pPr>
      <w:r>
        <w:t>6 状态与常见问题</w:t>
      </w:r>
      <w:bookmarkEnd w:id="7"/>
    </w:p>
    <w:p>
      <w:pPr>
        <w:pStyle w:val="Heading2"/>
      </w:pPr>
      <w:r>
        <w:t>6.1 任务和计量状态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用户应如何处理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待确认配置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专家模式尚未启动，核对后确认执行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排队中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等待执行；异常停留时联系运营检查执行资源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评测中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观察进度和用量，不重复提交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预算已用尽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核对预算与用量，联系运营；本页面没有任意调额续跑按钮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已完成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继续检查正式报告是否就绪和计量状态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部分失败或失败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保留调用编号和错误信息，先处理原因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已取消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核对最终用量；取消不会抹去已发生的消耗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调用被拒绝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检查额度、密钥、服务配置或数据可见范围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待核量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用量证据不完整，不能按0消耗签署结算</w:t>
            </w:r>
          </w:p>
        </w:tc>
      </w:tr>
    </w:tbl>
    <w:p>
      <w:pPr>
        <w:spacing w:after="20"/>
      </w:pPr>
    </w:p>
    <w:p>
      <w:pPr>
        <w:pStyle w:val="Heading2"/>
      </w:pPr>
      <w:r>
        <w:t>6.2 常见问题处理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4"/>
        <w:gridCol w:w="6191"/>
      </w:tblGrid>
      <w:tr>
        <w:trPr>
          <w:cantSplit/>
          <w:tblHeader/>
        </w:trPr>
        <w:tc>
          <w:tcPr>
            <w:tcW w:type="dxa" w:w="3334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6191"/>
            <w:shd w:fill="E9EFF3"/>
          </w:tcPr>
          <w:p>
            <w:pPr>
              <w:keepNext/>
              <w:spacing w:before="60" w:after="60" w:line="271" w:lineRule="auto"/>
            </w:pPr>
            <w:r>
              <w:rPr>
                <w:b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运营看不到企业与成员管理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请管理员核对 service:list 和 service:admit；记录查询另需 service:records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企业已开通但客户无法登录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核对企业、成员是否启用及账号密码；忘记密码由运营重置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客户看不到其他企业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属于企业隔离范围；联系运营核对归属，不修改网址尝试访问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创建了接入方仍不能提交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新接入方额度默认0，请运营分配；同时核对稳定版本和数据集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模型服务选择项为空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先注册版本并配置稳定版本，再打开提交表单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冻结模型版本不可选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请运营或模型负责人核对授权、版本可用状态和冻结接口配置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数据集列表为空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联系运营交付已发布且质检通过的数据集，并确认企业范围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接口地址被拒绝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请运营核对精确域名白名单、HTTPS及443端口，不通过修改地址绕过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完整密钥不见了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密钥只展示一次；新建接入方、申请额度，并按需撤销旧密钥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找不到旧密码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平台不提供旧密码明文；使用重置密码流程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专家任务一直未启动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在需求与交付中找到待确认任务，核对后点击确认执行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不出现下载报告按钮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核对正式报告就绪情况；完成状态不保证文件已生成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修改单价后旧金额未变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调用创建时冻结价格；新价格不自动重算历史调用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API 返回401或403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检查密钥撤销、成员或企业状态、账号权限及归属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API 返回429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分别核对日/月额度和每分钟请求限制，包括状态查询频率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记录与任务数量不同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操作、访问与任务是不同记录，重试和查询也会形成访问记录</w:t>
            </w:r>
          </w:p>
        </w:tc>
      </w:tr>
      <w:tr>
        <w:trPr>
          <w:cantSplit/>
        </w:trPr>
        <w:tc>
          <w:tcPr>
            <w:tcW w:type="dxa" w:w="3334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删除后仍能看到成员</w:t>
            </w:r>
          </w:p>
        </w:tc>
        <w:tc>
          <w:tcPr>
            <w:tcW w:type="dxa" w:w="6191"/>
          </w:tcPr>
          <w:p>
            <w:pPr>
              <w:keepNext w:val="0"/>
              <w:spacing w:before="60" w:after="60" w:line="271" w:lineRule="auto"/>
            </w:pPr>
            <w:r>
              <w:rPr>
                <w:b w:val="0"/>
                <w:sz w:val="18"/>
              </w:rPr>
              <w:t>属于历史追溯保留；成员已不能登录，不要重复删除</w:t>
            </w:r>
          </w:p>
        </w:tc>
      </w:tr>
    </w:tbl>
    <w:p>
      <w:pPr>
        <w:spacing w:after="20"/>
      </w:pPr>
    </w:p>
    <w:p>
      <w:pPr>
        <w:pStyle w:val="Heading2"/>
      </w:pPr>
      <w:r>
        <w:t>6.3 联系运营时提供什么</w:t>
      </w:r>
    </w:p>
    <w:p>
      <w:r>
        <w:t>提供企业名称、工作空间、接入方名称、评测标题或调用编号、发生时间和页面错误提示；必要时补充模型服务及版本。不要提供完整登录密码、API Key 或含凭据的请求头截图。运营方将这些信息与成员操作、网关请求和实际任务记录交叉核对后处理。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680"/>
        <w:sz w:val="16"/>
      </w:rPr>
      <w:t xml:space="preserve">用户使用手册  ·  </w:t>
    </w:r>
    <w:r>
      <w:rPr>
        <w:color w:val="6C768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Microsoft YaHei" w:hAnsi="Microsoft YaHei" w:eastAsia="Microsoft YaHei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25D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after="0" w:line="264" w:lineRule="auto"/>
      <w:ind w:left="170" w:right="170"/>
    </w:pPr>
    <w:rPr>
      <w:rFonts w:ascii="Consolas" w:hAnsi="Consolas" w:eastAsia="Microsoft YaHei"/>
      <w:b w:val="0"/>
      <w:color w:val="24354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评测服务用户手册</dc:title>
  <dc:subject>业务操作 企业评测服务与账号管理</dc:subject>
  <dc:creator>评测平台项目</dc:creator>
  <cp:keywords>评测平台,用户手册,企业,运营,客户,评测服务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