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1.5　编写日期 2026年9月29日　评测服务与Agent修订日期 2026年10月24日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助手分析与工具调用详解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三个组合使用案例</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版本1.1修订评测服务及相关账号、权限和记录查询说明；版本1.2按2026年10月24日实现更新Agent工具循环、子Agent、MCP调用、知识复用和相关操作指引，版本1.3补充平台模型按企业授权、模型与冻结版本的区别及产生方式、撤销与重新授权；其他章节保留此前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评测助手先建立规则草案，再自动通过LangGraph调用真实规划模型和规划子Agent，核对授权资源后更新计划。可用工具包括资源检索、知识检索、计划建议、子Agent协作和已启用MCP等，详见第16章。注册Skill或MCP后仍需配置工具权限与会话启用范围。</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tool_calls。普通文本试调用成功仍不足以证明工具循环可用。应在评测助手的“执行明细”中核对一次真实模型决策和工具调用。</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三个创建入口</w:t>
      </w:r>
    </w:p>
    <w:p>
      <w:r>
        <w:t>“任务管理 → 创建任务”适合已明确配置的操作人员；“任务模板”适合从标准场景预填配置；“编排Agent”适合先描述目标，再经澄清和审批建立任务。三个入口最终都应回到任务详情核查真实执行结果。</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能力测试、安全可信、场景应用、行业专项，按业务选择</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选择能解释本任务答案的规则；当前下拉主要列出 tool 类型</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当前任务表单的打分工具列表不会自动列出所有 Skill/MCP。需要通过接口指定复合资源时，须由集成人员核对返回的 score、passed 及真实执行兼容性，不能把任意 MCP 返回文本直接当成评分。</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r>
        <w:t>需要让Agent调用时，先保存已注册连接的工具目录，再在评测助手本次会话中启用该连接。主Agent或已授权自定义子Agent可携带arguments实际调用，步骤和限制见第16至17章；临时探测成功不等于已授予Agent调用权限。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路径</w:t>
            </w:r>
          </w:p>
        </w:tc>
        <w:tc>
          <w:tcPr>
            <w:tcW w:type="dxa" w:w="3048"/>
            <w:shd w:fill="E9EFF3"/>
          </w:tcPr>
          <w:p>
            <w:pPr>
              <w:keepNext/>
              <w:spacing w:before="60" w:after="60" w:line="271" w:lineRule="auto"/>
            </w:pPr>
            <w:r>
              <w:rPr>
                <w:b/>
                <w:sz w:val="18"/>
              </w:rPr>
              <w:t>谁决定下一步</w:t>
            </w:r>
          </w:p>
        </w:tc>
        <w:tc>
          <w:tcPr>
            <w:tcW w:type="dxa" w:w="4286"/>
            <w:shd w:fill="E9EFF3"/>
          </w:tcPr>
          <w:p>
            <w:pPr>
              <w:keepNext/>
              <w:spacing w:before="60" w:after="60" w:line="271" w:lineRule="auto"/>
            </w:pPr>
            <w:r>
              <w:rPr>
                <w:b/>
                <w:sz w:val="18"/>
              </w:rPr>
              <w:t>操作后应核对什么</w:t>
            </w:r>
          </w:p>
        </w:tc>
      </w:tr>
      <w:tr>
        <w:trPr>
          <w:cantSplit/>
        </w:trPr>
        <w:tc>
          <w:tcPr>
            <w:tcW w:type="dxa" w:w="2191"/>
          </w:tcPr>
          <w:p>
            <w:pPr>
              <w:keepNext w:val="0"/>
              <w:spacing w:before="60" w:after="60" w:line="271" w:lineRule="auto"/>
            </w:pPr>
            <w:r>
              <w:rPr>
                <w:b w:val="0"/>
                <w:sz w:val="18"/>
              </w:rPr>
              <w:t>计划编排</w:t>
            </w:r>
          </w:p>
        </w:tc>
        <w:tc>
          <w:tcPr>
            <w:tcW w:type="dxa" w:w="3048"/>
          </w:tcPr>
          <w:p>
            <w:pPr>
              <w:keepNext w:val="0"/>
              <w:spacing w:before="60" w:after="60" w:line="271" w:lineRule="auto"/>
            </w:pPr>
            <w:r>
              <w:rPr>
                <w:b w:val="0"/>
                <w:sz w:val="18"/>
              </w:rPr>
              <w:t>模板、资源匹配和校验规则；操作人员确认配置</w:t>
            </w:r>
          </w:p>
        </w:tc>
        <w:tc>
          <w:tcPr>
            <w:tcW w:type="dxa" w:w="4286"/>
          </w:tcPr>
          <w:p>
            <w:pPr>
              <w:keepNext w:val="0"/>
              <w:spacing w:before="60" w:after="60" w:line="271" w:lineRule="auto"/>
            </w:pPr>
            <w:r>
              <w:rPr>
                <w:b w:val="0"/>
                <w:sz w:val="18"/>
              </w:rPr>
              <w:t>计划、澄清、审批及关联任务；生成规则计划本身不等于模型推理</w:t>
            </w:r>
          </w:p>
        </w:tc>
      </w:tr>
      <w:tr>
        <w:trPr>
          <w:cantSplit/>
        </w:trPr>
        <w:tc>
          <w:tcPr>
            <w:tcW w:type="dxa" w:w="2191"/>
          </w:tcPr>
          <w:p>
            <w:pPr>
              <w:keepNext w:val="0"/>
              <w:spacing w:before="60" w:after="60" w:line="271" w:lineRule="auto"/>
            </w:pPr>
            <w:r>
              <w:rPr>
                <w:b w:val="0"/>
                <w:sz w:val="18"/>
              </w:rPr>
              <w:t>Runtime工具循环</w:t>
            </w:r>
          </w:p>
        </w:tc>
        <w:tc>
          <w:tcPr>
            <w:tcW w:type="dxa" w:w="3048"/>
          </w:tcPr>
          <w:p>
            <w:pPr>
              <w:keepNext w:val="0"/>
              <w:spacing w:before="60" w:after="60" w:line="271" w:lineRule="auto"/>
            </w:pPr>
            <w:r>
              <w:rPr>
                <w:b w:val="0"/>
                <w:sz w:val="18"/>
              </w:rPr>
              <w:t>真实规划模型在本次启用的工具和能力范围内选择</w:t>
            </w:r>
          </w:p>
        </w:tc>
        <w:tc>
          <w:tcPr>
            <w:tcW w:type="dxa" w:w="4286"/>
          </w:tcPr>
          <w:p>
            <w:pPr>
              <w:keepNext w:val="0"/>
              <w:spacing w:before="60" w:after="60" w:line="271" w:lineRule="auto"/>
            </w:pPr>
            <w:r>
              <w:rPr>
                <w:b w:val="0"/>
                <w:sz w:val="18"/>
              </w:rPr>
              <w:t>工具参数、结果、回复和运行记录；执行评测仍需用户确认</w:t>
            </w:r>
          </w:p>
        </w:tc>
      </w:tr>
      <w:tr>
        <w:trPr>
          <w:cantSplit/>
        </w:trPr>
        <w:tc>
          <w:tcPr>
            <w:tcW w:type="dxa" w:w="2191"/>
          </w:tcPr>
          <w:p>
            <w:pPr>
              <w:keepNext w:val="0"/>
              <w:spacing w:before="60" w:after="60" w:line="271" w:lineRule="auto"/>
            </w:pPr>
            <w:r>
              <w:rPr>
                <w:b w:val="0"/>
                <w:sz w:val="18"/>
              </w:rPr>
              <w:t>专项协作</w:t>
            </w:r>
          </w:p>
        </w:tc>
        <w:tc>
          <w:tcPr>
            <w:tcW w:type="dxa" w:w="3048"/>
          </w:tcPr>
          <w:p>
            <w:pPr>
              <w:keepNext w:val="0"/>
              <w:spacing w:before="60" w:after="60" w:line="271" w:lineRule="auto"/>
            </w:pPr>
            <w:r>
              <w:rPr>
                <w:b w:val="0"/>
                <w:sz w:val="18"/>
              </w:rPr>
              <w:t>内置角色按任务事实处理；自定义子Agent使用模型与受控工具循环</w:t>
            </w:r>
          </w:p>
        </w:tc>
        <w:tc>
          <w:tcPr>
            <w:tcW w:type="dxa" w:w="4286"/>
          </w:tcPr>
          <w:p>
            <w:pPr>
              <w:keepNext w:val="0"/>
              <w:spacing w:before="60" w:after="60" w:line="271" w:lineRule="auto"/>
            </w:pPr>
            <w:r>
              <w:rPr>
                <w:b w:val="0"/>
                <w:sz w:val="18"/>
              </w:rPr>
              <w:t>委派记录、实际工具调用和分析依据；当前按需顺序执行</w:t>
            </w:r>
          </w:p>
        </w:tc>
      </w:tr>
    </w:tbl>
    <w:p>
      <w:pPr>
        <w:spacing w:after="20"/>
      </w:pPr>
    </w:p>
    <w:p>
      <w:r>
        <w:t>当前Runtime使用LangGraph编排。操作人员仍从同一评测助手页面使用，无需编写或编辑流程图。模型可以检索知识、查找资源、更新计划、调用已启用子Agent或MCP，并请求审批执行；不能绕过权限和审批直接修改任务或评分。</w:t>
      </w:r>
    </w:p>
    <w:p>
      <w:r>
        <w:t>区分会话编号、run_id、task_id和委派编号。Run显示success可以表示本轮对话结束；只有实际评测任务和结果满足核验条件时，才会显示评测目标已核验，具体见第16.6节。</w:t>
      </w:r>
    </w:p>
    <w:p>
      <w:pPr>
        <w:pStyle w:val="Heading2"/>
      </w:pPr>
      <w:r>
        <w:t>14.3 Agent Skill MCP 工具和记忆的组合图</w:t>
      </w:r>
    </w:p>
    <w:p>
      <w:pPr>
        <w:pStyle w:val="ManualCode"/>
        <w:keepNext/>
        <w:shd w:fill="F3F5F7"/>
      </w:pPr>
      <w:r>
        <w:t>操作人员描述目标 → 会话与规则计划 → 补充信息</w:t>
      </w:r>
    </w:p>
    <w:p>
      <w:pPr>
        <w:pStyle w:val="ManualCode"/>
        <w:keepNext/>
        <w:shd w:fill="F3F5F7"/>
      </w:pPr>
      <w:r>
        <w:t xml:space="preserve">  → Runtime真实规划模型 → 检索知识、查找资源、更新计划</w:t>
      </w:r>
    </w:p>
    <w:p>
      <w:pPr>
        <w:pStyle w:val="ManualCode"/>
        <w:keepNext/>
        <w:shd w:fill="F3F5F7"/>
      </w:pPr>
      <w:r>
        <w:t xml:space="preserve">  → 按需委派自定义子Agent → 子Agent模型与已授权工具 → 返回分析</w:t>
      </w:r>
    </w:p>
    <w:p>
      <w:pPr>
        <w:pStyle w:val="ManualCode"/>
        <w:keepNext/>
        <w:shd w:fill="F3F5F7"/>
      </w:pPr>
      <w:r>
        <w:t xml:space="preserve">  → 已启用编排Skill或MCP连接 → 带参数调用 → 结果或错误反馈</w:t>
      </w:r>
    </w:p>
    <w:p>
      <w:pPr>
        <w:pStyle w:val="ManualCode"/>
        <w:keepNext/>
        <w:shd w:fill="F3F5F7"/>
      </w:pPr>
      <w:r>
        <w:t xml:space="preserve">  → 请求用户审批 → 审批计划 → 确认并执行</w:t>
      </w:r>
    </w:p>
    <w:p>
      <w:pPr>
        <w:pStyle w:val="ManualCode"/>
        <w:keepNext/>
        <w:shd w:fill="F3F5F7"/>
      </w:pPr>
      <w:r>
        <w:t xml:space="preserve">  → 任务服务 → 被测模型与裁判 → 实测结果和报告 → 执行结果核验</w:t>
      </w:r>
    </w:p>
    <w:p>
      <w:pPr>
        <w:pStyle w:val="ManualCode"/>
        <w:keepNext/>
        <w:shd w:fill="F3F5F7"/>
      </w:pPr>
    </w:p>
    <w:p>
      <w:pPr>
        <w:pStyle w:val="ManualCode"/>
        <w:keepNext/>
        <w:shd w:fill="F3F5F7"/>
      </w:pPr>
      <w:r>
        <w:t>人工整理有效经验 → 知识候选 → 审核 → 有效知识条目</w:t>
      </w:r>
    </w:p>
    <w:p>
      <w:pPr>
        <w:pStyle w:val="ManualCode"/>
        <w:keepNext w:val="0"/>
        <w:shd w:fill="F3F5F7"/>
      </w:pPr>
      <w:r>
        <w:t xml:space="preserve">  → 在租户、权限和查询条件允许时由模型检索</w:t>
      </w:r>
    </w:p>
    <w:p>
      <w:pPr>
        <w:spacing w:after="40"/>
      </w:pPr>
    </w:p>
    <w:p>
      <w:r>
        <w:t>工具底座中的workflow Skill和评测助手中的“编排Skill”不同：前者按Manifest执行工具步骤，后者用于向模型提供提示约束、知识检索或转交角色等受支持能力。注册工具底座Skill不会自动授予Agent调用权，也不会自动进入编排Skill列表。</w:t>
      </w:r>
    </w:p>
    <w:p>
      <w:r>
        <w:t>会话历史用于回看；checkpoint保存同一Run的执行进度；知识条目用于按问题检索；Skill的$ref用于本次调用传值。它们不会自动把所有历史拼接为长期模型上下文。</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会话列表按颜色区分正在规划、待补充、待确认、执行跟踪、预算暂停、正在停止、已停止、异常结束和已完成。中央分为“对话与计划”“执行明细”“报告与经验”，配置集中在右上角“助手设置”；“计划证据”可打开详细计划。“新建评测”清空上一会话目标、补充输入、预算和可选能力，避免误带旧内容。</w:t>
      </w:r>
    </w:p>
    <w:p>
      <w:r>
        <w:t>首次使用准备可访问的数据集、被测模型和规划模型。选择有 api_url 的规划模型后点击“生成计划”，系统建立规则草案，并自动启动 LangGraph 规划运行：读取当前用户授权的数据集、被测模型及工具清单，调用规划专项子Agent，再由主Agent核对真实资源ID并形成摘要。规划分析完成前不能审批或改配。资源清单有数量上限，缺少目标资源时可进一步检索。</w:t>
      </w:r>
    </w:p>
    <w:p>
      <w:pPr>
        <w:pStyle w:val="Heading2"/>
      </w:pPr>
      <w:r>
        <w:t>15.2 写出可以核对的目标</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在“评测准备：规划模型与预算”填写Token预算并选择规划模型；可选子Agent、Skill与MCP另行展开。</w:t>
      </w:r>
    </w:p>
    <w:p>
      <w:pPr>
        <w:ind w:left="283" w:hanging="283"/>
      </w:pPr>
      <w:r>
        <w:t>3. 点击“生成计划”，等待资源检索与规划分析完成；下方专项协作记录逐项出现，可展开检查模型输入、工具和结果。</w:t>
      </w:r>
    </w:p>
    <w:p>
      <w:pPr>
        <w:ind w:left="283" w:hanging="283"/>
      </w:pPr>
      <w:r>
        <w:t>4. 查看目标、模板、场景、数据、被测模型、试跑或正式模式及预算。</w:t>
      </w:r>
    </w:p>
    <w:p>
      <w:pPr>
        <w:ind w:left="283" w:hanging="283"/>
      </w:pPr>
      <w:r>
        <w:t>5. 打开“计划证据”，核对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预算；试跑可按当前规则容许未设限额，但操作上仍建议控制小数据集及用量。关闭试跑模式后如果又变回试跑，应检查数据发布、质检和模型 endpoint 条件。</w:t>
      </w:r>
    </w:p>
    <w:p>
      <w:r>
        <w:t>试跑模式用于调通数据、模型与裁判链路，放宽部分正式门禁；仍执行所选数据集版本，不自动抽样，仍可能真实调用并产生费用，不能作为正式准入结论。原“试用模式”与此开关是同一功能，页面已统一名称。工具底座的“试用”是单个工具调用，属于另一个入口。</w:t>
      </w:r>
    </w:p>
    <w:p>
      <w:r>
        <w:t>发送后用户消息立即进入对话区，等待模型时显示三点动画；有新动态后更新。消息只需发送一次，历史会话的重复规划首条消息会合并显示，审计原记录保留。Markdown支持标题、列表、表格、代码块与引用。</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审批有效后点击“确认并执行”。系统消费审批、创建或返回关联任务并入队，同时启动或续接任务跟踪Run；后台按实际状态变化调用监控分析，失败时调用诊断，终态时调用报告审校。记录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task_id后，进入任务详情检查实际状态、逐样本输出和报告。工具循环记录也会给出本轮完成情况：普通对话完成不表示已经执行评测；“评测任务已完成，目标核验通过”表示通过当前正式执行核验；“任务已结束，评测目标尚未核验通过”时仍需检查试跑、模拟、缺失结果或报告等原因。</w:t>
      </w:r>
    </w:p>
    <w:p>
      <w:r>
        <w:t>若模型调用“请求审批执行评测”后进入等待，按第15.5至15.6节核对并确认计划。仅点击“继续会话”不能代替审批。确认执行后，已部署的后台执行器会在条件满足时继续核验；未自动继续时可以刷新或在允许状态下恢复原Run，先核对已有任务编号，不重新创建同一评测。</w:t>
      </w:r>
    </w:p>
    <w:p>
      <w:bookmarkStart w:id="17" w:name="chapter_17"/>
      <w:pPr>
        <w:pStyle w:val="Heading1"/>
        <w:pageBreakBefore/>
      </w:pPr>
      <w:r>
        <w:t>16 助手分析与工具调用详解</w:t>
      </w:r>
      <w:bookmarkEnd w:id="17"/>
    </w:p>
    <w:p>
      <w:pPr>
        <w:pStyle w:val="Heading2"/>
      </w:pPr>
      <w:r>
        <w:t>16.1 准备与启动</w:t>
      </w:r>
    </w:p>
    <w:p>
      <w:pPr>
        <w:ind w:left="283" w:hanging="283"/>
      </w:pPr>
      <w:r>
        <w:t>1. 打开右上角“助手设置”，在“主Agent”中核对系统提示词、可用工具、最大迭代和超时。有权限人员可修改这些配置。</w:t>
      </w:r>
    </w:p>
    <w:p>
      <w:pPr>
        <w:ind w:left="283" w:hanging="283"/>
      </w:pPr>
      <w:r>
        <w:t>2. 在“子Agent与编排Skill”维护需要的能力。创建或打开会话后，在该次编排的能力选择中明确启用子Agent、编排Skill和MCP连接。</w:t>
      </w:r>
    </w:p>
    <w:p>
      <w:pPr>
        <w:ind w:left="283" w:hanging="283"/>
      </w:pPr>
      <w:r>
        <w:t>3. MCP先在工具底座完成“验证连接”“获取工具目录”和一次测试调用，再回到会话选择已注册连接。临时探测地址不会自动成为Agent可用连接。</w:t>
      </w:r>
    </w:p>
    <w:p>
      <w:pPr>
        <w:ind w:left="283" w:hanging="283"/>
      </w:pPr>
      <w:r>
        <w:t>4. 新建评测时选择真实规划模型并生成计划；需要补充时直接发送一条消息。也可点击“继续分析当前计划”，沿用已保存的需求检查资源和未完成事项，不必再发送相同需求；此按钮不会自动执行评测。</w:t>
      </w:r>
    </w:p>
    <w:p>
      <w:pPr>
        <w:ind w:left="283" w:hanging="283"/>
      </w:pPr>
      <w:r>
        <w:t>5. 检查“工具循环记录”的轮次、用量、工具事件、回复和完成说明；涉及计划变更时重新打开“计划/证据”核对实际字段。</w:t>
      </w:r>
    </w:p>
    <w:p>
      <w:r>
        <w:t>会话提交后由后台运行真实模型与工具，页面持续读取记录。最大模型决策轮次取“主Agent”的最大迭代设置，默认10轮；接口调用者可显式指定。新Run会带入有限的近期会话内容，不能依赖完整历史始终存在。恢复原Run则继续使用该Run保存的消息和工具结果。</w:t>
      </w:r>
    </w:p>
    <w:p>
      <w:r>
        <w:t>助手设置中的“实时执行动态”控制前端SSE事件展示，模型完整回复在完成后显示；当前没有逐字Token流式输出。关闭后通过轮询更新，后台工作照常进行。</w:t>
      </w:r>
    </w:p>
    <w:p>
      <w:r>
        <w:t>“关键操作始终需确认”说明人工介入的范围：任务创建与执行、配置变更导致的重新审批、异常恢复、补测和报告发布等需要人员核对。该门禁不能关闭；当前不支持在任意模型或工具执行中途接管。原有容易误导的“人工介入”开关已移除。</w:t>
      </w:r>
    </w:p>
    <w:p>
      <w:pPr>
        <w:pStyle w:val="Heading2"/>
      </w:pPr>
      <w:r>
        <w:t>16.2 当前允许的工具</w:t>
      </w:r>
    </w:p>
    <w:p>
      <w:r>
        <w:t>下列工具需同时符合主Agent配置和本会话启用范围。模型可能选择调用，也可能在信息足够时直接回答；看到工具名称不表示它已执行。</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工具或页面名称</w:t>
            </w:r>
          </w:p>
        </w:tc>
        <w:tc>
          <w:tcPr>
            <w:tcW w:type="dxa" w:w="3048"/>
            <w:shd w:fill="E9EFF3"/>
          </w:tcPr>
          <w:p>
            <w:pPr>
              <w:keepNext/>
              <w:spacing w:before="60" w:after="60" w:line="271" w:lineRule="auto"/>
            </w:pPr>
            <w:r>
              <w:rPr>
                <w:b/>
                <w:sz w:val="18"/>
              </w:rPr>
              <w:t>输入与作用</w:t>
            </w:r>
          </w:p>
        </w:tc>
        <w:tc>
          <w:tcPr>
            <w:tcW w:type="dxa" w:w="4286"/>
            <w:shd w:fill="E9EFF3"/>
          </w:tcPr>
          <w:p>
            <w:pPr>
              <w:keepNext/>
              <w:spacing w:before="60" w:after="60" w:line="271" w:lineRule="auto"/>
            </w:pPr>
            <w:r>
              <w:rPr>
                <w:b/>
                <w:sz w:val="18"/>
              </w:rPr>
              <w:t>重要限制</w:t>
            </w:r>
          </w:p>
        </w:tc>
      </w:tr>
      <w:tr>
        <w:trPr>
          <w:cantSplit/>
        </w:trPr>
        <w:tc>
          <w:tcPr>
            <w:tcW w:type="dxa" w:w="2191"/>
          </w:tcPr>
          <w:p>
            <w:pPr>
              <w:keepNext w:val="0"/>
              <w:spacing w:before="60" w:after="60" w:line="271" w:lineRule="auto"/>
            </w:pPr>
            <w:r>
              <w:rPr>
                <w:b w:val="0"/>
                <w:sz w:val="18"/>
              </w:rPr>
              <w:t>get_resource_inventory 授权资源清单</w:t>
            </w:r>
          </w:p>
        </w:tc>
        <w:tc>
          <w:tcPr>
            <w:tcW w:type="dxa" w:w="3048"/>
          </w:tcPr>
          <w:p>
            <w:pPr>
              <w:keepNext w:val="0"/>
              <w:spacing w:before="60" w:after="60" w:line="271" w:lineRule="auto"/>
            </w:pPr>
            <w:r>
              <w:rPr>
                <w:b w:val="0"/>
                <w:sz w:val="18"/>
              </w:rPr>
              <w:t>当前用户可访问的真实数据集、模型与工具，含ID、状态、版本、样本量及能力结构</w:t>
            </w:r>
          </w:p>
        </w:tc>
        <w:tc>
          <w:tcPr>
            <w:tcW w:type="dxa" w:w="4286"/>
          </w:tcPr>
          <w:p>
            <w:pPr>
              <w:keepNext w:val="0"/>
              <w:spacing w:before="60" w:after="60" w:line="271" w:lineRule="auto"/>
            </w:pPr>
            <w:r>
              <w:rPr>
                <w:b w:val="0"/>
                <w:sz w:val="18"/>
              </w:rPr>
              <w:t>不含连接凭证；仍需检查正式门禁</w:t>
            </w:r>
          </w:p>
        </w:tc>
      </w:tr>
      <w:tr>
        <w:trPr>
          <w:cantSplit/>
        </w:trPr>
        <w:tc>
          <w:tcPr>
            <w:tcW w:type="dxa" w:w="2191"/>
          </w:tcPr>
          <w:p>
            <w:pPr>
              <w:keepNext w:val="0"/>
              <w:spacing w:before="60" w:after="60" w:line="271" w:lineRule="auto"/>
            </w:pPr>
            <w:r>
              <w:rPr>
                <w:b w:val="0"/>
                <w:sz w:val="18"/>
              </w:rPr>
              <w:t>get_task_evidence 任务与样本证据</w:t>
            </w:r>
          </w:p>
        </w:tc>
        <w:tc>
          <w:tcPr>
            <w:tcW w:type="dxa" w:w="3048"/>
          </w:tcPr>
          <w:p>
            <w:pPr>
              <w:keepNext w:val="0"/>
              <w:spacing w:before="60" w:after="60" w:line="271" w:lineRule="auto"/>
            </w:pPr>
            <w:r>
              <w:rPr>
                <w:b w:val="0"/>
                <w:sz w:val="18"/>
              </w:rPr>
              <w:t>本会话任务的统计、逐样本输入输出、评分和近期事件</w:t>
            </w:r>
          </w:p>
        </w:tc>
        <w:tc>
          <w:tcPr>
            <w:tcW w:type="dxa" w:w="4286"/>
          </w:tcPr>
          <w:p>
            <w:pPr>
              <w:keepNext w:val="0"/>
              <w:spacing w:before="60" w:after="60" w:line="271" w:lineRule="auto"/>
            </w:pPr>
            <w:r>
              <w:rPr>
                <w:b w:val="0"/>
                <w:sz w:val="18"/>
              </w:rPr>
              <w:t>限定本会话，样本返回数量受限；无任务时明确说明</w:t>
            </w:r>
          </w:p>
        </w:tc>
      </w:tr>
      <w:tr>
        <w:trPr>
          <w:cantSplit/>
        </w:trPr>
        <w:tc>
          <w:tcPr>
            <w:tcW w:type="dxa" w:w="2191"/>
          </w:tcPr>
          <w:p>
            <w:pPr>
              <w:keepNext w:val="0"/>
              <w:spacing w:before="60" w:after="60" w:line="271" w:lineRule="auto"/>
            </w:pPr>
            <w:r>
              <w:rPr>
                <w:b w:val="0"/>
                <w:sz w:val="18"/>
              </w:rPr>
              <w:t>search_knowledge 检索知识</w:t>
            </w:r>
          </w:p>
        </w:tc>
        <w:tc>
          <w:tcPr>
            <w:tcW w:type="dxa" w:w="3048"/>
          </w:tcPr>
          <w:p>
            <w:pPr>
              <w:keepNext w:val="0"/>
              <w:spacing w:before="60" w:after="60" w:line="271" w:lineRule="auto"/>
            </w:pPr>
            <w:r>
              <w:rPr>
                <w:b w:val="0"/>
                <w:sz w:val="18"/>
              </w:rPr>
              <w:t>query关键词；查找当前租户已审核且未过期的知识</w:t>
            </w:r>
          </w:p>
        </w:tc>
        <w:tc>
          <w:tcPr>
            <w:tcW w:type="dxa" w:w="4286"/>
          </w:tcPr>
          <w:p>
            <w:pPr>
              <w:keepNext w:val="0"/>
              <w:spacing w:before="60" w:after="60" w:line="271" w:lineRule="auto"/>
            </w:pPr>
            <w:r>
              <w:rPr>
                <w:b w:val="0"/>
                <w:sz w:val="18"/>
              </w:rPr>
              <w:t>按字符串匹配；本次工具结果最多返回前5条，不保证每次命中</w:t>
            </w:r>
          </w:p>
        </w:tc>
      </w:tr>
      <w:tr>
        <w:trPr>
          <w:cantSplit/>
        </w:trPr>
        <w:tc>
          <w:tcPr>
            <w:tcW w:type="dxa" w:w="2191"/>
          </w:tcPr>
          <w:p>
            <w:pPr>
              <w:keepNext w:val="0"/>
              <w:spacing w:before="60" w:after="60" w:line="271" w:lineRule="auto"/>
            </w:pPr>
            <w:r>
              <w:rPr>
                <w:b w:val="0"/>
                <w:sz w:val="18"/>
              </w:rPr>
              <w:t>infer_dims 识别场景</w:t>
            </w:r>
          </w:p>
        </w:tc>
        <w:tc>
          <w:tcPr>
            <w:tcW w:type="dxa" w:w="3048"/>
          </w:tcPr>
          <w:p>
            <w:pPr>
              <w:keepNext w:val="0"/>
              <w:spacing w:before="60" w:after="60" w:line="271" w:lineRule="auto"/>
            </w:pPr>
            <w:r>
              <w:rPr>
                <w:b w:val="0"/>
                <w:sz w:val="18"/>
              </w:rPr>
              <w:t>text文本；按预置关键词推断场景和行业</w:t>
            </w:r>
          </w:p>
        </w:tc>
        <w:tc>
          <w:tcPr>
            <w:tcW w:type="dxa" w:w="4286"/>
          </w:tcPr>
          <w:p>
            <w:pPr>
              <w:keepNext w:val="0"/>
              <w:spacing w:before="60" w:after="60" w:line="271" w:lineRule="auto"/>
            </w:pPr>
            <w:r>
              <w:rPr>
                <w:b w:val="0"/>
                <w:sz w:val="18"/>
              </w:rPr>
              <w:t>不是通用语义分类器，需人工核对</w:t>
            </w:r>
          </w:p>
        </w:tc>
      </w:tr>
      <w:tr>
        <w:trPr>
          <w:cantSplit/>
        </w:trPr>
        <w:tc>
          <w:tcPr>
            <w:tcW w:type="dxa" w:w="2191"/>
          </w:tcPr>
          <w:p>
            <w:pPr>
              <w:keepNext w:val="0"/>
              <w:spacing w:before="60" w:after="60" w:line="271" w:lineRule="auto"/>
            </w:pPr>
            <w:r>
              <w:rPr>
                <w:b w:val="0"/>
                <w:sz w:val="18"/>
              </w:rPr>
              <w:t>search_eval_resources 查找资源</w:t>
            </w:r>
          </w:p>
        </w:tc>
        <w:tc>
          <w:tcPr>
            <w:tcW w:type="dxa" w:w="3048"/>
          </w:tcPr>
          <w:p>
            <w:pPr>
              <w:keepNext w:val="0"/>
              <w:spacing w:before="60" w:after="60" w:line="271" w:lineRule="auto"/>
            </w:pPr>
            <w:r>
              <w:rPr>
                <w:b w:val="0"/>
                <w:sz w:val="18"/>
              </w:rPr>
              <w:t>query关键词，可选kind类型；查询可访问的数据集、模型和裁判</w:t>
            </w:r>
          </w:p>
        </w:tc>
        <w:tc>
          <w:tcPr>
            <w:tcW w:type="dxa" w:w="4286"/>
          </w:tcPr>
          <w:p>
            <w:pPr>
              <w:keepNext w:val="0"/>
              <w:spacing w:before="60" w:after="60" w:line="271" w:lineRule="auto"/>
            </w:pPr>
            <w:r>
              <w:rPr>
                <w:b w:val="0"/>
                <w:sz w:val="18"/>
              </w:rPr>
              <w:t>资源存在仍需通过正式任务门禁</w:t>
            </w:r>
          </w:p>
        </w:tc>
      </w:tr>
      <w:tr>
        <w:trPr>
          <w:cantSplit/>
        </w:trPr>
        <w:tc>
          <w:tcPr>
            <w:tcW w:type="dxa" w:w="2191"/>
          </w:tcPr>
          <w:p>
            <w:pPr>
              <w:keepNext w:val="0"/>
              <w:spacing w:before="60" w:after="60" w:line="271" w:lineRule="auto"/>
            </w:pPr>
            <w:r>
              <w:rPr>
                <w:b w:val="0"/>
                <w:sz w:val="18"/>
              </w:rPr>
              <w:t>propose_resources 更新资源建议</w:t>
            </w:r>
          </w:p>
        </w:tc>
        <w:tc>
          <w:tcPr>
            <w:tcW w:type="dxa" w:w="3048"/>
          </w:tcPr>
          <w:p>
            <w:pPr>
              <w:keepNext w:val="0"/>
              <w:spacing w:before="60" w:after="60" w:line="271" w:lineRule="auto"/>
            </w:pPr>
            <w:r>
              <w:rPr>
                <w:b w:val="0"/>
                <w:sz w:val="18"/>
              </w:rPr>
              <w:t>真实数据集、模型、裁判ID及场景</w:t>
            </w:r>
          </w:p>
        </w:tc>
        <w:tc>
          <w:tcPr>
            <w:tcW w:type="dxa" w:w="4286"/>
          </w:tcPr>
          <w:p>
            <w:pPr>
              <w:keepNext w:val="0"/>
              <w:spacing w:before="60" w:after="60" w:line="271" w:lineRule="auto"/>
            </w:pPr>
            <w:r>
              <w:rPr>
                <w:b w:val="0"/>
                <w:sz w:val="18"/>
              </w:rPr>
              <w:t>更新计划后检查实际字段；规划模型不能作为被测模型，变更可能使旧审批失效</w:t>
            </w:r>
          </w:p>
        </w:tc>
      </w:tr>
      <w:tr>
        <w:trPr>
          <w:cantSplit/>
        </w:trPr>
        <w:tc>
          <w:tcPr>
            <w:tcW w:type="dxa" w:w="2191"/>
          </w:tcPr>
          <w:p>
            <w:pPr>
              <w:keepNext w:val="0"/>
              <w:spacing w:before="60" w:after="60" w:line="271" w:lineRule="auto"/>
            </w:pPr>
            <w:r>
              <w:rPr>
                <w:b w:val="0"/>
                <w:sz w:val="18"/>
              </w:rPr>
              <w:t>delegate_agent 调用子Agent</w:t>
            </w:r>
          </w:p>
        </w:tc>
        <w:tc>
          <w:tcPr>
            <w:tcW w:type="dxa" w:w="3048"/>
          </w:tcPr>
          <w:p>
            <w:pPr>
              <w:keepNext w:val="0"/>
              <w:spacing w:before="60" w:after="60" w:line="271" w:lineRule="auto"/>
            </w:pPr>
            <w:r>
              <w:rPr>
                <w:b w:val="0"/>
                <w:sz w:val="18"/>
              </w:rPr>
              <w:t>已启用role，可补充input任务说明</w:t>
            </w:r>
          </w:p>
        </w:tc>
        <w:tc>
          <w:tcPr>
            <w:tcW w:type="dxa" w:w="4286"/>
          </w:tcPr>
          <w:p>
            <w:pPr>
              <w:keepNext w:val="0"/>
              <w:spacing w:before="60" w:after="60" w:line="271" w:lineRule="auto"/>
            </w:pPr>
            <w:r>
              <w:rPr>
                <w:b w:val="0"/>
                <w:sz w:val="18"/>
              </w:rPr>
              <w:t>仅调用本会话启用的角色；自定义角色需真实规划模型</w:t>
            </w:r>
          </w:p>
        </w:tc>
      </w:tr>
      <w:tr>
        <w:trPr>
          <w:cantSplit/>
        </w:trPr>
        <w:tc>
          <w:tcPr>
            <w:tcW w:type="dxa" w:w="2191"/>
          </w:tcPr>
          <w:p>
            <w:pPr>
              <w:keepNext w:val="0"/>
              <w:spacing w:before="60" w:after="60" w:line="271" w:lineRule="auto"/>
            </w:pPr>
            <w:r>
              <w:rPr>
                <w:b w:val="0"/>
                <w:sz w:val="18"/>
              </w:rPr>
              <w:t>invoke_skill 调用编排Skill</w:t>
            </w:r>
          </w:p>
        </w:tc>
        <w:tc>
          <w:tcPr>
            <w:tcW w:type="dxa" w:w="3048"/>
          </w:tcPr>
          <w:p>
            <w:pPr>
              <w:keepNext w:val="0"/>
              <w:spacing w:before="60" w:after="60" w:line="271" w:lineRule="auto"/>
            </w:pPr>
            <w:r>
              <w:rPr>
                <w:b w:val="0"/>
                <w:sz w:val="18"/>
              </w:rPr>
              <w:t>已启用code，可补充input</w:t>
            </w:r>
          </w:p>
        </w:tc>
        <w:tc>
          <w:tcPr>
            <w:tcW w:type="dxa" w:w="4286"/>
          </w:tcPr>
          <w:p>
            <w:pPr>
              <w:keepNext w:val="0"/>
              <w:spacing w:before="60" w:after="60" w:line="271" w:lineRule="auto"/>
            </w:pPr>
            <w:r>
              <w:rPr>
                <w:b w:val="0"/>
                <w:sz w:val="18"/>
              </w:rPr>
              <w:t>提示词型返回约束，不等于完成评测；不执行任意代码</w:t>
            </w:r>
          </w:p>
        </w:tc>
      </w:tr>
      <w:tr>
        <w:trPr>
          <w:cantSplit/>
        </w:trPr>
        <w:tc>
          <w:tcPr>
            <w:tcW w:type="dxa" w:w="2191"/>
          </w:tcPr>
          <w:p>
            <w:pPr>
              <w:keepNext w:val="0"/>
              <w:spacing w:before="60" w:after="60" w:line="271" w:lineRule="auto"/>
            </w:pPr>
            <w:r>
              <w:rPr>
                <w:b w:val="0"/>
                <w:sz w:val="18"/>
              </w:rPr>
              <w:t>call_mcp 调用MCP</w:t>
            </w:r>
          </w:p>
        </w:tc>
        <w:tc>
          <w:tcPr>
            <w:tcW w:type="dxa" w:w="3048"/>
          </w:tcPr>
          <w:p>
            <w:pPr>
              <w:keepNext w:val="0"/>
              <w:spacing w:before="60" w:after="60" w:line="271" w:lineRule="auto"/>
            </w:pPr>
            <w:r>
              <w:rPr>
                <w:b w:val="0"/>
                <w:sz w:val="18"/>
              </w:rPr>
              <w:t>已启用resource_id、目录tool_name、arguments参数对象</w:t>
            </w:r>
          </w:p>
        </w:tc>
        <w:tc>
          <w:tcPr>
            <w:tcW w:type="dxa" w:w="4286"/>
          </w:tcPr>
          <w:p>
            <w:pPr>
              <w:keepNext w:val="0"/>
              <w:spacing w:before="60" w:after="60" w:line="271" w:lineRule="auto"/>
            </w:pPr>
            <w:r>
              <w:rPr>
                <w:b w:val="0"/>
                <w:sz w:val="18"/>
              </w:rPr>
              <w:t>按最新工具Schema校验，并检查resource:invoke及对象访问权限</w:t>
            </w:r>
          </w:p>
        </w:tc>
      </w:tr>
      <w:tr>
        <w:trPr>
          <w:cantSplit/>
        </w:trPr>
        <w:tc>
          <w:tcPr>
            <w:tcW w:type="dxa" w:w="2191"/>
          </w:tcPr>
          <w:p>
            <w:pPr>
              <w:keepNext w:val="0"/>
              <w:spacing w:before="60" w:after="60" w:line="271" w:lineRule="auto"/>
            </w:pPr>
            <w:r>
              <w:rPr>
                <w:b w:val="0"/>
                <w:sz w:val="18"/>
              </w:rPr>
              <w:t>get_task_status 查询实际任务状态</w:t>
            </w:r>
          </w:p>
        </w:tc>
        <w:tc>
          <w:tcPr>
            <w:tcW w:type="dxa" w:w="3048"/>
          </w:tcPr>
          <w:p>
            <w:pPr>
              <w:keepNext w:val="0"/>
              <w:spacing w:before="60" w:after="60" w:line="271" w:lineRule="auto"/>
            </w:pPr>
            <w:r>
              <w:rPr>
                <w:b w:val="0"/>
                <w:sz w:val="18"/>
              </w:rPr>
              <w:t>无需另传任务ID，查询本会话关联任务</w:t>
            </w:r>
          </w:p>
        </w:tc>
        <w:tc>
          <w:tcPr>
            <w:tcW w:type="dxa" w:w="4286"/>
          </w:tcPr>
          <w:p>
            <w:pPr>
              <w:keepNext w:val="0"/>
              <w:spacing w:before="60" w:after="60" w:line="271" w:lineRule="auto"/>
            </w:pPr>
            <w:r>
              <w:rPr>
                <w:b w:val="0"/>
                <w:sz w:val="18"/>
              </w:rPr>
              <w:t>不允许借此查询任意任务</w:t>
            </w:r>
          </w:p>
        </w:tc>
      </w:tr>
      <w:tr>
        <w:trPr>
          <w:cantSplit/>
        </w:trPr>
        <w:tc>
          <w:tcPr>
            <w:tcW w:type="dxa" w:w="2191"/>
          </w:tcPr>
          <w:p>
            <w:pPr>
              <w:keepNext w:val="0"/>
              <w:spacing w:before="60" w:after="60" w:line="271" w:lineRule="auto"/>
            </w:pPr>
            <w:r>
              <w:rPr>
                <w:b w:val="0"/>
                <w:sz w:val="18"/>
              </w:rPr>
              <w:t>request_task_execution 请求审批执行评测</w:t>
            </w:r>
          </w:p>
        </w:tc>
        <w:tc>
          <w:tcPr>
            <w:tcW w:type="dxa" w:w="3048"/>
          </w:tcPr>
          <w:p>
            <w:pPr>
              <w:keepNext w:val="0"/>
              <w:spacing w:before="60" w:after="60" w:line="271" w:lineRule="auto"/>
            </w:pPr>
            <w:r>
              <w:rPr>
                <w:b w:val="0"/>
                <w:sz w:val="18"/>
              </w:rPr>
              <w:t>对当前已就绪计划请求用户确认</w:t>
            </w:r>
          </w:p>
        </w:tc>
        <w:tc>
          <w:tcPr>
            <w:tcW w:type="dxa" w:w="4286"/>
          </w:tcPr>
          <w:p>
            <w:pPr>
              <w:keepNext w:val="0"/>
              <w:spacing w:before="60" w:after="60" w:line="271" w:lineRule="auto"/>
            </w:pPr>
            <w:r>
              <w:rPr>
                <w:b w:val="0"/>
                <w:sz w:val="18"/>
              </w:rPr>
              <w:t>只进入审批等待；创建和执行由用户确认后经任务服务完成</w:t>
            </w:r>
          </w:p>
        </w:tc>
      </w:tr>
    </w:tbl>
    <w:p>
      <w:pPr>
        <w:spacing w:after="20"/>
      </w:pPr>
    </w:p>
    <w:p>
      <w:r>
        <w:t>调用MCP时，连接标识、工具名和参数要匹配。例如可以要求“使用本会话启用的统计连接，按目录参数计算这些样本的均值，并说明工具结果”。是否实际调用、传了什么参数，应在时间线与资源调用记录中确认，不只看回复文字。</w:t>
      </w:r>
    </w:p>
    <w:p>
      <w:pPr>
        <w:pStyle w:val="Heading2"/>
      </w:pPr>
      <w:r>
        <w:t>16.3 观察时间线</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事件或页面提示</w:t>
            </w:r>
          </w:p>
        </w:tc>
        <w:tc>
          <w:tcPr>
            <w:tcW w:type="dxa" w:w="3048"/>
            <w:shd w:fill="E9EFF3"/>
          </w:tcPr>
          <w:p>
            <w:pPr>
              <w:keepNext/>
              <w:spacing w:before="60" w:after="60" w:line="271" w:lineRule="auto"/>
            </w:pPr>
            <w:r>
              <w:rPr>
                <w:b/>
                <w:sz w:val="18"/>
              </w:rPr>
              <w:t>意味着什么</w:t>
            </w:r>
          </w:p>
        </w:tc>
        <w:tc>
          <w:tcPr>
            <w:tcW w:type="dxa" w:w="4286"/>
            <w:shd w:fill="E9EFF3"/>
          </w:tcPr>
          <w:p>
            <w:pPr>
              <w:keepNext/>
              <w:spacing w:before="60" w:after="60" w:line="271" w:lineRule="auto"/>
            </w:pPr>
            <w:r>
              <w:rPr>
                <w:b/>
                <w:sz w:val="18"/>
              </w:rPr>
              <w:t>后续操作</w:t>
            </w:r>
          </w:p>
        </w:tc>
      </w:tr>
      <w:tr>
        <w:trPr>
          <w:cantSplit/>
        </w:trPr>
        <w:tc>
          <w:tcPr>
            <w:tcW w:type="dxa" w:w="2191"/>
          </w:tcPr>
          <w:p>
            <w:pPr>
              <w:keepNext w:val="0"/>
              <w:spacing w:before="60" w:after="60" w:line="271" w:lineRule="auto"/>
            </w:pPr>
            <w:r>
              <w:rPr>
                <w:b w:val="0"/>
                <w:sz w:val="18"/>
              </w:rPr>
              <w:t>run.created、run.claimed</w:t>
            </w:r>
          </w:p>
        </w:tc>
        <w:tc>
          <w:tcPr>
            <w:tcW w:type="dxa" w:w="3048"/>
          </w:tcPr>
          <w:p>
            <w:pPr>
              <w:keepNext w:val="0"/>
              <w:spacing w:before="60" w:after="60" w:line="271" w:lineRule="auto"/>
            </w:pPr>
            <w:r>
              <w:rPr>
                <w:b w:val="0"/>
                <w:sz w:val="18"/>
              </w:rPr>
              <w:t>Run已创建或领取执行</w:t>
            </w:r>
          </w:p>
        </w:tc>
        <w:tc>
          <w:tcPr>
            <w:tcW w:type="dxa" w:w="4286"/>
          </w:tcPr>
          <w:p>
            <w:pPr>
              <w:keepNext w:val="0"/>
              <w:spacing w:before="60" w:after="60" w:line="271" w:lineRule="auto"/>
            </w:pPr>
            <w:r>
              <w:rPr>
                <w:b w:val="0"/>
                <w:sz w:val="18"/>
              </w:rPr>
              <w:t>等待决策与工具事件</w:t>
            </w:r>
          </w:p>
        </w:tc>
      </w:tr>
      <w:tr>
        <w:trPr>
          <w:cantSplit/>
        </w:trPr>
        <w:tc>
          <w:tcPr>
            <w:tcW w:type="dxa" w:w="2191"/>
          </w:tcPr>
          <w:p>
            <w:pPr>
              <w:keepNext w:val="0"/>
              <w:spacing w:before="60" w:after="60" w:line="271" w:lineRule="auto"/>
            </w:pPr>
            <w:r>
              <w:rPr>
                <w:b w:val="0"/>
                <w:sz w:val="18"/>
              </w:rPr>
              <w:t>llm.select</w:t>
            </w:r>
          </w:p>
        </w:tc>
        <w:tc>
          <w:tcPr>
            <w:tcW w:type="dxa" w:w="3048"/>
          </w:tcPr>
          <w:p>
            <w:pPr>
              <w:keepNext w:val="0"/>
              <w:spacing w:before="60" w:after="60" w:line="271" w:lineRule="auto"/>
            </w:pPr>
            <w:r>
              <w:rPr>
                <w:b w:val="0"/>
                <w:sz w:val="18"/>
              </w:rPr>
              <w:t>规划模型已决策</w:t>
            </w:r>
          </w:p>
        </w:tc>
        <w:tc>
          <w:tcPr>
            <w:tcW w:type="dxa" w:w="4286"/>
          </w:tcPr>
          <w:p>
            <w:pPr>
              <w:keepNext w:val="0"/>
              <w:spacing w:before="60" w:after="60" w:line="271" w:lineRule="auto"/>
            </w:pPr>
            <w:r>
              <w:rPr>
                <w:b w:val="0"/>
                <w:sz w:val="18"/>
              </w:rPr>
              <w:t>核对选中的工具、轮次和用量</w:t>
            </w:r>
          </w:p>
        </w:tc>
      </w:tr>
      <w:tr>
        <w:trPr>
          <w:cantSplit/>
        </w:trPr>
        <w:tc>
          <w:tcPr>
            <w:tcW w:type="dxa" w:w="2191"/>
          </w:tcPr>
          <w:p>
            <w:pPr>
              <w:keepNext w:val="0"/>
              <w:spacing w:before="60" w:after="60" w:line="271" w:lineRule="auto"/>
            </w:pPr>
            <w:r>
              <w:rPr>
                <w:b w:val="0"/>
                <w:sz w:val="18"/>
              </w:rPr>
              <w:t>tool.selected</w:t>
            </w:r>
          </w:p>
        </w:tc>
        <w:tc>
          <w:tcPr>
            <w:tcW w:type="dxa" w:w="3048"/>
          </w:tcPr>
          <w:p>
            <w:pPr>
              <w:keepNext w:val="0"/>
              <w:spacing w:before="60" w:after="60" w:line="271" w:lineRule="auto"/>
            </w:pPr>
            <w:r>
              <w:rPr>
                <w:b w:val="0"/>
                <w:sz w:val="18"/>
              </w:rPr>
              <w:t>模型提出工具调用</w:t>
            </w:r>
          </w:p>
        </w:tc>
        <w:tc>
          <w:tcPr>
            <w:tcW w:type="dxa" w:w="4286"/>
          </w:tcPr>
          <w:p>
            <w:pPr>
              <w:keepNext w:val="0"/>
              <w:spacing w:before="60" w:after="60" w:line="271" w:lineRule="auto"/>
            </w:pPr>
            <w:r>
              <w:rPr>
                <w:b w:val="0"/>
                <w:sz w:val="18"/>
              </w:rPr>
              <w:t>尚不能认定工具成功</w:t>
            </w:r>
          </w:p>
        </w:tc>
      </w:tr>
      <w:tr>
        <w:trPr>
          <w:cantSplit/>
        </w:trPr>
        <w:tc>
          <w:tcPr>
            <w:tcW w:type="dxa" w:w="2191"/>
          </w:tcPr>
          <w:p>
            <w:pPr>
              <w:keepNext w:val="0"/>
              <w:spacing w:before="60" w:after="60" w:line="271" w:lineRule="auto"/>
            </w:pPr>
            <w:r>
              <w:rPr>
                <w:b w:val="0"/>
                <w:sz w:val="18"/>
              </w:rPr>
              <w:t>tool.observed</w:t>
            </w:r>
          </w:p>
        </w:tc>
        <w:tc>
          <w:tcPr>
            <w:tcW w:type="dxa" w:w="3048"/>
          </w:tcPr>
          <w:p>
            <w:pPr>
              <w:keepNext w:val="0"/>
              <w:spacing w:before="60" w:after="60" w:line="271" w:lineRule="auto"/>
            </w:pPr>
            <w:r>
              <w:rPr>
                <w:b w:val="0"/>
                <w:sz w:val="18"/>
              </w:rPr>
              <w:t>工具结果已返回并保存</w:t>
            </w:r>
          </w:p>
        </w:tc>
        <w:tc>
          <w:tcPr>
            <w:tcW w:type="dxa" w:w="4286"/>
          </w:tcPr>
          <w:p>
            <w:pPr>
              <w:keepNext w:val="0"/>
              <w:spacing w:before="60" w:after="60" w:line="271" w:lineRule="auto"/>
            </w:pPr>
            <w:r>
              <w:rPr>
                <w:b w:val="0"/>
                <w:sz w:val="18"/>
              </w:rPr>
              <w:t>查看具体业务结果</w:t>
            </w:r>
          </w:p>
        </w:tc>
      </w:tr>
      <w:tr>
        <w:trPr>
          <w:cantSplit/>
        </w:trPr>
        <w:tc>
          <w:tcPr>
            <w:tcW w:type="dxa" w:w="2191"/>
          </w:tcPr>
          <w:p>
            <w:pPr>
              <w:keepNext w:val="0"/>
              <w:spacing w:before="60" w:after="60" w:line="271" w:lineRule="auto"/>
            </w:pPr>
            <w:r>
              <w:rPr>
                <w:b w:val="0"/>
                <w:sz w:val="18"/>
              </w:rPr>
              <w:t>tool.rejected、tool.failed</w:t>
            </w:r>
          </w:p>
        </w:tc>
        <w:tc>
          <w:tcPr>
            <w:tcW w:type="dxa" w:w="3048"/>
          </w:tcPr>
          <w:p>
            <w:pPr>
              <w:keepNext w:val="0"/>
              <w:spacing w:before="60" w:after="60" w:line="271" w:lineRule="auto"/>
            </w:pPr>
            <w:r>
              <w:rPr>
                <w:b w:val="0"/>
                <w:sz w:val="18"/>
              </w:rPr>
              <w:t>参数被拒绝或工具失败</w:t>
            </w:r>
          </w:p>
        </w:tc>
        <w:tc>
          <w:tcPr>
            <w:tcW w:type="dxa" w:w="4286"/>
          </w:tcPr>
          <w:p>
            <w:pPr>
              <w:keepNext w:val="0"/>
              <w:spacing w:before="60" w:after="60" w:line="271" w:lineRule="auto"/>
            </w:pPr>
            <w:r>
              <w:rPr>
                <w:b w:val="0"/>
                <w:sz w:val="18"/>
              </w:rPr>
              <w:t>先看错误；可纠正的MCP业务错误可能交回模型重试</w:t>
            </w:r>
          </w:p>
        </w:tc>
      </w:tr>
      <w:tr>
        <w:trPr>
          <w:cantSplit/>
        </w:trPr>
        <w:tc>
          <w:tcPr>
            <w:tcW w:type="dxa" w:w="2191"/>
          </w:tcPr>
          <w:p>
            <w:pPr>
              <w:keepNext w:val="0"/>
              <w:spacing w:before="60" w:after="60" w:line="271" w:lineRule="auto"/>
            </w:pPr>
            <w:r>
              <w:rPr>
                <w:b w:val="0"/>
                <w:sz w:val="18"/>
              </w:rPr>
              <w:t>run.waiting_approval 等待用户审批</w:t>
            </w:r>
          </w:p>
        </w:tc>
        <w:tc>
          <w:tcPr>
            <w:tcW w:type="dxa" w:w="3048"/>
          </w:tcPr>
          <w:p>
            <w:pPr>
              <w:keepNext w:val="0"/>
              <w:spacing w:before="60" w:after="60" w:line="271" w:lineRule="auto"/>
            </w:pPr>
            <w:r>
              <w:rPr>
                <w:b w:val="0"/>
                <w:sz w:val="18"/>
              </w:rPr>
              <w:t>当前计划需要用户确认</w:t>
            </w:r>
          </w:p>
        </w:tc>
        <w:tc>
          <w:tcPr>
            <w:tcW w:type="dxa" w:w="4286"/>
          </w:tcPr>
          <w:p>
            <w:pPr>
              <w:keepNext w:val="0"/>
              <w:spacing w:before="60" w:after="60" w:line="271" w:lineRule="auto"/>
            </w:pPr>
            <w:r>
              <w:rPr>
                <w:b w:val="0"/>
                <w:sz w:val="18"/>
              </w:rPr>
              <w:t>审批并确认执行；恢复按钮不能授权</w:t>
            </w:r>
          </w:p>
        </w:tc>
      </w:tr>
      <w:tr>
        <w:trPr>
          <w:cantSplit/>
        </w:trPr>
        <w:tc>
          <w:tcPr>
            <w:tcW w:type="dxa" w:w="2191"/>
          </w:tcPr>
          <w:p>
            <w:pPr>
              <w:keepNext w:val="0"/>
              <w:spacing w:before="60" w:after="60" w:line="271" w:lineRule="auto"/>
            </w:pPr>
            <w:r>
              <w:rPr>
                <w:b w:val="0"/>
                <w:sz w:val="18"/>
              </w:rPr>
              <w:t>run.waiting_task 等待任务结果</w:t>
            </w:r>
          </w:p>
        </w:tc>
        <w:tc>
          <w:tcPr>
            <w:tcW w:type="dxa" w:w="3048"/>
          </w:tcPr>
          <w:p>
            <w:pPr>
              <w:keepNext w:val="0"/>
              <w:spacing w:before="60" w:after="60" w:line="271" w:lineRule="auto"/>
            </w:pPr>
            <w:r>
              <w:rPr>
                <w:b w:val="0"/>
                <w:sz w:val="18"/>
              </w:rPr>
              <w:t>关联评测尚未进入终态</w:t>
            </w:r>
          </w:p>
        </w:tc>
        <w:tc>
          <w:tcPr>
            <w:tcW w:type="dxa" w:w="4286"/>
          </w:tcPr>
          <w:p>
            <w:pPr>
              <w:keepNext w:val="0"/>
              <w:spacing w:before="60" w:after="60" w:line="271" w:lineRule="auto"/>
            </w:pPr>
            <w:r>
              <w:rPr>
                <w:b w:val="0"/>
                <w:sz w:val="18"/>
              </w:rPr>
              <w:t>到任务详情查看排队、进度和错误</w:t>
            </w:r>
          </w:p>
        </w:tc>
      </w:tr>
      <w:tr>
        <w:trPr>
          <w:cantSplit/>
        </w:trPr>
        <w:tc>
          <w:tcPr>
            <w:tcW w:type="dxa" w:w="2191"/>
          </w:tcPr>
          <w:p>
            <w:pPr>
              <w:keepNext w:val="0"/>
              <w:spacing w:before="60" w:after="60" w:line="271" w:lineRule="auto"/>
            </w:pPr>
            <w:r>
              <w:rPr>
                <w:b w:val="0"/>
                <w:sz w:val="18"/>
              </w:rPr>
              <w:t>llm.reply</w:t>
            </w:r>
          </w:p>
        </w:tc>
        <w:tc>
          <w:tcPr>
            <w:tcW w:type="dxa" w:w="3048"/>
          </w:tcPr>
          <w:p>
            <w:pPr>
              <w:keepNext w:val="0"/>
              <w:spacing w:before="60" w:after="60" w:line="271" w:lineRule="auto"/>
            </w:pPr>
            <w:r>
              <w:rPr>
                <w:b w:val="0"/>
                <w:sz w:val="18"/>
              </w:rPr>
              <w:t>模型给出回复</w:t>
            </w:r>
          </w:p>
        </w:tc>
        <w:tc>
          <w:tcPr>
            <w:tcW w:type="dxa" w:w="4286"/>
          </w:tcPr>
          <w:p>
            <w:pPr>
              <w:keepNext w:val="0"/>
              <w:spacing w:before="60" w:after="60" w:line="271" w:lineRule="auto"/>
            </w:pPr>
            <w:r>
              <w:rPr>
                <w:b w:val="0"/>
                <w:sz w:val="18"/>
              </w:rPr>
              <w:t>继续检查任务与核验说明</w:t>
            </w:r>
          </w:p>
        </w:tc>
      </w:tr>
      <w:tr>
        <w:trPr>
          <w:cantSplit/>
        </w:trPr>
        <w:tc>
          <w:tcPr>
            <w:tcW w:type="dxa" w:w="2191"/>
          </w:tcPr>
          <w:p>
            <w:pPr>
              <w:keepNext w:val="0"/>
              <w:spacing w:before="60" w:after="60" w:line="271" w:lineRule="auto"/>
            </w:pPr>
            <w:r>
              <w:rPr>
                <w:b w:val="0"/>
                <w:sz w:val="18"/>
              </w:rPr>
              <w:t>run.verified</w:t>
            </w:r>
          </w:p>
        </w:tc>
        <w:tc>
          <w:tcPr>
            <w:tcW w:type="dxa" w:w="3048"/>
          </w:tcPr>
          <w:p>
            <w:pPr>
              <w:keepNext w:val="0"/>
              <w:spacing w:before="60" w:after="60" w:line="271" w:lineRule="auto"/>
            </w:pPr>
            <w:r>
              <w:rPr>
                <w:b w:val="0"/>
                <w:sz w:val="18"/>
              </w:rPr>
              <w:t>已按实际任务与样本检查执行情况</w:t>
            </w:r>
          </w:p>
        </w:tc>
        <w:tc>
          <w:tcPr>
            <w:tcW w:type="dxa" w:w="4286"/>
          </w:tcPr>
          <w:p>
            <w:pPr>
              <w:keepNext w:val="0"/>
              <w:spacing w:before="60" w:after="60" w:line="271" w:lineRule="auto"/>
            </w:pPr>
            <w:r>
              <w:rPr>
                <w:b w:val="0"/>
                <w:sz w:val="18"/>
              </w:rPr>
              <w:t>阅读通过范围或未通过原因</w:t>
            </w:r>
          </w:p>
        </w:tc>
      </w:tr>
      <w:tr>
        <w:trPr>
          <w:cantSplit/>
        </w:trPr>
        <w:tc>
          <w:tcPr>
            <w:tcW w:type="dxa" w:w="2191"/>
          </w:tcPr>
          <w:p>
            <w:pPr>
              <w:keepNext w:val="0"/>
              <w:spacing w:before="60" w:after="60" w:line="271" w:lineRule="auto"/>
            </w:pPr>
            <w:r>
              <w:rPr>
                <w:b w:val="0"/>
                <w:sz w:val="18"/>
              </w:rPr>
              <w:t>run.success</w:t>
            </w:r>
          </w:p>
        </w:tc>
        <w:tc>
          <w:tcPr>
            <w:tcW w:type="dxa" w:w="3048"/>
          </w:tcPr>
          <w:p>
            <w:pPr>
              <w:keepNext w:val="0"/>
              <w:spacing w:before="60" w:after="60" w:line="271" w:lineRule="auto"/>
            </w:pPr>
            <w:r>
              <w:rPr>
                <w:b w:val="0"/>
                <w:sz w:val="18"/>
              </w:rPr>
              <w:t>本轮运行结束</w:t>
            </w:r>
          </w:p>
        </w:tc>
        <w:tc>
          <w:tcPr>
            <w:tcW w:type="dxa" w:w="4286"/>
          </w:tcPr>
          <w:p>
            <w:pPr>
              <w:keepNext w:val="0"/>
              <w:spacing w:before="60" w:after="60" w:line="271" w:lineRule="auto"/>
            </w:pPr>
            <w:r>
              <w:rPr>
                <w:b w:val="0"/>
                <w:sz w:val="18"/>
              </w:rPr>
              <w:t>区分对话完成和正式评测执行核验通过</w:t>
            </w:r>
          </w:p>
        </w:tc>
      </w:tr>
      <w:tr>
        <w:trPr>
          <w:cantSplit/>
        </w:trPr>
        <w:tc>
          <w:tcPr>
            <w:tcW w:type="dxa" w:w="2191"/>
          </w:tcPr>
          <w:p>
            <w:pPr>
              <w:keepNext w:val="0"/>
              <w:spacing w:before="60" w:after="60" w:line="271" w:lineRule="auto"/>
            </w:pPr>
            <w:r>
              <w:rPr>
                <w:b w:val="0"/>
                <w:sz w:val="18"/>
              </w:rPr>
              <w:t>run.failed、run.paused_budget</w:t>
            </w:r>
          </w:p>
        </w:tc>
        <w:tc>
          <w:tcPr>
            <w:tcW w:type="dxa" w:w="3048"/>
          </w:tcPr>
          <w:p>
            <w:pPr>
              <w:keepNext w:val="0"/>
              <w:spacing w:before="60" w:after="60" w:line="271" w:lineRule="auto"/>
            </w:pPr>
            <w:r>
              <w:rPr>
                <w:b w:val="0"/>
                <w:sz w:val="18"/>
              </w:rPr>
              <w:t>失败或预算暂停</w:t>
            </w:r>
          </w:p>
        </w:tc>
        <w:tc>
          <w:tcPr>
            <w:tcW w:type="dxa" w:w="4286"/>
          </w:tcPr>
          <w:p>
            <w:pPr>
              <w:keepNext w:val="0"/>
              <w:spacing w:before="60" w:after="60" w:line="271" w:lineRule="auto"/>
            </w:pPr>
            <w:r>
              <w:rPr>
                <w:b w:val="0"/>
                <w:sz w:val="18"/>
              </w:rPr>
              <w:t>按错误处理，不重复提交相同需求</w:t>
            </w:r>
          </w:p>
        </w:tc>
      </w:tr>
    </w:tbl>
    <w:p>
      <w:pPr>
        <w:spacing w:after="20"/>
      </w:pPr>
    </w:p>
    <w:p>
      <w:r>
        <w:t>“每轮执行明细”提供上一轮、下一轮及轮次下拉选择，区分需求规划、普通对话和执行跟踪。切到历史轮次不会取消后台跟踪；点击“跟随最新”回到当前运行。每轮独立保存主Agent事件与子Agent委派。展开“专项协作记录”可查看模型输入、公开响应、工具参数、真实返回及失败信息；这些是可审计执行记录，不是模型私有思维链。</w:t>
      </w:r>
    </w:p>
    <w:p>
      <w:r>
        <w:t>时间线按事件序号排序和去重。一次MCP失败后出现纠正参数并成功调用的记录，不能抹去前次失败；最终结论应依据成功返回的数据。权限或参数结构错误仍可能直接结束运行。</w:t>
      </w:r>
    </w:p>
    <w:p>
      <w:pPr>
        <w:pStyle w:val="Heading2"/>
      </w:pPr>
      <w:r>
        <w:t>16.4 轮次 用量和预算</w:t>
      </w:r>
    </w:p>
    <w:p>
      <w:r>
        <w:t>页面创建助手运行会传入当前计划Token预算。运行创建后，检查工具循环记录里的实际限额，不将后续计划修改自动视为已改变旧Run。主Agent最大迭代控制默认轮次；自定义子Agent还受自己的最大迭代和超时限制。</w:t>
      </w:r>
    </w:p>
    <w:p>
      <w:r>
        <w:t>Run用量来自模型返回，子Agent模型用量也计入父Run。显示“用量未回报”时，0或已知部分用量不代表没有其他消耗。Run限额与评测任务的token_quota是两个执行对象的限制，不是跨两者自动合并扣减的统一钱包；企业服务额度和供应商账单还需分别核对。</w:t>
      </w:r>
    </w:p>
    <w:p>
      <w:r>
        <w:t>预算检查发生在模型调用之后，最后一次调用可能使累计用量超过限额；服务不返回usage时无法精确计费。0表示未设Run限额，不能当作零成本。</w:t>
      </w:r>
    </w:p>
    <w:p>
      <w:r>
        <w:t>页面“模型决策 3 / 10 轮”表示本次Run主Agent已调用规划模型3次、最多10次，不是聊天轮数或评测样本数。0表示主Agent尚未进行首次决策；此前可能正在完成专项子Agent，子Agent用量与记录单独列出。上方“每轮执行明细”的轮次选择器用于切换不同Run，二者含义不同。</w:t>
      </w:r>
    </w:p>
    <w:p>
      <w:pPr>
        <w:pStyle w:val="Heading2"/>
      </w:pPr>
      <w:r>
        <w:t>16.5 取消 恢复和预算暂停</w:t>
      </w:r>
    </w:p>
    <w:p>
      <w:r>
        <w:t>同一会话只能有一个queued、running或waiting的活跃Run。遇到409先检查现有运行，不重复启动。点击“停止助手”并确认后，助手在执行节点之间停止分析与跟踪；正在进行的模型或外部请求可能仍需等待返回并产生费用。此操作不取消已提交的评测任务，取消任务需进入任务详情。</w:t>
      </w:r>
    </w:p>
    <w:p>
      <w:r>
        <w:t>手动停止或异常结束后可点击“继续会话”，保留会话上下文和关联任务：可恢复的等待Run重新入队；已终止Run新建一轮分析或任务跟踪，原记录保留。不会仅因继续会话再建一次评测任务。恢复前需处理连接、凭证、权限或工具错误；若需要重新执行失败任务，仍须单独审核恢复或补测建议。</w:t>
      </w:r>
    </w:p>
    <w:p>
      <w:r>
        <w:t>等待审批和等待任务结果时，先完成对应业务条件，再恢复。服务正常退出会释放自身未完成节点的租约；进程异常退出后的活跃运行需等待执行租约过期再由后台回收，可能不是立即继续；持续无进展时联系管理员检查Agent执行器。</w:t>
      </w:r>
    </w:p>
    <w:p>
      <w:r>
        <w:t>预算暂停不能在原Run直接提高限额继续。页面“继续会话”会在预算暂停时要求新预算大于原限额及已用Token，更新计划后创建新Run，下方运行记录将更换；先核对是否已有评测任务，避免把预算调整理解为重新执行该任务。轮次耗尽或反复失败时，应缩小目标并排查根因。</w:t>
      </w:r>
    </w:p>
    <w:p>
      <w:pPr>
        <w:pStyle w:val="Heading2"/>
      </w:pPr>
      <w:r>
        <w:t>16.6 核验结果与使用边界</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完成说明</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本轮对话已完成，尚未核验评测目标</w:t>
            </w:r>
          </w:p>
        </w:tc>
        <w:tc>
          <w:tcPr>
            <w:tcW w:type="dxa" w:w="6191"/>
          </w:tcPr>
          <w:p>
            <w:pPr>
              <w:keepNext w:val="0"/>
              <w:spacing w:before="60" w:after="60" w:line="271" w:lineRule="auto"/>
            </w:pPr>
            <w:r>
              <w:rPr>
                <w:b w:val="0"/>
                <w:sz w:val="18"/>
              </w:rPr>
              <w:t>模型已回复，但没有关联的评测任务；不能交付评测成绩</w:t>
            </w:r>
          </w:p>
        </w:tc>
      </w:tr>
      <w:tr>
        <w:trPr>
          <w:cantSplit/>
        </w:trPr>
        <w:tc>
          <w:tcPr>
            <w:tcW w:type="dxa" w:w="3334"/>
          </w:tcPr>
          <w:p>
            <w:pPr>
              <w:keepNext w:val="0"/>
              <w:spacing w:before="60" w:after="60" w:line="271" w:lineRule="auto"/>
            </w:pPr>
            <w:r>
              <w:rPr>
                <w:b w:val="0"/>
                <w:sz w:val="18"/>
              </w:rPr>
              <w:t>正在等待评测任务的实际执行结果</w:t>
            </w:r>
          </w:p>
        </w:tc>
        <w:tc>
          <w:tcPr>
            <w:tcW w:type="dxa" w:w="6191"/>
          </w:tcPr>
          <w:p>
            <w:pPr>
              <w:keepNext w:val="0"/>
              <w:spacing w:before="60" w:after="60" w:line="271" w:lineRule="auto"/>
            </w:pPr>
            <w:r>
              <w:rPr>
                <w:b w:val="0"/>
                <w:sz w:val="18"/>
              </w:rPr>
              <w:t>关联任务仍在排队或执行，继续看任务详情</w:t>
            </w:r>
          </w:p>
        </w:tc>
      </w:tr>
      <w:tr>
        <w:trPr>
          <w:cantSplit/>
        </w:trPr>
        <w:tc>
          <w:tcPr>
            <w:tcW w:type="dxa" w:w="3334"/>
          </w:tcPr>
          <w:p>
            <w:pPr>
              <w:keepNext w:val="0"/>
              <w:spacing w:before="60" w:after="60" w:line="271" w:lineRule="auto"/>
            </w:pPr>
            <w:r>
              <w:rPr>
                <w:b w:val="0"/>
                <w:sz w:val="18"/>
              </w:rPr>
              <w:t>任务已结束，评测目标尚未核验通过</w:t>
            </w:r>
          </w:p>
        </w:tc>
        <w:tc>
          <w:tcPr>
            <w:tcW w:type="dxa" w:w="6191"/>
          </w:tcPr>
          <w:p>
            <w:pPr>
              <w:keepNext w:val="0"/>
              <w:spacing w:before="60" w:after="60" w:line="271" w:lineRule="auto"/>
            </w:pPr>
            <w:r>
              <w:rPr>
                <w:b w:val="0"/>
                <w:sz w:val="18"/>
              </w:rPr>
              <w:t>可能是试跑、模拟、无完整实测样本或缺少报告记录；必须逐项检查</w:t>
            </w:r>
          </w:p>
        </w:tc>
      </w:tr>
      <w:tr>
        <w:trPr>
          <w:cantSplit/>
        </w:trPr>
        <w:tc>
          <w:tcPr>
            <w:tcW w:type="dxa" w:w="3334"/>
          </w:tcPr>
          <w:p>
            <w:pPr>
              <w:keepNext w:val="0"/>
              <w:spacing w:before="60" w:after="60" w:line="271" w:lineRule="auto"/>
            </w:pPr>
            <w:r>
              <w:rPr>
                <w:b w:val="0"/>
                <w:sz w:val="18"/>
              </w:rPr>
              <w:t>评测任务已完成，目标核验通过</w:t>
            </w:r>
          </w:p>
        </w:tc>
        <w:tc>
          <w:tcPr>
            <w:tcW w:type="dxa" w:w="6191"/>
          </w:tcPr>
          <w:p>
            <w:pPr>
              <w:keepNext w:val="0"/>
              <w:spacing w:before="60" w:after="60" w:line="271" w:lineRule="auto"/>
            </w:pPr>
            <w:r>
              <w:rPr>
                <w:b w:val="0"/>
                <w:sz w:val="18"/>
              </w:rPr>
              <w:t>任务success、样本数大于零、非试跑和非模拟，每条样本有实际执行与已评分记录，且任务记录中已有报告路径</w:t>
            </w:r>
          </w:p>
        </w:tc>
      </w:tr>
    </w:tbl>
    <w:p>
      <w:pPr>
        <w:spacing w:after="20"/>
      </w:pPr>
    </w:p>
    <w:p>
      <w:r>
        <w:t>核验范围是“评测执行完整性”，不自动证明任意自然语言目标、业务质量阈值、生产性能或专家验收达标。仍需按第9章复核逐样本结果和报告；任务记录里有报告路径，也应实际打开交付文件检查。</w:t>
      </w:r>
    </w:p>
    <w:p>
      <w:bookmarkStart w:id="18" w:name="chapter_18"/>
      <w:pPr>
        <w:pStyle w:val="Heading1"/>
        <w:pageBreakBefore/>
      </w:pPr>
      <w:r>
        <w:t>17 子 Agent 监控 诊断与建议</w:t>
      </w:r>
      <w:bookmarkEnd w:id="18"/>
    </w:p>
    <w:p>
      <w:pPr>
        <w:pStyle w:val="Heading2"/>
      </w:pPr>
      <w:r>
        <w:t>17.1 选择和配置角色</w:t>
      </w:r>
    </w:p>
    <w:p>
      <w:r>
        <w:t>打开右上角“助手设置”中的“子Agent与编排Skill”，查看角色用途、工具、Skill和启用状态。有编辑权限时可“添加”或“编辑”自定义子Agent，填写标识、名称、系统提示词、模型名与生成参数、可用工具、Skill、最大迭代和超时。然后在本会话的能力选择中启用该角色。自定义角色可在“评测标尺”JSON中配置stages（planning、monitoring、diagnosis、review、optimization）和trigger_keywords；新会话需求命中已启用定义的关键词时，系统会按场景自动绑定并在相应阶段调用。没有关键词配置时需要显式选择。</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执行方式与用途</w:t>
            </w:r>
          </w:p>
        </w:tc>
        <w:tc>
          <w:tcPr>
            <w:tcW w:type="dxa" w:w="4286"/>
            <w:shd w:fill="E9EFF3"/>
          </w:tcPr>
          <w:p>
            <w:pPr>
              <w:keepNext/>
              <w:spacing w:before="60" w:after="60" w:line="271" w:lineRule="auto"/>
            </w:pPr>
            <w:r>
              <w:rPr>
                <w:b/>
                <w:sz w:val="18"/>
              </w:rPr>
              <w:t>使用时核对</w:t>
            </w:r>
          </w:p>
        </w:tc>
      </w:tr>
      <w:tr>
        <w:trPr>
          <w:cantSplit/>
        </w:trPr>
        <w:tc>
          <w:tcPr>
            <w:tcW w:type="dxa" w:w="2191"/>
          </w:tcPr>
          <w:p>
            <w:pPr>
              <w:keepNext w:val="0"/>
              <w:spacing w:before="60" w:after="60" w:line="271" w:lineRule="auto"/>
            </w:pPr>
            <w:r>
              <w:rPr>
                <w:b w:val="0"/>
                <w:sz w:val="18"/>
              </w:rPr>
              <w:t>monitor 监控分析</w:t>
            </w:r>
          </w:p>
        </w:tc>
        <w:tc>
          <w:tcPr>
            <w:tcW w:type="dxa" w:w="3048"/>
          </w:tcPr>
          <w:p>
            <w:pPr>
              <w:keepNext w:val="0"/>
              <w:spacing w:before="60" w:after="60" w:line="271" w:lineRule="auto"/>
            </w:pPr>
            <w:r>
              <w:rPr>
                <w:b w:val="0"/>
                <w:sz w:val="18"/>
              </w:rPr>
              <w:t>根据关联任务状态、进度、事件生成摘要</w:t>
            </w:r>
          </w:p>
        </w:tc>
        <w:tc>
          <w:tcPr>
            <w:tcW w:type="dxa" w:w="4286"/>
          </w:tcPr>
          <w:p>
            <w:pPr>
              <w:keepNext w:val="0"/>
              <w:spacing w:before="60" w:after="60" w:line="271" w:lineRule="auto"/>
            </w:pPr>
            <w:r>
              <w:rPr>
                <w:b w:val="0"/>
                <w:sz w:val="18"/>
              </w:rPr>
              <w:t>没有任务时只提示等待，不代表已在监控实际执行</w:t>
            </w:r>
          </w:p>
        </w:tc>
      </w:tr>
      <w:tr>
        <w:trPr>
          <w:cantSplit/>
        </w:trPr>
        <w:tc>
          <w:tcPr>
            <w:tcW w:type="dxa" w:w="2191"/>
          </w:tcPr>
          <w:p>
            <w:pPr>
              <w:keepNext w:val="0"/>
              <w:spacing w:before="60" w:after="60" w:line="271" w:lineRule="auto"/>
            </w:pPr>
            <w:r>
              <w:rPr>
                <w:b w:val="0"/>
                <w:sz w:val="18"/>
              </w:rPr>
              <w:t>diagnose 异常诊断</w:t>
            </w:r>
          </w:p>
        </w:tc>
        <w:tc>
          <w:tcPr>
            <w:tcW w:type="dxa" w:w="3048"/>
          </w:tcPr>
          <w:p>
            <w:pPr>
              <w:keepNext w:val="0"/>
              <w:spacing w:before="60" w:after="60" w:line="271" w:lineRule="auto"/>
            </w:pPr>
            <w:r>
              <w:rPr>
                <w:b w:val="0"/>
                <w:sz w:val="18"/>
              </w:rPr>
              <w:t>根据失败或中断事实给出处置建议</w:t>
            </w:r>
          </w:p>
        </w:tc>
        <w:tc>
          <w:tcPr>
            <w:tcW w:type="dxa" w:w="4286"/>
          </w:tcPr>
          <w:p>
            <w:pPr>
              <w:keepNext w:val="0"/>
              <w:spacing w:before="60" w:after="60" w:line="271" w:lineRule="auto"/>
            </w:pPr>
            <w:r>
              <w:rPr>
                <w:b w:val="0"/>
                <w:sz w:val="18"/>
              </w:rPr>
              <w:t>不直接恢复或补测，建议需人工核对</w:t>
            </w:r>
          </w:p>
        </w:tc>
      </w:tr>
      <w:tr>
        <w:trPr>
          <w:cantSplit/>
        </w:trPr>
        <w:tc>
          <w:tcPr>
            <w:tcW w:type="dxa" w:w="2191"/>
          </w:tcPr>
          <w:p>
            <w:pPr>
              <w:keepNext w:val="0"/>
              <w:spacing w:before="60" w:after="60" w:line="271" w:lineRule="auto"/>
            </w:pPr>
            <w:r>
              <w:rPr>
                <w:b w:val="0"/>
                <w:sz w:val="18"/>
              </w:rPr>
              <w:t>plan_analyst、param_advisor</w:t>
            </w:r>
          </w:p>
        </w:tc>
        <w:tc>
          <w:tcPr>
            <w:tcW w:type="dxa" w:w="3048"/>
          </w:tcPr>
          <w:p>
            <w:pPr>
              <w:keepNext w:val="0"/>
              <w:spacing w:before="60" w:after="60" w:line="271" w:lineRule="auto"/>
            </w:pPr>
            <w:r>
              <w:rPr>
                <w:b w:val="0"/>
                <w:sz w:val="18"/>
              </w:rPr>
              <w:t>规划阶段对授权资源、方案、预算和参数做真实模型分析</w:t>
            </w:r>
          </w:p>
        </w:tc>
        <w:tc>
          <w:tcPr>
            <w:tcW w:type="dxa" w:w="4286"/>
          </w:tcPr>
          <w:p>
            <w:pPr>
              <w:keepNext w:val="0"/>
              <w:spacing w:before="60" w:after="60" w:line="271" w:lineRule="auto"/>
            </w:pPr>
            <w:r>
              <w:rPr>
                <w:b w:val="0"/>
                <w:sz w:val="18"/>
              </w:rPr>
              <w:t>默认随模型规划启用；不会自行创建任务</w:t>
            </w:r>
          </w:p>
        </w:tc>
      </w:tr>
      <w:tr>
        <w:trPr>
          <w:cantSplit/>
        </w:trPr>
        <w:tc>
          <w:tcPr>
            <w:tcW w:type="dxa" w:w="2191"/>
          </w:tcPr>
          <w:p>
            <w:pPr>
              <w:keepNext w:val="0"/>
              <w:spacing w:before="60" w:after="60" w:line="271" w:lineRule="auto"/>
            </w:pPr>
            <w:r>
              <w:rPr>
                <w:b w:val="0"/>
                <w:sz w:val="18"/>
              </w:rPr>
              <w:t>report_reviewer</w:t>
            </w:r>
          </w:p>
        </w:tc>
        <w:tc>
          <w:tcPr>
            <w:tcW w:type="dxa" w:w="3048"/>
          </w:tcPr>
          <w:p>
            <w:pPr>
              <w:keepNext w:val="0"/>
              <w:spacing w:before="60" w:after="60" w:line="271" w:lineRule="auto"/>
            </w:pPr>
            <w:r>
              <w:rPr>
                <w:b w:val="0"/>
                <w:sz w:val="18"/>
              </w:rPr>
              <w:t>任务终态后核对统计、样本与报告口径</w:t>
            </w:r>
          </w:p>
        </w:tc>
        <w:tc>
          <w:tcPr>
            <w:tcW w:type="dxa" w:w="4286"/>
          </w:tcPr>
          <w:p>
            <w:pPr>
              <w:keepNext w:val="0"/>
              <w:spacing w:before="60" w:after="60" w:line="271" w:lineRule="auto"/>
            </w:pPr>
            <w:r>
              <w:rPr>
                <w:b w:val="0"/>
                <w:sz w:val="18"/>
              </w:rPr>
              <w:t>默认绑定；有规划模型时运行真实子图</w:t>
            </w:r>
          </w:p>
        </w:tc>
      </w:tr>
      <w:tr>
        <w:trPr>
          <w:cantSplit/>
        </w:trPr>
        <w:tc>
          <w:tcPr>
            <w:tcW w:type="dxa" w:w="2191"/>
          </w:tcPr>
          <w:p>
            <w:pPr>
              <w:keepNext w:val="0"/>
              <w:spacing w:before="60" w:after="60" w:line="271" w:lineRule="auto"/>
            </w:pPr>
            <w:r>
              <w:rPr>
                <w:b w:val="0"/>
                <w:sz w:val="18"/>
              </w:rPr>
              <w:t>report_optimizer</w:t>
            </w:r>
          </w:p>
        </w:tc>
        <w:tc>
          <w:tcPr>
            <w:tcW w:type="dxa" w:w="3048"/>
          </w:tcPr>
          <w:p>
            <w:pPr>
              <w:keepNext w:val="0"/>
              <w:spacing w:before="60" w:after="60" w:line="271" w:lineRule="auto"/>
            </w:pPr>
            <w:r>
              <w:rPr>
                <w:b w:val="0"/>
                <w:sz w:val="18"/>
              </w:rPr>
              <w:t>选择后在报告就绪时生成独立Markdown优化稿</w:t>
            </w:r>
          </w:p>
        </w:tc>
        <w:tc>
          <w:tcPr>
            <w:tcW w:type="dxa" w:w="4286"/>
          </w:tcPr>
          <w:p>
            <w:pPr>
              <w:keepNext w:val="0"/>
              <w:spacing w:before="60" w:after="60" w:line="271" w:lineRule="auto"/>
            </w:pPr>
            <w:r>
              <w:rPr>
                <w:b w:val="0"/>
                <w:sz w:val="18"/>
              </w:rPr>
              <w:t>可选；需人工发布或撤回，不修改原报告及分数</w:t>
            </w:r>
          </w:p>
        </w:tc>
      </w:tr>
      <w:tr>
        <w:trPr>
          <w:cantSplit/>
        </w:trPr>
        <w:tc>
          <w:tcPr>
            <w:tcW w:type="dxa" w:w="2191"/>
          </w:tcPr>
          <w:p>
            <w:pPr>
              <w:keepNext w:val="0"/>
              <w:spacing w:before="60" w:after="60" w:line="271" w:lineRule="auto"/>
            </w:pPr>
            <w:r>
              <w:rPr>
                <w:b w:val="0"/>
                <w:sz w:val="18"/>
              </w:rPr>
              <w:t>自定义角色</w:t>
            </w:r>
          </w:p>
        </w:tc>
        <w:tc>
          <w:tcPr>
            <w:tcW w:type="dxa" w:w="3048"/>
          </w:tcPr>
          <w:p>
            <w:pPr>
              <w:keepNext w:val="0"/>
              <w:spacing w:before="60" w:after="60" w:line="271" w:lineRule="auto"/>
            </w:pPr>
            <w:r>
              <w:rPr>
                <w:b w:val="0"/>
                <w:sz w:val="18"/>
              </w:rPr>
              <w:t>真实模型决策、受控工具调用、返回最终分析</w:t>
            </w:r>
          </w:p>
        </w:tc>
        <w:tc>
          <w:tcPr>
            <w:tcW w:type="dxa" w:w="4286"/>
          </w:tcPr>
          <w:p>
            <w:pPr>
              <w:keepNext w:val="0"/>
              <w:spacing w:before="60" w:after="60" w:line="271" w:lineRule="auto"/>
            </w:pPr>
            <w:r>
              <w:rPr>
                <w:b w:val="0"/>
                <w:sz w:val="18"/>
              </w:rPr>
              <w:t>核对委派记录、工具调用与证据，提示词不再直接充当分析结果</w:t>
            </w:r>
          </w:p>
        </w:tc>
      </w:tr>
    </w:tbl>
    <w:p>
      <w:pPr>
        <w:spacing w:after="20"/>
      </w:pPr>
    </w:p>
    <w:p>
      <w:r>
        <w:t>自定义子Agent使用当前会话规划模型的连接，可按定义覆盖模型名、温度及输出长度，不是为其自动部署一套新的模型服务。没有可用规划模型时会明确失败。</w:t>
      </w:r>
    </w:p>
    <w:p>
      <w:r>
        <w:t>让主Agent调用已启用角色，例如“请让覆盖检查Agent核对本次方案缺口，并把依据交回主Agent”。当前按需顺序执行，不提供任意递归委派或多机并行自治。子Agent工具取自身白名单、主Agent允许范围和会话绑定能力的交集，不能修改计划、创建或恢复任务、继续委派其他Agent。需要MCP时还要在会话启用连接并有调用权限。</w:t>
      </w:r>
    </w:p>
    <w:p>
      <w:r>
        <w:t>会话有关联任务后，助手按阶段自动调用监控和诊断角色；也可发送消息要求专项分析。在“执行明细”核对委派，在“报告与经验”查看待处理建议。监控分析和异常诊断是必需角色，页面不允许删除。</w:t>
      </w:r>
    </w:p>
    <w:p>
      <w:pPr>
        <w:pStyle w:val="Heading2"/>
      </w:pPr>
      <w:r>
        <w:t>17.2 监控怎么使用</w:t>
      </w:r>
    </w:p>
    <w:p>
      <w:r>
        <w:t>确认执行后，助手在任务状态变化、进度跨越10%区间、新失败或报告就绪时主动跟进；长时间没有变化时，每5分钟保存一次仍在执行的跟进记录。可发送“请检查当前任务状态”进一步分析，并在执行明细中查看进度、证据与子Agent结果。没有新事实时不会反复调用相同专项模型。</w:t>
      </w:r>
    </w:p>
    <w:p>
      <w:r>
        <w:t>确认执行后的会话跟踪由后台Agent worker处理，关闭页面不会停止该会话的跟踪；部署时需启用Agent执行器。这不等于自动永久监视所有平台任务。后端通过持久化任务事件游标和状态轮询发现变化，并非消息队列推送。前端启用“实时执行动态”后通过SSE接收已提交事件，断线后按序号补取，失败时回退轮询。页面关闭不影响后台跟踪；后台服务停机期间不能产生新消息，恢复后继续处理。</w:t>
      </w:r>
    </w:p>
    <w:p>
      <w:pPr>
        <w:pStyle w:val="Heading2"/>
      </w:pPr>
      <w:r>
        <w:t>17.3 诊断怎么使用</w:t>
      </w:r>
    </w:p>
    <w:p>
      <w:pPr>
        <w:ind w:left="283" w:hanging="283"/>
      </w:pPr>
      <w:r>
        <w:t>1. 打开失败任务对应的会话，查看自动诊断，或发送“请诊断当前任务失败原因”。</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在“报告与经验”的建议区查看待处理建议。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pPr>
        <w:pStyle w:val="Heading2"/>
      </w:pPr>
      <w:r>
        <w:t>17.5 优化报告与版本回退</w:t>
      </w:r>
    </w:p>
    <w:p>
      <w:r>
        <w:t>在生成计划前选择“报告优化Agent”。任务结束且原始报告可用后，系统根据任务统计及逐样本证据生成优化草稿，在“报告优化版本”查看或下载。草稿与原始评测报告分开保存，报告分析不得改变评分事实。</w:t>
      </w:r>
    </w:p>
    <w:p>
      <w:r>
        <w:t>有agent:confirm权限的人员核对论断、样本引用、限制与建议后点击“确认发布”。发布时系统再次核对原报告和证据快照，已发生变化时拒绝发布。点击“撤回优化稿”后保留修订历史，并恢复使用原报告。优化稿发布不代表专家验收或业务达标。</w:t>
      </w:r>
    </w:p>
    <w:p>
      <w:pPr>
        <w:pStyle w:val="Heading2"/>
      </w:pPr>
      <w:r>
        <w:t>17.6 开发环境自定义角色测试场景</w:t>
      </w:r>
    </w:p>
    <w:p>
      <w:r>
        <w:t>以下角色和资源来自2026-10-24真实开发演示，实际编号和运行状态见[演示记录](../delivery/agent-development-evidence-2026-10-24.json)。输入样本由AI生成，参考答案可人工核验；结果来自实际模型和裁判调用。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自定义角色</w:t>
            </w:r>
          </w:p>
        </w:tc>
        <w:tc>
          <w:tcPr>
            <w:tcW w:type="dxa" w:w="3048"/>
            <w:shd w:fill="E9EFF3"/>
          </w:tcPr>
          <w:p>
            <w:pPr>
              <w:keepNext/>
              <w:spacing w:before="60" w:after="60" w:line="271" w:lineRule="auto"/>
            </w:pPr>
            <w:r>
              <w:rPr>
                <w:b/>
                <w:sz w:val="18"/>
              </w:rPr>
              <w:t>触发场景和阶段</w:t>
            </w:r>
          </w:p>
        </w:tc>
        <w:tc>
          <w:tcPr>
            <w:tcW w:type="dxa" w:w="4286"/>
            <w:shd w:fill="E9EFF3"/>
          </w:tcPr>
          <w:p>
            <w:pPr>
              <w:keepNext/>
              <w:spacing w:before="60" w:after="60" w:line="271" w:lineRule="auto"/>
            </w:pPr>
            <w:r>
              <w:rPr>
                <w:b/>
                <w:sz w:val="18"/>
              </w:rPr>
              <w:t>建议测试输入</w:t>
            </w:r>
          </w:p>
        </w:tc>
      </w:tr>
      <w:tr>
        <w:trPr>
          <w:cantSplit/>
        </w:trPr>
        <w:tc>
          <w:tcPr>
            <w:tcW w:type="dxa" w:w="2191"/>
          </w:tcPr>
          <w:p>
            <w:pPr>
              <w:keepNext w:val="0"/>
              <w:spacing w:before="60" w:after="60" w:line="271" w:lineRule="auto"/>
            </w:pPr>
            <w:r>
              <w:rPr>
                <w:b w:val="0"/>
                <w:sz w:val="18"/>
              </w:rPr>
              <w:t>customer_coverage 客服场景覆盖顾问</w:t>
            </w:r>
          </w:p>
        </w:tc>
        <w:tc>
          <w:tcPr>
            <w:tcW w:type="dxa" w:w="3048"/>
          </w:tcPr>
          <w:p>
            <w:pPr>
              <w:keepNext w:val="0"/>
              <w:spacing w:before="60" w:after="60" w:line="271" w:lineRule="auto"/>
            </w:pPr>
            <w:r>
              <w:rPr>
                <w:b w:val="0"/>
                <w:sz w:val="18"/>
              </w:rPr>
              <w:t>包含“客服”或“售后”；规划</w:t>
            </w:r>
          </w:p>
        </w:tc>
        <w:tc>
          <w:tcPr>
            <w:tcW w:type="dxa" w:w="4286"/>
          </w:tcPr>
          <w:p>
            <w:pPr>
              <w:keepNext w:val="0"/>
              <w:spacing w:before="60" w:after="60" w:line="271" w:lineRule="auto"/>
            </w:pPr>
            <w:r>
              <w:rPr>
                <w:b w:val="0"/>
                <w:sz w:val="18"/>
              </w:rPr>
              <w:t>评测客服售后质量，核对意图覆盖和规则边界</w:t>
            </w:r>
          </w:p>
        </w:tc>
      </w:tr>
      <w:tr>
        <w:trPr>
          <w:cantSplit/>
        </w:trPr>
        <w:tc>
          <w:tcPr>
            <w:tcW w:type="dxa" w:w="2191"/>
          </w:tcPr>
          <w:p>
            <w:pPr>
              <w:keepNext w:val="0"/>
              <w:spacing w:before="60" w:after="60" w:line="271" w:lineRule="auto"/>
            </w:pPr>
            <w:r>
              <w:rPr>
                <w:b w:val="0"/>
                <w:sz w:val="18"/>
              </w:rPr>
              <w:t>finance_verifier 金融数值核验顾问</w:t>
            </w:r>
          </w:p>
        </w:tc>
        <w:tc>
          <w:tcPr>
            <w:tcW w:type="dxa" w:w="3048"/>
          </w:tcPr>
          <w:p>
            <w:pPr>
              <w:keepNext w:val="0"/>
              <w:spacing w:before="60" w:after="60" w:line="271" w:lineRule="auto"/>
            </w:pPr>
            <w:r>
              <w:rPr>
                <w:b w:val="0"/>
                <w:sz w:val="18"/>
              </w:rPr>
              <w:t>包含“金融”或“利息”；规划</w:t>
            </w:r>
          </w:p>
        </w:tc>
        <w:tc>
          <w:tcPr>
            <w:tcW w:type="dxa" w:w="4286"/>
          </w:tcPr>
          <w:p>
            <w:pPr>
              <w:keepNext w:val="0"/>
              <w:spacing w:before="60" w:after="60" w:line="271" w:lineRule="auto"/>
            </w:pPr>
            <w:r>
              <w:rPr>
                <w:b w:val="0"/>
                <w:sz w:val="18"/>
              </w:rPr>
              <w:t>评测金融利息计算，检查单位、精度和裁判口径</w:t>
            </w:r>
          </w:p>
        </w:tc>
      </w:tr>
      <w:tr>
        <w:trPr>
          <w:cantSplit/>
        </w:trPr>
        <w:tc>
          <w:tcPr>
            <w:tcW w:type="dxa" w:w="2191"/>
          </w:tcPr>
          <w:p>
            <w:pPr>
              <w:keepNext w:val="0"/>
              <w:spacing w:before="60" w:after="60" w:line="271" w:lineRule="auto"/>
            </w:pPr>
            <w:r>
              <w:rPr>
                <w:b w:val="0"/>
                <w:sz w:val="18"/>
              </w:rPr>
              <w:t>coverage_auditor 数据覆盖审查员</w:t>
            </w:r>
          </w:p>
        </w:tc>
        <w:tc>
          <w:tcPr>
            <w:tcW w:type="dxa" w:w="3048"/>
          </w:tcPr>
          <w:p>
            <w:pPr>
              <w:keepNext w:val="0"/>
              <w:spacing w:before="60" w:after="60" w:line="271" w:lineRule="auto"/>
            </w:pPr>
            <w:r>
              <w:rPr>
                <w:b w:val="0"/>
                <w:sz w:val="18"/>
              </w:rPr>
              <w:t>包含“数据覆盖”或“覆盖审查”；规划</w:t>
            </w:r>
          </w:p>
        </w:tc>
        <w:tc>
          <w:tcPr>
            <w:tcW w:type="dxa" w:w="4286"/>
          </w:tcPr>
          <w:p>
            <w:pPr>
              <w:keepNext w:val="0"/>
              <w:spacing w:before="60" w:after="60" w:line="271" w:lineRule="auto"/>
            </w:pPr>
            <w:r>
              <w:rPr>
                <w:b w:val="0"/>
                <w:sz w:val="18"/>
              </w:rPr>
              <w:t>对数据覆盖做审查，说明12条样本不能代表全部业务</w:t>
            </w:r>
          </w:p>
        </w:tc>
      </w:tr>
      <w:tr>
        <w:trPr>
          <w:cantSplit/>
        </w:trPr>
        <w:tc>
          <w:tcPr>
            <w:tcW w:type="dxa" w:w="2191"/>
          </w:tcPr>
          <w:p>
            <w:pPr>
              <w:keepNext w:val="0"/>
              <w:spacing w:before="60" w:after="60" w:line="271" w:lineRule="auto"/>
            </w:pPr>
            <w:r>
              <w:rPr>
                <w:b w:val="0"/>
                <w:sz w:val="18"/>
              </w:rPr>
              <w:t>failure_analyst 失败样本归因顾问</w:t>
            </w:r>
          </w:p>
        </w:tc>
        <w:tc>
          <w:tcPr>
            <w:tcW w:type="dxa" w:w="3048"/>
          </w:tcPr>
          <w:p>
            <w:pPr>
              <w:keepNext w:val="0"/>
              <w:spacing w:before="60" w:after="60" w:line="271" w:lineRule="auto"/>
            </w:pPr>
            <w:r>
              <w:rPr>
                <w:b w:val="0"/>
                <w:sz w:val="18"/>
              </w:rPr>
              <w:t>包含“失败归因”或“异常定位”；诊断</w:t>
            </w:r>
          </w:p>
        </w:tc>
        <w:tc>
          <w:tcPr>
            <w:tcW w:type="dxa" w:w="4286"/>
          </w:tcPr>
          <w:p>
            <w:pPr>
              <w:keepNext w:val="0"/>
              <w:spacing w:before="60" w:after="60" w:line="271" w:lineRule="auto"/>
            </w:pPr>
            <w:r>
              <w:rPr>
                <w:b w:val="0"/>
                <w:sz w:val="18"/>
              </w:rPr>
              <w:t>对执行异常做失败归因，区分模型连接和评分原因</w:t>
            </w:r>
          </w:p>
        </w:tc>
      </w:tr>
    </w:tbl>
    <w:p>
      <w:pPr>
        <w:spacing w:after="20"/>
      </w:pPr>
    </w:p>
    <w:p>
      <w:r>
        <w:t>用已发布的“编排实测”题集及对应被测模型，填写正数预算，并选择独立规划模型。要验证金融顾问真实调用工具，还需绑定“编排实测-统计MCP服务”，明确要求按工具目录参数调用compute_stats。只要求金融分析不保证每次都需要调用MCP。</w:t>
      </w:r>
    </w:p>
    <w:p>
      <w:r>
        <w:t>若任务成功且没有失败样本，failure_analyst不被触发是正常结果；不能为演示诊断而伪造任务失败或分数。失败场景应使用专门演示模型产生真实连接或配置错误，并保留失败原因。每个角色是否实际使用，以相应轮次的委派和工具记录为准。</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新Run带入有限近期消息，不保证完整历史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 Run 用于启动新一次工具循环；恢复 Run 用于继续原 checkpoint。三者会使用不同范围的上下文。新Run会加入近期最多16条非空会话消息，每条最多取2000字符，再附本次输入；更早或更长的内容可能被省略，不应依赖它始终记得全部细节。</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在评测助手“报告与经验→知识候选”填写标题、分类和内容，核对来源后点击“新增候选”；列表中的“通过”操作供有审核权限人员使用。集成人员也可通过“系统管理→接口文档”或受控客户端调用POST /api/agents/knowledge，并按需提供标签。</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在“报告与经验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Runtime的search_knowledge现在带创建者租户上下文，可检索同租户已审核、未过期且匹配查询词的条目，包括候选审核后入库的条目；不会自动访问其他租户知识。模型必须实际选择检索工具才会得到结果。规则生成计划和部分内置编排Skill仍使用各自的检索路径，不能把Runtime的召回行为推广到全部入口。</w:t>
      </w:r>
    </w:p>
    <w:p>
      <w:r>
        <w:t>此外，部分历史入库路径仍直接写 approved 条目，确认任务时的 archive_experience 路径也不等同于候选审核流程。当前不能宣称所有经验均自动经过审核或所有Agent入口均有同样的长期记忆范围。这类记忆闭环限制应由管理员与研发跟踪；操作上用接口验证命中，必要时人工引用有效经验。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三个组合使用案例</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失败时回会话查看诊断记录，先修复连接或数据问题，再决定是否重试。完成后把有效经验整理为候选并审核，用短关键词验证检索。也可启动Runtime，请主Agent调用方案检查角色、查找真实资源并请求审批执行；随后仍由人员核对并点击确认。</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 Skill 用作评测裁判，由集成人员核对任务接口、资源配置及评分返回，进行隔离的小规模真实任务验证。当前任务页面的工具下拉不是完整 Skill 选择器；不能在 Agent 目标里写“用双裁判”就认定 plan.judge_resource_id 已经改变。必须打开计划 / 证据核对实际资源 ID。</w:t>
      </w:r>
    </w:p>
    <w:p>
      <w:pPr>
        <w:pStyle w:val="Heading2"/>
      </w:pPr>
      <w:r>
        <w:t>19.3 将外部 MCP 统计能力用于评测分析</w:t>
      </w:r>
    </w:p>
    <w:p>
      <w:r>
        <w:t>资源管理员先注册MCP连接，完成握手、工具目录和小输入测试。操作人员在会话中启用该连接，也可添加一个只允许call_mcp的统计分析子Agent并启用。请主Agent委派该角色，按目录Schema提交数值与单位，核对返回均值、样本范围和异常，再由主Agent汇总。示例：“用已启用统计连接计算2m、4m、6m的均值，必须实际调用工具并说明依据。”工具名和单位格式以实际目录和服务约定为准。</w:t>
      </w:r>
    </w:p>
    <w:p>
      <w:r>
        <w:t>在工具循环记录中核对delegate_agent和call_mcp的参数与结果，再检查资源调用历史的成功或失败。参数语义错误可能反馈给模型纠正；没有成功工具结果时不能接受它心算或猜测的结论。已验证经验仍需人工整理为知识候选并审核，不会因工具成功而自动成为长期知识。</w:t>
      </w:r>
    </w:p>
    <w:p>
      <w:pPr>
        <w:pStyle w:val="Heading2"/>
      </w:pPr>
      <w:r>
        <w:t>19.4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页面内容</w:t>
      </w:r>
    </w:p>
    <w:p>
      <w:r>
        <w:t>入口为“评测任务 → 安全可信”。页面覆盖风险、标识、对齐、幻觉等类别，展示规则版本、固定/探索集规模、一致率及校准状态；提供固定集、探索集、试评、双验证和专家复核入口。</w:t>
      </w:r>
    </w:p>
    <w:p>
      <w:r>
        <w:t>安全类别中的内置规则包含启发式与演示性质的能力，不能当作完整合规认证或所有风险检测器。正式结论应明确采用的真实评测方法、样本范围与专家审核结果。</w:t>
      </w:r>
    </w:p>
    <w:p>
      <w:pPr>
        <w:pStyle w:val="Heading2"/>
      </w:pPr>
      <w:r>
        <w:t>21.2 固定集与探索集</w:t>
      </w:r>
    </w:p>
    <w:p>
      <w:r>
        <w:t>固定集用于固定条件下的可比评测；探索集用于发现新风险和诊断。打开样本集先看类别与集类型，再确认样本来源、期望和版本。探索集内容变化后不能直接与旧固定榜单混排。</w:t>
      </w:r>
    </w:p>
    <w:p>
      <w:pPr>
        <w:pStyle w:val="Heading2"/>
      </w:pPr>
      <w:r>
        <w:t>21.3 进行试评</w:t>
      </w:r>
    </w:p>
    <w:p>
      <w:pPr>
        <w:ind w:left="283" w:hanging="283"/>
      </w:pPr>
      <w:r>
        <w:t>1. 点击相应类别“试评”，选择实际需要验证的样本。</w:t>
      </w:r>
    </w:p>
    <w:p>
      <w:pPr>
        <w:ind w:left="283" w:hanging="283"/>
      </w:pPr>
      <w:r>
        <w:t>2. 将该模型真实产生的候选输出填入文本框，不将页面或样本中的 good 示例当作模型输出。</w:t>
      </w:r>
    </w:p>
    <w:p>
      <w:pPr>
        <w:ind w:left="283" w:hanging="283"/>
      </w:pPr>
      <w:r>
        <w:t>3. 点击“评分”，查看结论及证据；不符合预期时保留输出和规则版本。</w:t>
      </w:r>
    </w:p>
    <w:p>
      <w:pPr>
        <w:ind w:left="283" w:hanging="283"/>
      </w:pPr>
      <w:r>
        <w:t>4. 存在争议或高风险时发起或处理专家复核，不仅依据自动分数关闭问题。</w:t>
      </w:r>
    </w:p>
    <w:p>
      <w:pPr>
        <w:pStyle w:val="Heading2"/>
      </w:pPr>
      <w:r>
        <w:t>21.4 校准 双验证和专家复核</w:t>
      </w:r>
    </w:p>
    <w:p>
      <w:r>
        <w:t>有权限人员可点击“重新校准”，查看各类别一致率和校准状态。校准反映当前校准集上的一致性，不是所有未来数据上的准确率保证。</w:t>
      </w:r>
    </w:p>
    <w:p>
      <w:r>
        <w:t>探索项的“双验证”用于补充验证记录，结果仍需看真实输入与执行证据。专家复核时选择人工标签：通过、驳回或需补证，并填写判断依据，驳回或补证时尤其要写清缺失证据。提交后确认工单状态变化，已处理项应打开“查看”核对而不是重复提交。</w:t>
      </w:r>
    </w:p>
    <w:p>
      <w:pPr>
        <w:pStyle w:val="Heading2"/>
      </w:pPr>
      <w:r>
        <w:t>21.5 正式报告中的表达</w:t>
      </w:r>
    </w:p>
    <w:p>
      <w:r>
        <w:t>报告应写明类别、样本版本、固定或探索属性、规则版本、真实模型输出来源、校准结果及专家意见。不得仅以“安全分100”说明模型无风险，也不得将无法执行的项目从表格删除后宣称全项通过。</w:t>
      </w:r>
    </w:p>
    <w:p>
      <w:bookmarkStart w:id="23" w:name="chapter_23"/>
      <w:pPr>
        <w:pStyle w:val="Heading1"/>
        <w:pageBreakBefore/>
      </w:pPr>
      <w:r>
        <w:t>22 模型榜单</w:t>
      </w:r>
      <w:bookmarkEnd w:id="23"/>
    </w:p>
    <w:p>
      <w:pPr>
        <w:pStyle w:val="Heading2"/>
      </w:pPr>
      <w:r>
        <w:t>22.1 查询与比较</w:t>
      </w:r>
    </w:p>
    <w:p>
      <w:r>
        <w:t>进入“应用服务 → 模型榜单”。分类依次为全部模型、语言能力、视觉语言、视频模型、语音模型、K12 学科、金融专项、安全可信。先确认顶部为“真实评测”还是“模拟演示”，再选择评测套件及榜单类型。</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榜单</w:t>
            </w:r>
          </w:p>
        </w:tc>
        <w:tc>
          <w:tcPr>
            <w:tcW w:type="dxa" w:w="6191"/>
            <w:shd w:fill="E9EFF3"/>
          </w:tcPr>
          <w:p>
            <w:pPr>
              <w:keepNext/>
              <w:spacing w:before="60" w:after="60" w:line="271" w:lineRule="auto"/>
            </w:pPr>
            <w:r>
              <w:rPr>
                <w:b/>
                <w:sz w:val="18"/>
              </w:rPr>
              <w:t>阅读方式</w:t>
            </w:r>
          </w:p>
        </w:tc>
      </w:tr>
      <w:tr>
        <w:trPr>
          <w:cantSplit/>
        </w:trPr>
        <w:tc>
          <w:tcPr>
            <w:tcW w:type="dxa" w:w="3334"/>
          </w:tcPr>
          <w:p>
            <w:pPr>
              <w:keepNext w:val="0"/>
              <w:spacing w:before="60" w:after="60" w:line="271" w:lineRule="auto"/>
            </w:pPr>
            <w:r>
              <w:rPr>
                <w:b w:val="0"/>
                <w:sz w:val="18"/>
              </w:rPr>
              <w:t>综合得分榜</w:t>
            </w:r>
          </w:p>
        </w:tc>
        <w:tc>
          <w:tcPr>
            <w:tcW w:type="dxa" w:w="6191"/>
          </w:tcPr>
          <w:p>
            <w:pPr>
              <w:keepNext w:val="0"/>
              <w:spacing w:before="60" w:after="60" w:line="271" w:lineRule="auto"/>
            </w:pPr>
            <w:r>
              <w:rPr>
                <w:b w:val="0"/>
                <w:sz w:val="18"/>
              </w:rPr>
              <w:t>按各能力维度的配置权重汇总</w:t>
            </w:r>
          </w:p>
        </w:tc>
      </w:tr>
      <w:tr>
        <w:trPr>
          <w:cantSplit/>
        </w:trPr>
        <w:tc>
          <w:tcPr>
            <w:tcW w:type="dxa" w:w="3334"/>
          </w:tcPr>
          <w:p>
            <w:pPr>
              <w:keepNext w:val="0"/>
              <w:spacing w:before="60" w:after="60" w:line="271" w:lineRule="auto"/>
            </w:pPr>
            <w:r>
              <w:rPr>
                <w:b w:val="0"/>
                <w:sz w:val="18"/>
              </w:rPr>
              <w:t>单项能力榜</w:t>
            </w:r>
          </w:p>
        </w:tc>
        <w:tc>
          <w:tcPr>
            <w:tcW w:type="dxa" w:w="6191"/>
          </w:tcPr>
          <w:p>
            <w:pPr>
              <w:keepNext w:val="0"/>
              <w:spacing w:before="60" w:after="60" w:line="271" w:lineRule="auto"/>
            </w:pPr>
            <w:r>
              <w:rPr>
                <w:b w:val="0"/>
                <w:sz w:val="18"/>
              </w:rPr>
              <w:t>选择一个指标，查看该项前十名；不足十个配置时如实显示</w:t>
            </w:r>
          </w:p>
        </w:tc>
      </w:tr>
      <w:tr>
        <w:trPr>
          <w:cantSplit/>
        </w:trPr>
        <w:tc>
          <w:tcPr>
            <w:tcW w:type="dxa" w:w="3334"/>
          </w:tcPr>
          <w:p>
            <w:pPr>
              <w:keepNext w:val="0"/>
              <w:spacing w:before="60" w:after="60" w:line="271" w:lineRule="auto"/>
            </w:pPr>
            <w:r>
              <w:rPr>
                <w:b w:val="0"/>
                <w:sz w:val="18"/>
              </w:rPr>
              <w:t>专项评测榜</w:t>
            </w:r>
          </w:p>
        </w:tc>
        <w:tc>
          <w:tcPr>
            <w:tcW w:type="dxa" w:w="6191"/>
          </w:tcPr>
          <w:p>
            <w:pPr>
              <w:keepNext w:val="0"/>
              <w:spacing w:before="60" w:after="60" w:line="271" w:lineRule="auto"/>
            </w:pPr>
            <w:r>
              <w:rPr>
                <w:b w:val="0"/>
                <w:sz w:val="18"/>
              </w:rPr>
              <w:t>查看行业、场景、安全等专项任务结果</w:t>
            </w:r>
          </w:p>
        </w:tc>
      </w:tr>
      <w:tr>
        <w:trPr>
          <w:cantSplit/>
        </w:trPr>
        <w:tc>
          <w:tcPr>
            <w:tcW w:type="dxa" w:w="3334"/>
          </w:tcPr>
          <w:p>
            <w:pPr>
              <w:keepNext w:val="0"/>
              <w:spacing w:before="60" w:after="60" w:line="271" w:lineRule="auto"/>
            </w:pPr>
            <w:r>
              <w:rPr>
                <w:b w:val="0"/>
                <w:sz w:val="18"/>
              </w:rPr>
              <w:t>性价比榜</w:t>
            </w:r>
          </w:p>
        </w:tc>
        <w:tc>
          <w:tcPr>
            <w:tcW w:type="dxa" w:w="6191"/>
          </w:tcPr>
          <w:p>
            <w:pPr>
              <w:keepNext w:val="0"/>
              <w:spacing w:before="60" w:after="60" w:line="271" w:lineRule="auto"/>
            </w:pPr>
            <w:r>
              <w:rPr>
                <w:b w:val="0"/>
                <w:sz w:val="18"/>
              </w:rPr>
              <w:t>查看综合原始分与每样本估算费用的比值，费用缺失或为零时不授予性价比排名</w:t>
            </w:r>
          </w:p>
        </w:tc>
      </w:tr>
    </w:tbl>
    <w:p>
      <w:pPr>
        <w:spacing w:after="20"/>
      </w:pPr>
    </w:p>
    <w:p>
      <w:r>
        <w:t>可按模型、模型版本、行业、场景、评测起止时间筛选，并搜索模型名称、机构或筛选开闭源。开闭源信息在“被测模型 → 注册/编辑 → 基础 → 开闭源”维护；未填写时显示“未标注”，不会根据接入方式自动推断。</w:t>
      </w:r>
    </w:p>
    <w:p>
      <w:r>
        <w:t>表格、模型卡片和能力档案可切换。勾选最多五个配置，在下方查看雷达、得分对照、能力矩阵、历史趋势、质量与效率图；图例可点击隐藏，支持放大、保存图片和导出当前视图结果。点击模型名称打开评测卡片，再进入来源任务核对模型输出与评分。</w:t>
      </w:r>
    </w:p>
    <w:p>
      <w:r>
        <w:t>“全部模型”表示不限制分类，仍在选中的评测套件内比较，不会跨数据集或评分工具计算统一总分。切换分类会重新选择套件；未指定套件时，系统优先选模型配置数量较多、时间较新的套件。若恰好选中简单题集，多个配置可能全部获得100分，应查看题目难度、样本数及来源模型，不能据此认定通用能力满分。</w:t>
      </w:r>
    </w:p>
    <w:p>
      <w:pPr>
        <w:pStyle w:val="Heading2"/>
      </w:pPr>
      <w:r>
        <w:t>22.2 评测套件如何关联数据集与工具</w:t>
      </w:r>
    </w:p>
    <w:p>
      <w:r>
        <w:t>当前套件由已完成任务的评测配置自动分组产生，没有独立的“评测套件配置中心”。同一比较组（cohort）的条件包括数据集版本、评分工具及工具版本、任务指标权重、行业、场景、提示词及其版本。换数据集版本、换工具或改变这些协议条件，会产生不同的比较组。</w:t>
      </w:r>
    </w:p>
    <w:p>
      <w:r>
        <w:t>任务准备流程为：发布数据集 → 创建评测任务时选择数据集、被测模型、提示词及“打分工具” → 提交审核并执行 → 完整有效结果进入对应套件。榜单在当前筛选范围内，为每个模型版本取最新的合格结果。不同套件的分数、名次不能直接横比；能力档案按套件分别展示，不计算跨套件平均分。</w:t>
      </w:r>
    </w:p>
    <w:p>
      <w:pPr>
        <w:pStyle w:val="Heading2"/>
      </w:pPr>
      <w:r>
        <w:t>22.3 维度从哪里来，在哪里配置</w:t>
      </w:r>
    </w:p>
    <w:p>
      <w:r>
        <w:t>真实榜单的维度来自数据集每道题的“标签”字段 data_label。同一个标签的题目归为一个能力维度；没有填写标签的题目归为“未分类”。这与数据集整体的分类标签不同，也不是评分工具自动生成的能力名称。</w:t>
      </w:r>
    </w:p>
    <w:p>
      <w:r>
        <w:t>配置步骤：</w:t>
      </w:r>
    </w:p>
    <w:p>
      <w:pPr>
        <w:ind w:left="283" w:hanging="283"/>
      </w:pPr>
      <w:r>
        <w:t>1. 在导入文件中，为每道题准备输入、参考答案和能力标签。例如将数学题标为“数学推理”，代码题标为“代码理解”。</w:t>
      </w:r>
    </w:p>
    <w:p>
      <w:pPr>
        <w:ind w:left="283" w:hanging="283"/>
      </w:pPr>
      <w:r>
        <w:t>2. 进入“评测底座 → 评测数据”，打开目标数据集详情，在“导入数据”选择文件。</w:t>
      </w:r>
    </w:p>
    <w:p>
      <w:pPr>
        <w:ind w:left="283" w:hanging="283"/>
      </w:pPr>
      <w:r>
        <w:t>3. 在字段映射中，将题目能力列映射到“标签”（data_label），并确认输入、参考答案等字段映射后导入。当前样本预览表暂未显示标签列，可通过导出数据核对标签。</w:t>
      </w:r>
    </w:p>
    <w:p>
      <w:pPr>
        <w:ind w:left="283" w:hanging="283"/>
      </w:pPr>
      <w:r>
        <w:t>4. 完成质检、审核和发布，再使用该数据集版本执行正式任务。在榜单选择对应套件后，维度自动出现。</w:t>
      </w:r>
    </w:p>
    <w:p>
      <w:r>
        <w:t>导入示例（JSONL，每行一条）：</w:t>
      </w:r>
    </w:p>
    <w:p>
      <w:pPr>
        <w:pStyle w:val="ManualCode"/>
        <w:keepNext/>
        <w:shd w:fill="F3F5F7"/>
      </w:pPr>
      <w:r>
        <w:t>{"input":"计算17乘以23，只输出整数","reference":"391","data_label":"数学推理"}</w:t>
      </w:r>
    </w:p>
    <w:p>
      <w:pPr>
        <w:pStyle w:val="ManualCode"/>
        <w:keepNext/>
        <w:shd w:fill="F3F5F7"/>
      </w:pPr>
      <w:r>
        <w:t>{"input":"计算12的平方，只输出整数","reference":"144","data_label":"数学推理"}</w:t>
      </w:r>
    </w:p>
    <w:p>
      <w:pPr>
        <w:pStyle w:val="ManualCode"/>
        <w:keepNext w:val="0"/>
        <w:shd w:fill="F3F5F7"/>
      </w:pPr>
      <w:r>
        <w:t>{"input":"Python中len([1,2,3])的结果是什么，只输出整数","reference":"3","data_label":"代码理解"}</w:t>
      </w:r>
    </w:p>
    <w:p>
      <w:pPr>
        <w:spacing w:after="40"/>
      </w:pPr>
    </w:p>
    <w:p>
      <w:r>
        <w:t>当前每道题以一个 data_label 值分组。把“数学,推理”填在同一单元格会成为一个完整标签，不会自动拆成两个维度。当前没有独立的维度字典、维度树或逐维度绑定评分器界面；同一任务使用所选的一个打分工具。</w:t>
      </w:r>
    </w:p>
    <w:p>
      <w:pPr>
        <w:pStyle w:val="Heading2"/>
      </w:pPr>
      <w:r>
        <w:t>22.4 每个维度如何评分，综合分如何计算</w:t>
      </w:r>
    </w:p>
    <w:p>
      <w:r>
        <w:t>计算链路为：被测模型回答题目 → 所选工具产生逐题分数 → 按题目标签分组取平均 → 按维度权重汇总综合分。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常用工具</w:t>
            </w:r>
          </w:p>
        </w:tc>
        <w:tc>
          <w:tcPr>
            <w:tcW w:type="dxa" w:w="6191"/>
            <w:shd w:fill="E9EFF3"/>
          </w:tcPr>
          <w:p>
            <w:pPr>
              <w:keepNext/>
              <w:spacing w:before="60" w:after="60" w:line="271" w:lineRule="auto"/>
            </w:pPr>
            <w:r>
              <w:rPr>
                <w:b/>
                <w:sz w:val="18"/>
              </w:rPr>
              <w:t>逐题评分方式</w:t>
            </w:r>
          </w:p>
        </w:tc>
      </w:tr>
      <w:tr>
        <w:trPr>
          <w:cantSplit/>
        </w:trPr>
        <w:tc>
          <w:tcPr>
            <w:tcW w:type="dxa" w:w="3334"/>
          </w:tcPr>
          <w:p>
            <w:pPr>
              <w:keepNext w:val="0"/>
              <w:spacing w:before="60" w:after="60" w:line="271" w:lineRule="auto"/>
            </w:pPr>
            <w:r>
              <w:rPr>
                <w:b w:val="0"/>
                <w:sz w:val="18"/>
              </w:rPr>
              <w:t>精确匹配</w:t>
            </w:r>
          </w:p>
        </w:tc>
        <w:tc>
          <w:tcPr>
            <w:tcW w:type="dxa" w:w="6191"/>
          </w:tcPr>
          <w:p>
            <w:pPr>
              <w:keepNext w:val="0"/>
              <w:spacing w:before="60" w:after="60" w:line="271" w:lineRule="auto"/>
            </w:pPr>
            <w:r>
              <w:rPr>
                <w:b w:val="0"/>
                <w:sz w:val="18"/>
              </w:rPr>
              <w:t>输出与参考答案去除首尾空白后相同得1，否则得0</w:t>
            </w:r>
          </w:p>
        </w:tc>
      </w:tr>
      <w:tr>
        <w:trPr>
          <w:cantSplit/>
        </w:trPr>
        <w:tc>
          <w:tcPr>
            <w:tcW w:type="dxa" w:w="3334"/>
          </w:tcPr>
          <w:p>
            <w:pPr>
              <w:keepNext w:val="0"/>
              <w:spacing w:before="60" w:after="60" w:line="271" w:lineRule="auto"/>
            </w:pPr>
            <w:r>
              <w:rPr>
                <w:b w:val="0"/>
                <w:sz w:val="18"/>
              </w:rPr>
              <w:t>关键词包含</w:t>
            </w:r>
          </w:p>
        </w:tc>
        <w:tc>
          <w:tcPr>
            <w:tcW w:type="dxa" w:w="6191"/>
          </w:tcPr>
          <w:p>
            <w:pPr>
              <w:keepNext w:val="0"/>
              <w:spacing w:before="60" w:after="60" w:line="271" w:lineRule="auto"/>
            </w:pPr>
            <w:r>
              <w:rPr>
                <w:b w:val="0"/>
                <w:sz w:val="18"/>
              </w:rPr>
              <w:t>输出包含指定参考内容得1，否则得0</w:t>
            </w:r>
          </w:p>
        </w:tc>
      </w:tr>
      <w:tr>
        <w:trPr>
          <w:cantSplit/>
        </w:trPr>
        <w:tc>
          <w:tcPr>
            <w:tcW w:type="dxa" w:w="3334"/>
          </w:tcPr>
          <w:p>
            <w:pPr>
              <w:keepNext w:val="0"/>
              <w:spacing w:before="60" w:after="60" w:line="271" w:lineRule="auto"/>
            </w:pPr>
            <w:r>
              <w:rPr>
                <w:b w:val="0"/>
                <w:sz w:val="18"/>
              </w:rPr>
              <w:t>正则匹配</w:t>
            </w:r>
          </w:p>
        </w:tc>
        <w:tc>
          <w:tcPr>
            <w:tcW w:type="dxa" w:w="6191"/>
          </w:tcPr>
          <w:p>
            <w:pPr>
              <w:keepNext w:val="0"/>
              <w:spacing w:before="60" w:after="60" w:line="271" w:lineRule="auto"/>
            </w:pPr>
            <w:r>
              <w:rPr>
                <w:b w:val="0"/>
                <w:sz w:val="18"/>
              </w:rPr>
              <w:t>输出符合正则规则得1，否则得0</w:t>
            </w:r>
          </w:p>
        </w:tc>
      </w:tr>
      <w:tr>
        <w:trPr>
          <w:cantSplit/>
        </w:trPr>
        <w:tc>
          <w:tcPr>
            <w:tcW w:type="dxa" w:w="3334"/>
          </w:tcPr>
          <w:p>
            <w:pPr>
              <w:keepNext w:val="0"/>
              <w:spacing w:before="60" w:after="60" w:line="271" w:lineRule="auto"/>
            </w:pPr>
            <w:r>
              <w:rPr>
                <w:b w:val="0"/>
                <w:sz w:val="18"/>
              </w:rPr>
              <w:t>文本相似度</w:t>
            </w:r>
          </w:p>
        </w:tc>
        <w:tc>
          <w:tcPr>
            <w:tcW w:type="dxa" w:w="6191"/>
          </w:tcPr>
          <w:p>
            <w:pPr>
              <w:keepNext w:val="0"/>
              <w:spacing w:before="60" w:after="60" w:line="271" w:lineRule="auto"/>
            </w:pPr>
            <w:r>
              <w:rPr>
                <w:b w:val="0"/>
                <w:sz w:val="18"/>
              </w:rPr>
              <w:t>根据输出与参考答案的文本相似程度产生0～1分；不等同于语义正确性或专家评分</w:t>
            </w:r>
          </w:p>
        </w:tc>
      </w:tr>
    </w:tbl>
    <w:p>
      <w:pPr>
        <w:spacing w:after="20"/>
      </w:pPr>
    </w:p>
    <w:p>
      <w:r>
        <w:t>维度得分＝该标签下所有有效题目分数之和÷题目数量。例如“数学推理”四题分别得1、1、0、1，维度原始分为0.75，页面显示75分。维度需要完整覆盖，缺测不补零。真实榜单还要求整个任务的样本完整、逐题评分有效，未完整任务不进入当前可比排名。</w:t>
      </w:r>
    </w:p>
    <w:p>
      <w:r>
        <w:t>综合分＝Σ（维度得分×维度权重）÷Σ维度权重。配置入口为“模型榜单 → 综合权重设置”，或“榜单管理 → 综合权重”。填写各维度非负权重，总和必须大于零；零权重表示该维度不参与综合分。默认维度等权，即使两个维度分别有100题和10题，也默认各占一半，并非将全部题目直接平均。</w:t>
      </w:r>
    </w:p>
    <w:p>
      <w:r>
        <w:t>权重调整影响实时榜，不会重写逐题原始分，也不会改变已经发布的历史快照。已确认0～1尺度的内置工具以百分制显示；未知评分尺度仅展示原始分，不授予统一排名，也不绘制统一尺度雷达。雷达至少需要三个共同完整维度，能力矩阵中的缺测不补为零。</w:t>
      </w:r>
    </w:p>
    <w:p>
      <w:r>
        <w:t>题目标签只是分组依据。给题目标上“推理能力”不代表评分方法已能有效衡量推理，需要业务人员确认题目覆盖、难度、参考答案和评分工具适用性。</w:t>
      </w:r>
    </w:p>
    <w:p>
      <w:pPr>
        <w:pStyle w:val="Heading2"/>
      </w:pPr>
      <w:r>
        <w:t>22.5 为什么没有上榜</w:t>
      </w:r>
    </w:p>
    <w:p>
      <w:r>
        <w:t>试跑、模拟任务、非成功任务、评分未验证、缺少有效样本或未完整覆盖题集的任务不进入正式可比排名。待复核及确认排除的结果也会暂停入榜。检查当前模式、模型版本、筛选时间、套件、任务状态、逐题评分与复核状态；没有对应正式结果的分类可能不可点击。</w:t>
      </w:r>
    </w:p>
    <w:p>
      <w:r>
        <w:t>不要通过修改试跑/模拟标记或直接改数据库成绩强行入榜。任务详情和任务列表均显示被测模型、数据集及评测工具，可据此核对是否选择了预期协议。</w:t>
      </w:r>
    </w:p>
    <w:p>
      <w:pPr>
        <w:pStyle w:val="Heading2"/>
      </w:pPr>
      <w:r>
        <w:t>22.6 历史期数、发布、撤回与异常复核</w:t>
      </w:r>
    </w:p>
    <w:p>
      <w:r>
        <w:t>“刷新”重新读取结果，不会重新执行评测。“评测期数”选择“实时结果”或已发布期数；历史快照冻结发布时的筛选范围、模型版本、权重和分数，部分筛选会锁定。历史趋势图展示真实任务执行时间序列，与发布期数不是同一概念。</w:t>
      </w:r>
    </w:p>
    <w:p>
      <w:r>
        <w:t>有发布权限的人员进入“榜单管理 → 发布与期数”，核对当前结果后填写期数标题并发布。默认仅平台内查看；确需对外时明确勾选生成免登录公开链接，公开页面仅提供汇总字段。发布不触发重新评测。</w:t>
      </w:r>
    </w:p>
    <w:p>
      <w:r>
        <w:t>有撤回权限的人员点击“撤回本期”并填写原因，公开链接停止提供结果，历史记录保留供审计。当前入口是撤回，不是将实时数据回滚到上一期。</w:t>
      </w:r>
    </w:p>
    <w:p>
      <w:r>
        <w:t>发现疑点时，可在模型评测卡片点击“提交异常复核”，或进入“榜单管理 → 异常复核”填写来源任务和依据。待复核任务暂停入榜，受影响的已发布期数自动撤回。复核人员填写依据后选择恢复或排除；恢复原结果不会自动重新发布已撤回期数。复核及发布操作保留审计，原始成绩不被改写。</w:t>
      </w:r>
    </w:p>
    <w:p>
      <w:r>
        <w:t>查看使用 leaderboard:view，权重与计价使用 leaderboard:edit，发布、撤回、复核分别使用 leaderboard:publish、leaderboard:withdraw、leaderboard:review；实际入口以当前账号授权为准。</w:t>
      </w:r>
    </w:p>
    <w:p>
      <w:pPr>
        <w:pStyle w:val="Heading2"/>
      </w:pPr>
      <w:r>
        <w:t>22.7 成本与性价比口径</w:t>
      </w:r>
    </w:p>
    <w:p>
      <w:r>
        <w:t>在“榜单管理 → 计价配置”为模型明确填写单价。费用按任务实际Token、逐样本实测耗时与配置单价估算，不再使用默认单价或按题数推算时延。缺少价格、必要用量或真实耗时时保留空值；估算费用为零时也不授予性价比排名。</w:t>
      </w:r>
    </w:p>
    <w:p>
      <w:r>
        <w:t>每样本估算费用＝任务估算费用÷有效样本数；性价比指数＝综合原始分÷每样本估算费用。计价单位应由运营统一，费用不是供应商账单，采购与结算仍需核对合同和实际账单。</w:t>
      </w:r>
    </w:p>
    <w:p>
      <w:pPr>
        <w:pStyle w:val="Heading2"/>
      </w:pPr>
      <w:r>
        <w:t>22.8 模拟演示数据</w:t>
      </w:r>
    </w:p>
    <w:p>
      <w:r>
        <w:t>顶部切换“模拟演示”，可查看图像、视频、语音和安全可信的虚构模型、六维分数与趋势。页面会明确提示模型、分数、样本数、时延、费用和趋势均为模拟数据；它们不来自真实评分任务，不能作为客户选型或能力认证依据。</w:t>
      </w:r>
    </w:p>
    <w:p>
      <w:r>
        <w:t>模拟数据与真实任务结果分开保存，不参与正式榜单发布，模拟模式下不提供正式榜单管理。切回“真实评测”后只按真实结果展示；模拟分类的数据不表示已有正式多模态评测能力。</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 模型授权与接入额度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r>
        <w:t>平台模型的“共享”只作用于所属企业，不能直接跨企业使用。运营在“企业与成员管理 → 目标企业 → 模型授权”选择平台模型及允许交付的冻结版本，点击“授权所选版本”。客户刷新后才可在“关联已有版本”中选择。支持一次授权多个版本，相同企业与源版本重复授权不产生重复快照。</w:t>
      </w:r>
    </w:p>
    <w:p>
      <w:r>
        <w:t>授权按所选版本交付独立快照，不会自动同步或随源模型停用而撤销；上游凭据不在客户门户显示。运营可在授权列表撤销指定版本，阻止该版本的新评测，并保留历史记录。已有服务若绑定被撤销版本，需改用其他可用版本；撤销不等于取消已运行任务。</w:t>
      </w:r>
    </w:p>
    <w:p>
      <w:pPr>
        <w:pStyle w:val="Heading2"/>
      </w:pPr>
      <w:r>
        <w:t>23.5 客户方准备接入方与模型服务</w:t>
      </w:r>
    </w:p>
    <w:p>
      <w:r>
        <w:t>授权模型表示企业可用的模型资产，冻结模型版本表示该模型某个版本保存的接口配置。模型注册时生成初始版本及快照，访问地址、认证或请求映射等配置更新时会生成新版本和快照。仅登记版本号不一定已有可用冻结配置；冻结配置也不代表锁定供应商实际模型权重。</w:t>
      </w:r>
    </w:p>
    <w:p>
      <w:r>
        <w:t>运营需先按第23.4节将平台模型的指定版本授权到客户企业。客户刷新后在授权模型中选择模型，再选择对应冻结版本。“服务版本名”是对外发布标签，可以与模型版本号不同。例如“客服模型 / V1.0”关联为服务版本“正式版v1”。完成关联后还要配置稳定路由，才具备提交评测的模型服务条件。</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接入方额度为0、模型未授权或未配稳定版本、未交付数据</w:t>
            </w:r>
          </w:p>
        </w:tc>
        <w:tc>
          <w:tcPr>
            <w:tcW w:type="dxa" w:w="4286"/>
          </w:tcPr>
          <w:p>
            <w:pPr>
              <w:keepNext w:val="0"/>
              <w:spacing w:before="60" w:after="60" w:line="271" w:lineRule="auto"/>
            </w:pPr>
            <w:r>
              <w:rPr>
                <w:b w:val="0"/>
                <w:sz w:val="18"/>
              </w:rPr>
              <w:t>按第23章完成接入方、额度、数据与模型授权及关联</w:t>
            </w:r>
          </w:p>
        </w:tc>
      </w:tr>
      <w:tr>
        <w:trPr>
          <w:cantSplit/>
        </w:trPr>
        <w:tc>
          <w:tcPr>
            <w:tcW w:type="dxa" w:w="2191"/>
          </w:tcPr>
          <w:p>
            <w:pPr>
              <w:keepNext w:val="0"/>
              <w:spacing w:before="60" w:after="60" w:line="271" w:lineRule="auto"/>
            </w:pPr>
            <w:r>
              <w:rPr>
                <w:b w:val="0"/>
                <w:sz w:val="18"/>
              </w:rPr>
              <w:t>平台有模型但客户无法关联</w:t>
            </w:r>
          </w:p>
        </w:tc>
        <w:tc>
          <w:tcPr>
            <w:tcW w:type="dxa" w:w="3048"/>
          </w:tcPr>
          <w:p>
            <w:pPr>
              <w:keepNext w:val="0"/>
              <w:spacing w:before="60" w:after="60" w:line="271" w:lineRule="auto"/>
            </w:pPr>
            <w:r>
              <w:rPr>
                <w:b w:val="0"/>
                <w:sz w:val="18"/>
              </w:rPr>
              <w:t>共享范围仅限所属企业，或目标版本未授权</w:t>
            </w:r>
          </w:p>
        </w:tc>
        <w:tc>
          <w:tcPr>
            <w:tcW w:type="dxa" w:w="4286"/>
          </w:tcPr>
          <w:p>
            <w:pPr>
              <w:keepNext w:val="0"/>
              <w:spacing w:before="60" w:after="60" w:line="271" w:lineRule="auto"/>
            </w:pPr>
            <w:r>
              <w:rPr>
                <w:b w:val="0"/>
                <w:sz w:val="18"/>
              </w:rPr>
              <w:t>运营进入目标企业的模型授权，选模型和冻结版本交付；客户刷新后关联并配置稳定路由</w:t>
            </w:r>
          </w:p>
        </w:tc>
      </w:tr>
      <w:tr>
        <w:trPr>
          <w:cantSplit/>
        </w:trPr>
        <w:tc>
          <w:tcPr>
            <w:tcW w:type="dxa" w:w="2191"/>
          </w:tcPr>
          <w:p>
            <w:pPr>
              <w:keepNext w:val="0"/>
              <w:spacing w:before="60" w:after="60" w:line="271" w:lineRule="auto"/>
            </w:pPr>
            <w:r>
              <w:rPr>
                <w:b w:val="0"/>
                <w:sz w:val="18"/>
              </w:rPr>
              <w:t>只有版本号而没有可选冻结版本</w:t>
            </w:r>
          </w:p>
        </w:tc>
        <w:tc>
          <w:tcPr>
            <w:tcW w:type="dxa" w:w="3048"/>
          </w:tcPr>
          <w:p>
            <w:pPr>
              <w:keepNext w:val="0"/>
              <w:spacing w:before="60" w:after="60" w:line="271" w:lineRule="auto"/>
            </w:pPr>
            <w:r>
              <w:rPr>
                <w:b w:val="0"/>
                <w:sz w:val="18"/>
              </w:rPr>
              <w:t>版本缺少可用的接口配置快照</w:t>
            </w:r>
          </w:p>
        </w:tc>
        <w:tc>
          <w:tcPr>
            <w:tcW w:type="dxa" w:w="4286"/>
          </w:tcPr>
          <w:p>
            <w:pPr>
              <w:keepNext w:val="0"/>
              <w:spacing w:before="60" w:after="60" w:line="271" w:lineRule="auto"/>
            </w:pPr>
            <w:r>
              <w:rPr>
                <w:b w:val="0"/>
                <w:sz w:val="18"/>
              </w:rPr>
              <w:t>由模型负责人核对版本可用状态与冻结配置，再由运营授权所需版本</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配置模型api_url并在评测准备中选择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同会话已有活跃Run或运行正被其他执行者持有</w:t>
            </w:r>
          </w:p>
        </w:tc>
        <w:tc>
          <w:tcPr>
            <w:tcW w:type="dxa" w:w="4286"/>
          </w:tcPr>
          <w:p>
            <w:pPr>
              <w:keepNext w:val="0"/>
              <w:spacing w:before="60" w:after="60" w:line="271" w:lineRule="auto"/>
            </w:pPr>
            <w:r>
              <w:rPr>
                <w:b w:val="0"/>
                <w:sz w:val="18"/>
              </w:rPr>
              <w:t>查询现有Run，等待或按需要取消，不并发恢复</w:t>
            </w:r>
          </w:p>
        </w:tc>
      </w:tr>
      <w:tr>
        <w:trPr>
          <w:cantSplit/>
        </w:trPr>
        <w:tc>
          <w:tcPr>
            <w:tcW w:type="dxa" w:w="2191"/>
          </w:tcPr>
          <w:p>
            <w:pPr>
              <w:keepNext w:val="0"/>
              <w:spacing w:before="60" w:after="60" w:line="271" w:lineRule="auto"/>
            </w:pPr>
            <w:r>
              <w:rPr>
                <w:b w:val="0"/>
                <w:sz w:val="18"/>
              </w:rPr>
              <w:t>Runtime一直等待审批</w:t>
            </w:r>
          </w:p>
        </w:tc>
        <w:tc>
          <w:tcPr>
            <w:tcW w:type="dxa" w:w="3048"/>
          </w:tcPr>
          <w:p>
            <w:pPr>
              <w:keepNext w:val="0"/>
              <w:spacing w:before="60" w:after="60" w:line="271" w:lineRule="auto"/>
            </w:pPr>
            <w:r>
              <w:rPr>
                <w:b w:val="0"/>
                <w:sz w:val="18"/>
              </w:rPr>
              <w:t>尚未消费与当前计划匹配的审批</w:t>
            </w:r>
          </w:p>
        </w:tc>
        <w:tc>
          <w:tcPr>
            <w:tcW w:type="dxa" w:w="4286"/>
          </w:tcPr>
          <w:p>
            <w:pPr>
              <w:keepNext w:val="0"/>
              <w:spacing w:before="60" w:after="60" w:line="271" w:lineRule="auto"/>
            </w:pPr>
            <w:r>
              <w:rPr>
                <w:b w:val="0"/>
                <w:sz w:val="18"/>
              </w:rPr>
              <w:t>核对计划，审批并确认执行，不能用恢复按钮代替授权</w:t>
            </w:r>
          </w:p>
        </w:tc>
      </w:tr>
      <w:tr>
        <w:trPr>
          <w:cantSplit/>
        </w:trPr>
        <w:tc>
          <w:tcPr>
            <w:tcW w:type="dxa" w:w="2191"/>
          </w:tcPr>
          <w:p>
            <w:pPr>
              <w:keepNext w:val="0"/>
              <w:spacing w:before="60" w:after="60" w:line="271" w:lineRule="auto"/>
            </w:pPr>
            <w:r>
              <w:rPr>
                <w:b w:val="0"/>
                <w:sz w:val="18"/>
              </w:rPr>
              <w:t>Runtime一直等待任务</w:t>
            </w:r>
          </w:p>
        </w:tc>
        <w:tc>
          <w:tcPr>
            <w:tcW w:type="dxa" w:w="3048"/>
          </w:tcPr>
          <w:p>
            <w:pPr>
              <w:keepNext w:val="0"/>
              <w:spacing w:before="60" w:after="60" w:line="271" w:lineRule="auto"/>
            </w:pPr>
            <w:r>
              <w:rPr>
                <w:b w:val="0"/>
                <w:sz w:val="18"/>
              </w:rPr>
              <w:t>任务未进入终态或后台执行器未运行</w:t>
            </w:r>
          </w:p>
        </w:tc>
        <w:tc>
          <w:tcPr>
            <w:tcW w:type="dxa" w:w="4286"/>
          </w:tcPr>
          <w:p>
            <w:pPr>
              <w:keepNext w:val="0"/>
              <w:spacing w:before="60" w:after="60" w:line="271" w:lineRule="auto"/>
            </w:pPr>
            <w:r>
              <w:rPr>
                <w:b w:val="0"/>
                <w:sz w:val="18"/>
              </w:rPr>
              <w:t>查task_id、任务事件和后台服务，不重复建任务</w:t>
            </w:r>
          </w:p>
        </w:tc>
      </w:tr>
      <w:tr>
        <w:trPr>
          <w:cantSplit/>
        </w:trPr>
        <w:tc>
          <w:tcPr>
            <w:tcW w:type="dxa" w:w="2191"/>
          </w:tcPr>
          <w:p>
            <w:pPr>
              <w:keepNext w:val="0"/>
              <w:spacing w:before="60" w:after="60" w:line="271" w:lineRule="auto"/>
            </w:pPr>
            <w:r>
              <w:rPr>
                <w:b w:val="0"/>
                <w:sz w:val="18"/>
              </w:rPr>
              <w:t>子Agent报subagent_planner_required</w:t>
            </w:r>
          </w:p>
        </w:tc>
        <w:tc>
          <w:tcPr>
            <w:tcW w:type="dxa" w:w="3048"/>
          </w:tcPr>
          <w:p>
            <w:pPr>
              <w:keepNext w:val="0"/>
              <w:spacing w:before="60" w:after="60" w:line="271" w:lineRule="auto"/>
            </w:pPr>
            <w:r>
              <w:rPr>
                <w:b w:val="0"/>
                <w:sz w:val="18"/>
              </w:rPr>
              <w:t>未配置可调用的规划模型</w:t>
            </w:r>
          </w:p>
        </w:tc>
        <w:tc>
          <w:tcPr>
            <w:tcW w:type="dxa" w:w="4286"/>
          </w:tcPr>
          <w:p>
            <w:pPr>
              <w:keepNext w:val="0"/>
              <w:spacing w:before="60" w:after="60" w:line="271" w:lineRule="auto"/>
            </w:pPr>
            <w:r>
              <w:rPr>
                <w:b w:val="0"/>
                <w:sz w:val="18"/>
              </w:rPr>
              <w:t>给会话选择真实规划模型并验证工具调用</w:t>
            </w:r>
          </w:p>
        </w:tc>
      </w:tr>
      <w:tr>
        <w:trPr>
          <w:cantSplit/>
        </w:trPr>
        <w:tc>
          <w:tcPr>
            <w:tcW w:type="dxa" w:w="2191"/>
          </w:tcPr>
          <w:p>
            <w:pPr>
              <w:keepNext w:val="0"/>
              <w:spacing w:before="60" w:after="60" w:line="271" w:lineRule="auto"/>
            </w:pPr>
            <w:r>
              <w:rPr>
                <w:b w:val="0"/>
                <w:sz w:val="18"/>
              </w:rPr>
              <w:t>Agent调用MCP报目录或参数错误</w:t>
            </w:r>
          </w:p>
        </w:tc>
        <w:tc>
          <w:tcPr>
            <w:tcW w:type="dxa" w:w="3048"/>
          </w:tcPr>
          <w:p>
            <w:pPr>
              <w:keepNext w:val="0"/>
              <w:spacing w:before="60" w:after="60" w:line="271" w:lineRule="auto"/>
            </w:pPr>
            <w:r>
              <w:rPr>
                <w:b w:val="0"/>
                <w:sz w:val="18"/>
              </w:rPr>
              <w:t>未启用连接、目录缺失或arguments不符合Schema</w:t>
            </w:r>
          </w:p>
        </w:tc>
        <w:tc>
          <w:tcPr>
            <w:tcW w:type="dxa" w:w="4286"/>
          </w:tcPr>
          <w:p>
            <w:pPr>
              <w:keepNext w:val="0"/>
              <w:spacing w:before="60" w:after="60" w:line="271" w:lineRule="auto"/>
            </w:pPr>
            <w:r>
              <w:rPr>
                <w:b w:val="0"/>
                <w:sz w:val="18"/>
              </w:rPr>
              <w:t>在工具底座获取目录并试用，回会话启用连接，检查实际参数</w:t>
            </w:r>
          </w:p>
        </w:tc>
      </w:tr>
      <w:tr>
        <w:trPr>
          <w:cantSplit/>
        </w:trPr>
        <w:tc>
          <w:tcPr>
            <w:tcW w:type="dxa" w:w="2191"/>
          </w:tcPr>
          <w:p>
            <w:pPr>
              <w:keepNext w:val="0"/>
              <w:spacing w:before="60" w:after="60" w:line="271" w:lineRule="auto"/>
            </w:pPr>
            <w:r>
              <w:rPr>
                <w:b w:val="0"/>
                <w:sz w:val="18"/>
              </w:rPr>
              <w:t>Run结束但目标未核验</w:t>
            </w:r>
          </w:p>
        </w:tc>
        <w:tc>
          <w:tcPr>
            <w:tcW w:type="dxa" w:w="3048"/>
          </w:tcPr>
          <w:p>
            <w:pPr>
              <w:keepNext w:val="0"/>
              <w:spacing w:before="60" w:after="60" w:line="271" w:lineRule="auto"/>
            </w:pPr>
            <w:r>
              <w:rPr>
                <w:b w:val="0"/>
                <w:sz w:val="18"/>
              </w:rPr>
              <w:t>只是对话完成，或试跑、模拟、结果和报告不全</w:t>
            </w:r>
          </w:p>
        </w:tc>
        <w:tc>
          <w:tcPr>
            <w:tcW w:type="dxa" w:w="4286"/>
          </w:tcPr>
          <w:p>
            <w:pPr>
              <w:keepNext w:val="0"/>
              <w:spacing w:before="60" w:after="60" w:line="271" w:lineRule="auto"/>
            </w:pPr>
            <w:r>
              <w:rPr>
                <w:b w:val="0"/>
                <w:sz w:val="18"/>
              </w:rPr>
              <w:t>按第16.6节检查实际任务与逐样本结果</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查询词不匹配、条目过期、租户不同或模型未检索</w:t>
            </w:r>
          </w:p>
        </w:tc>
        <w:tc>
          <w:tcPr>
            <w:tcW w:type="dxa" w:w="4286"/>
          </w:tcPr>
          <w:p>
            <w:pPr>
              <w:keepNext w:val="0"/>
              <w:spacing w:before="60" w:after="60" w:line="271" w:lineRule="auto"/>
            </w:pPr>
            <w:r>
              <w:rPr>
                <w:b w:val="0"/>
                <w:sz w:val="18"/>
              </w:rPr>
              <w:t>用短关键词验证同租户有效条目，区分Runtime与规则计划的检索路径</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需区分工具底座Skill与编排Skill；Runtime按工具白名单和会话绑定调用</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底座Skill支持workflow链；编排Skill支持受控提示与检索等路径，不执行任意代码</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自定义子Agent已有真实模型工具循环，当前顺序执行；内置事实处理器保留，不开放任意递归并行</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新Run只装载有限近期消息；知识需实际检索，不自动携带全部历史</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Runtime可检索同租户有效知识；规则计划和部分Skill路径不同，不保证全入口召回</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页面预算等于统一总费用限额</w:t>
            </w:r>
          </w:p>
        </w:tc>
        <w:tc>
          <w:tcPr>
            <w:tcW w:type="dxa" w:w="6191"/>
          </w:tcPr>
          <w:p>
            <w:pPr>
              <w:keepNext w:val="0"/>
              <w:spacing w:before="60" w:after="60" w:line="271" w:lineRule="auto"/>
            </w:pPr>
            <w:r>
              <w:rPr>
                <w:b w:val="0"/>
                <w:sz w:val="18"/>
              </w:rPr>
              <w:t>页面启动会传Run预算，子Agent用量计入父Run；任务预算、企业额度与供应商账单仍分别核对</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榜单费用来自真实用量与配置单价的估算，需与合同和账单核对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task:list；各动作以接口授权为准</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agent:list、view、invoke、confirm按动作区分；模型调用另查model:invoke及模型ACL，MCP另查resource:invoke和连接访问范围</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leaderboard:view；权重/计价edit，发布publish、撤回withdraw、复核review</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service:list；提交create、报告view、执行与取消run、记录records、企业及模型授权和配额admit、成员添加与空间workspace、密钥credential、模型版本publish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backend/app/services/agent_runtime.py、agent_graph.py、agent_checkpointer.py、agent_worker.py</w:t>
            </w:r>
          </w:p>
        </w:tc>
        <w:tc>
          <w:tcPr>
            <w:tcW w:type="dxa" w:w="6191"/>
          </w:tcPr>
          <w:p>
            <w:pPr>
              <w:keepNext w:val="0"/>
              <w:spacing w:before="60" w:after="60" w:line="271" w:lineRule="auto"/>
            </w:pPr>
            <w:r>
              <w:rPr>
                <w:b w:val="0"/>
                <w:sz w:val="18"/>
              </w:rPr>
              <w:t>LangGraph工具循环、审批等待、checkpoint恢复、后台执行和实测核验</w:t>
            </w:r>
          </w:p>
        </w:tc>
      </w:tr>
      <w:tr>
        <w:trPr>
          <w:cantSplit/>
        </w:trPr>
        <w:tc>
          <w:tcPr>
            <w:tcW w:type="dxa" w:w="3334"/>
          </w:tcPr>
          <w:p>
            <w:pPr>
              <w:keepNext w:val="0"/>
              <w:spacing w:before="60" w:after="60" w:line="271" w:lineRule="auto"/>
            </w:pPr>
            <w:r>
              <w:rPr>
                <w:b w:val="0"/>
                <w:sz w:val="18"/>
              </w:rPr>
              <w:t>backend/app/services/agent_subgraph.py、agent_capabilities.py</w:t>
            </w:r>
          </w:p>
        </w:tc>
        <w:tc>
          <w:tcPr>
            <w:tcW w:type="dxa" w:w="6191"/>
          </w:tcPr>
          <w:p>
            <w:pPr>
              <w:keepNext w:val="0"/>
              <w:spacing w:before="60" w:after="60" w:line="271" w:lineRule="auto"/>
            </w:pPr>
            <w:r>
              <w:rPr>
                <w:b w:val="0"/>
                <w:sz w:val="18"/>
              </w:rPr>
              <w:t>自定义子Agent模型工具循环、工具白名单和编排Skill</w:t>
            </w:r>
          </w:p>
        </w:tc>
      </w:tr>
      <w:tr>
        <w:trPr>
          <w:cantSplit/>
        </w:trPr>
        <w:tc>
          <w:tcPr>
            <w:tcW w:type="dxa" w:w="3334"/>
          </w:tcPr>
          <w:p>
            <w:pPr>
              <w:keepNext w:val="0"/>
              <w:spacing w:before="60" w:after="60" w:line="271" w:lineRule="auto"/>
            </w:pPr>
            <w:r>
              <w:rPr>
                <w:b w:val="0"/>
                <w:sz w:val="18"/>
              </w:rPr>
              <w:t>docs/delivery/LANGGRAPH-MIGRATION.md、evidence/LANGGRAPH-LIVE.json</w:t>
            </w:r>
          </w:p>
        </w:tc>
        <w:tc>
          <w:tcPr>
            <w:tcW w:type="dxa" w:w="6191"/>
          </w:tcPr>
          <w:p>
            <w:pPr>
              <w:keepNext w:val="0"/>
              <w:spacing w:before="60" w:after="60" w:line="271" w:lineRule="auto"/>
            </w:pPr>
            <w:r>
              <w:rPr>
                <w:b w:val="0"/>
                <w:sz w:val="18"/>
              </w:rPr>
              <w:t>Agent迁移边界、隔离回归与真实模型链路证据</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Agent编排 企业评测服务与账号管理</dc:subject>
  <dc:creator>评测平台项目</dc:creator>
  <cp:keywords>评测平台,用户手册,Agent,子Agent,MCP,审批,企业,评测服务</cp:keywords>
  <dc:description>generated by python-docx</dc:description>
  <cp:lastModifiedBy/>
  <cp:revision>1</cp:revision>
  <dcterms:created xsi:type="dcterms:W3CDTF">2013-12-23T23:15:00Z</dcterms:created>
  <dcterms:modified xsi:type="dcterms:W3CDTF">2013-12-23T23:15:00Z</dcterms:modified>
  <cp:category/>
</cp:coreProperties>
</file>