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11EA" w14:textId="0907F3F4" w:rsidR="00E42B6C" w:rsidRPr="006C0451" w:rsidRDefault="00293C08" w:rsidP="006C0451">
      <w:pPr>
        <w:jc w:val="center"/>
        <w:rPr>
          <w:rFonts w:ascii="黑体" w:eastAsia="黑体" w:hAnsi="黑体"/>
          <w:sz w:val="32"/>
          <w:szCs w:val="32"/>
        </w:rPr>
      </w:pPr>
      <w:r w:rsidRPr="006C0451">
        <w:rPr>
          <w:rFonts w:ascii="黑体" w:eastAsia="黑体" w:hAnsi="黑体" w:hint="eastAsia"/>
          <w:sz w:val="32"/>
          <w:szCs w:val="32"/>
        </w:rPr>
        <w:t>收入</w:t>
      </w:r>
      <w:r w:rsidR="008B3D8E" w:rsidRPr="006C0451">
        <w:rPr>
          <w:rFonts w:ascii="黑体" w:eastAsia="黑体" w:hAnsi="黑体" w:hint="eastAsia"/>
          <w:sz w:val="32"/>
          <w:szCs w:val="32"/>
        </w:rPr>
        <w:t>不平等</w:t>
      </w:r>
      <w:r w:rsidR="00E77056">
        <w:rPr>
          <w:rFonts w:ascii="黑体" w:eastAsia="黑体" w:hAnsi="黑体" w:hint="eastAsia"/>
          <w:sz w:val="32"/>
          <w:szCs w:val="32"/>
        </w:rPr>
        <w:t>对</w:t>
      </w:r>
      <w:r w:rsidR="008B3D8E" w:rsidRPr="006C0451">
        <w:rPr>
          <w:rFonts w:ascii="黑体" w:eastAsia="黑体" w:hAnsi="黑体" w:hint="eastAsia"/>
          <w:sz w:val="32"/>
          <w:szCs w:val="32"/>
        </w:rPr>
        <w:t>经济增长</w:t>
      </w:r>
      <w:r w:rsidRPr="006C0451">
        <w:rPr>
          <w:rFonts w:ascii="黑体" w:eastAsia="黑体" w:hAnsi="黑体" w:hint="eastAsia"/>
          <w:sz w:val="32"/>
          <w:szCs w:val="32"/>
        </w:rPr>
        <w:t>的</w:t>
      </w:r>
      <w:r w:rsidR="008B3D8E" w:rsidRPr="006C0451">
        <w:rPr>
          <w:rFonts w:ascii="黑体" w:eastAsia="黑体" w:hAnsi="黑体" w:hint="eastAsia"/>
          <w:sz w:val="32"/>
          <w:szCs w:val="32"/>
        </w:rPr>
        <w:t>影响</w:t>
      </w:r>
    </w:p>
    <w:p w14:paraId="5F0C97A3" w14:textId="2ABACD80" w:rsidR="00E42B6C" w:rsidRPr="006C0451" w:rsidRDefault="006C0451" w:rsidP="006C0451">
      <w:pPr>
        <w:jc w:val="center"/>
        <w:rPr>
          <w:rFonts w:ascii="黑体" w:eastAsia="黑体" w:hAnsi="黑体"/>
          <w:szCs w:val="21"/>
        </w:rPr>
      </w:pPr>
      <w:r w:rsidRPr="006C0451">
        <w:rPr>
          <w:rFonts w:ascii="黑体" w:eastAsia="黑体" w:hAnsi="黑体" w:hint="eastAsia"/>
          <w:szCs w:val="21"/>
        </w:rPr>
        <w:t>数管2</w:t>
      </w:r>
      <w:r w:rsidRPr="006C0451">
        <w:rPr>
          <w:rFonts w:ascii="黑体" w:eastAsia="黑体" w:hAnsi="黑体"/>
          <w:szCs w:val="21"/>
        </w:rPr>
        <w:t>11</w:t>
      </w:r>
      <w:r w:rsidRPr="006C0451">
        <w:rPr>
          <w:rFonts w:ascii="黑体" w:eastAsia="黑体" w:hAnsi="黑体" w:hint="eastAsia"/>
          <w:szCs w:val="21"/>
        </w:rPr>
        <w:t>李佳琪</w:t>
      </w:r>
      <w:r w:rsidRPr="006C0451">
        <w:rPr>
          <w:rFonts w:ascii="黑体" w:eastAsia="黑体" w:hAnsi="黑体"/>
          <w:szCs w:val="21"/>
        </w:rPr>
        <w:t>2110010114</w:t>
      </w:r>
    </w:p>
    <w:p w14:paraId="0273B7A9" w14:textId="0040D268" w:rsidR="00E42B6C" w:rsidRDefault="000A4E8A" w:rsidP="00EA1BDB">
      <w:pPr>
        <w:pStyle w:val="a3"/>
        <w:numPr>
          <w:ilvl w:val="0"/>
          <w:numId w:val="1"/>
        </w:numPr>
        <w:ind w:firstLineChars="0"/>
      </w:pPr>
      <w:r>
        <w:rPr>
          <w:rFonts w:hint="eastAsia"/>
        </w:rPr>
        <w:t>引言</w:t>
      </w:r>
    </w:p>
    <w:p w14:paraId="7C3DBCB9" w14:textId="65E7DE3E" w:rsidR="00AA79E5" w:rsidRPr="006878E7" w:rsidRDefault="00AA79E5" w:rsidP="006878E7">
      <w:pPr>
        <w:ind w:firstLineChars="200" w:firstLine="420"/>
      </w:pPr>
      <w:r w:rsidRPr="006878E7">
        <w:rPr>
          <w:rFonts w:hint="eastAsia"/>
        </w:rPr>
        <w:t>经济对于一个国家来说十分重要。</w:t>
      </w:r>
      <w:r w:rsidRPr="006878E7">
        <w:t>美国在成为超级大国之前，也是借助第一次世界大战首先成为的一个经济大国，在良好的经济基础上，才成为了一个军事强国、法制强国。经济在军事中的作用非常强大，一个国家在军事上的经济投入对其军事力量有重大影响，对国家国际地位的提高，也有非常重要的意义。这是万物发展的逻辑规律，是一个国家发展的</w:t>
      </w:r>
      <w:r w:rsidRPr="006878E7">
        <w:rPr>
          <w:rFonts w:hint="eastAsia"/>
        </w:rPr>
        <w:t>必须前提条件，所以说只有经济强大了，才能够发展军事，只有军事强大了，才能够维护本国的利益，由此可见，经济不仅是军事发展的前提，更是国家发展的前提。</w:t>
      </w:r>
    </w:p>
    <w:p w14:paraId="6AC26575" w14:textId="5235FD28" w:rsidR="00E42B6C" w:rsidRPr="006878E7" w:rsidRDefault="00AA79E5" w:rsidP="006878E7">
      <w:pPr>
        <w:ind w:firstLineChars="200" w:firstLine="420"/>
      </w:pPr>
      <w:r w:rsidRPr="006878E7">
        <w:rPr>
          <w:rFonts w:hint="eastAsia"/>
        </w:rPr>
        <w:t>党的十八大以来，我国经济持续较快发展，经济增速大大高于世界平均水平，经济总量稳居世界第2位，制造大国地位日益巩固，贸易大国地位不断提升，经济实力显著增强。</w:t>
      </w:r>
    </w:p>
    <w:p w14:paraId="0C811C4F" w14:textId="1BC5C579" w:rsidR="00AA79E5" w:rsidRPr="006878E7" w:rsidRDefault="00AA79E5" w:rsidP="006878E7">
      <w:pPr>
        <w:ind w:firstLineChars="200" w:firstLine="420"/>
      </w:pPr>
      <w:r w:rsidRPr="006878E7">
        <w:rPr>
          <w:rFonts w:hint="eastAsia"/>
        </w:rPr>
        <w:t>2013—2021年，我国经济年均增长6.6%，大大高于2.6%的同期世界平均增速，也高于3.7%的发展中经济体平均增速，经济增长率居世界主要经济体前列。2020年，面对新冠肺炎疫情严重冲击，我国经济增长2.2%，是主要经济体中唯一保持正增长的国家。2013—2021年，我国对世界经济增长的平均贡献率达到38.6%，超过G7国家贡献率的总和，是推动世界经济增长的第一动力。</w:t>
      </w:r>
    </w:p>
    <w:p w14:paraId="7D055772" w14:textId="29439BE7" w:rsidR="00AA79E5" w:rsidRPr="006878E7" w:rsidRDefault="00AA79E5" w:rsidP="006878E7">
      <w:pPr>
        <w:ind w:firstLineChars="200" w:firstLine="420"/>
      </w:pPr>
      <w:r w:rsidRPr="006878E7">
        <w:rPr>
          <w:rFonts w:hint="eastAsia"/>
        </w:rPr>
        <w:t>2012年以来，我国国内生产总值（GDP）稳居世界第2位，占世界经济总量比重逐年上升。2021年我国GDP达17.7万亿美元，占世界比重达到18.5%，比2012年提高7.2个百分点。我国经济总量与美国的差距明显缩小，且远远高于日本等世界主要经济体。2021年我国GDP相当于美国的77.1%，比2012年提高24.6个百分点，是日本的3.6倍、印度的5.6倍。</w:t>
      </w:r>
    </w:p>
    <w:p w14:paraId="66BB0DDD" w14:textId="16F167A1" w:rsidR="00AA79E5" w:rsidRPr="006878E7" w:rsidRDefault="00AA79E5" w:rsidP="006878E7">
      <w:pPr>
        <w:ind w:firstLineChars="200" w:firstLine="420"/>
        <w:jc w:val="center"/>
      </w:pPr>
      <w:r w:rsidRPr="006878E7">
        <w:rPr>
          <w:noProof/>
        </w:rPr>
        <w:drawing>
          <wp:inline distT="0" distB="0" distL="0" distR="0" wp14:anchorId="01D59E30" wp14:editId="0DEC68C5">
            <wp:extent cx="3010393" cy="1613203"/>
            <wp:effectExtent l="0" t="0" r="0" b="6350"/>
            <wp:docPr id="1511228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925" cy="1620454"/>
                    </a:xfrm>
                    <a:prstGeom prst="rect">
                      <a:avLst/>
                    </a:prstGeom>
                    <a:noFill/>
                    <a:ln>
                      <a:noFill/>
                    </a:ln>
                  </pic:spPr>
                </pic:pic>
              </a:graphicData>
            </a:graphic>
          </wp:inline>
        </w:drawing>
      </w:r>
    </w:p>
    <w:p w14:paraId="32B7FAE5" w14:textId="5D0034A0" w:rsidR="006878E7" w:rsidRDefault="006878E7" w:rsidP="006878E7">
      <w:pPr>
        <w:ind w:firstLineChars="200" w:firstLine="420"/>
      </w:pPr>
      <w:r w:rsidRPr="006878E7">
        <w:rPr>
          <w:rFonts w:hint="eastAsia"/>
        </w:rPr>
        <w:t>与此同时，收入不平等问题也在日益显著。</w:t>
      </w:r>
      <w:r w:rsidRPr="006878E7">
        <w:t>收入不平等是一个社会公平性的重要指标，可能对经济稳定性和经济增长产生复杂的影响。一方面，适度的收入不平等可以激励个人和企业的努力，促进资源的有效配置和创新，从而推动经济增长。另一方面，过高的收入不平等可能导致资源分配的不均衡，限制底层人口的消费和投资能力，从而抑制经济增长。此外，过高的收入不平等还会导致社会不满情绪的增加，社会动荡的风险增加，从而对经济稳定产生负面影响。</w:t>
      </w:r>
    </w:p>
    <w:p w14:paraId="70F1D025" w14:textId="19CCF254" w:rsidR="00E42B6C" w:rsidRDefault="00A87FF1" w:rsidP="00A87FF1">
      <w:pPr>
        <w:ind w:firstLineChars="200" w:firstLine="420"/>
        <w:jc w:val="center"/>
      </w:pPr>
      <w:r>
        <w:rPr>
          <w:noProof/>
        </w:rPr>
        <w:lastRenderedPageBreak/>
        <w:drawing>
          <wp:inline distT="0" distB="0" distL="0" distR="0" wp14:anchorId="7D652F9F" wp14:editId="645DEAFA">
            <wp:extent cx="3158176" cy="2200155"/>
            <wp:effectExtent l="0" t="0" r="4445" b="0"/>
            <wp:docPr id="5128410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725" cy="2210988"/>
                    </a:xfrm>
                    <a:prstGeom prst="rect">
                      <a:avLst/>
                    </a:prstGeom>
                    <a:noFill/>
                    <a:ln>
                      <a:noFill/>
                    </a:ln>
                  </pic:spPr>
                </pic:pic>
              </a:graphicData>
            </a:graphic>
          </wp:inline>
        </w:drawing>
      </w:r>
      <w:r w:rsidR="003E6AA4">
        <w:rPr>
          <w:rFonts w:hint="eastAsia"/>
        </w:rPr>
        <w:t>、</w:t>
      </w:r>
    </w:p>
    <w:p w14:paraId="1D006891" w14:textId="28F21AE9" w:rsidR="003E6AA4" w:rsidRPr="006C0451" w:rsidRDefault="003E6AA4" w:rsidP="006C0451">
      <w:pPr>
        <w:ind w:firstLineChars="200" w:firstLine="420"/>
      </w:pPr>
      <w:r w:rsidRPr="006C0451">
        <w:t>在库兹涅茨之后，国外很多学者对收入分配和经济增长二者关系这一领域的研究都在围绕着这一经典理论。F.Paukert基于56个国家的数据，用基尼系数作为度量居民收入不平等的指标，结果显示基尼系数的大小与人均国内生产总值二者呈“倒U”的关系。</w:t>
      </w:r>
    </w:p>
    <w:p w14:paraId="7544A104" w14:textId="5C6E939F" w:rsidR="003E6AA4" w:rsidRPr="006C0451" w:rsidRDefault="003E6AA4" w:rsidP="006C0451">
      <w:pPr>
        <w:ind w:firstLineChars="200" w:firstLine="420"/>
      </w:pPr>
      <w:r w:rsidRPr="006C0451">
        <w:t>Ravallion表示收入分配、经济增长与贫困之间的关系错综复杂。除了经济增长会影响贫困程度以外，收入分配同样也影响贫困程度。但是，学者们在经济增长是否能够降低贫困程度这个问题上持不一样的立场。一些学者表示，如果在经济增长期，贫困人口的收入也有所提高，那么经济增长就可以降低贫困程度。而另一些学者表示，要把贫困降低指数和社会平均收入增长率的乘积用来作为判断经济增长是否能够降低贫困程度的标准。还有部分学者提出，经济增长如果是在保持收入分配要素完全不变的情况下，那么这种经济增长所带来的降低贫困的效果是和现实中的经济增长降低贫困的效果是一样的，并且是一种较为理想的降低贫困程度的经济增长方式。</w:t>
      </w:r>
    </w:p>
    <w:p w14:paraId="50E64EE7" w14:textId="4C305549" w:rsidR="003E6AA4" w:rsidRPr="006C0451" w:rsidRDefault="003E6AA4" w:rsidP="006C0451">
      <w:pPr>
        <w:ind w:firstLineChars="200" w:firstLine="420"/>
      </w:pPr>
      <w:r w:rsidRPr="006C0451">
        <w:t>我国的收入不平等问题在改革开放之前并不突出，而在改革开放之后，收入分配不平等问题逐渐明显，从而得到国内学者的热切关注。</w:t>
      </w:r>
    </w:p>
    <w:p w14:paraId="69FBFF01" w14:textId="5B6A74C0" w:rsidR="00E42B6C" w:rsidRPr="003E6AA4" w:rsidRDefault="003E6AA4" w:rsidP="00EA1BDB">
      <w:pPr>
        <w:ind w:firstLineChars="200" w:firstLine="420"/>
      </w:pPr>
      <w:r w:rsidRPr="006C0451">
        <w:t>尹恒利用政治经济模型研究收入分配问题时发现在政治制度维持经济稳定时，收入差距越大，资本的税率就越高。李新明(2009)就全国农民内部收入不平等问题构建了经济增长和收入差距的计量模型，并利用非平稳时间序列方法，对收入差距和经济增长的关系展开研究，研究表明将国际规定的基尼系数为0.4的时候作为警戒线，如果将这一警戒线同样用于我国是不合适的。因为数据可获得性的限制，作者仅仅在理论上定性分析了国家政策制度对农民收入的影响。杨定华、封文华(2019)基于省级面板数据，采用系统GMM估计法，对城乡收入不平等的直接影响和影响机制进行实证分析，分析结果为：我国城乡收入不平等存在着地区上的差异，并且这个差异是呈“倒U”型的。而且就目前阶段来说，城乡收入差距的扩大会使得经济波动更加剧烈。</w:t>
      </w:r>
    </w:p>
    <w:p w14:paraId="0372C3E0" w14:textId="0F7AEFCE" w:rsidR="00E42B6C" w:rsidRDefault="000A4E8A" w:rsidP="00A87FF1">
      <w:pPr>
        <w:pStyle w:val="a3"/>
        <w:numPr>
          <w:ilvl w:val="0"/>
          <w:numId w:val="1"/>
        </w:numPr>
        <w:ind w:firstLineChars="0"/>
      </w:pPr>
      <w:r>
        <w:rPr>
          <w:rFonts w:hint="eastAsia"/>
        </w:rPr>
        <w:t>文献回顾</w:t>
      </w:r>
    </w:p>
    <w:p w14:paraId="64D11B2D" w14:textId="05FA57D9" w:rsidR="00E42B6C" w:rsidRDefault="00E42B6C" w:rsidP="00A87FF1">
      <w:pPr>
        <w:pStyle w:val="a3"/>
        <w:numPr>
          <w:ilvl w:val="0"/>
          <w:numId w:val="5"/>
        </w:numPr>
        <w:ind w:firstLineChars="0"/>
      </w:pPr>
      <w:r>
        <w:t>收入不平等的定义和测量方法</w:t>
      </w:r>
    </w:p>
    <w:p w14:paraId="6CDA18E7" w14:textId="0EB1F2DB" w:rsidR="00A87FF1" w:rsidRPr="006C0451" w:rsidRDefault="003E6AA4" w:rsidP="006C0451">
      <w:pPr>
        <w:ind w:firstLineChars="200" w:firstLine="420"/>
      </w:pPr>
      <w:r w:rsidRPr="006C0451">
        <w:t>收入不平等是指收入分配不平均，也可以说是存在收入差距。根据古典经济理论，收入是社会再生产当中生产要素分配的要素报酬。不平等包括相对不平等和绝对不平等。当社会经济平均增速比贫困人口收入增速大时，收入相对不平等会加剧；当社会经济平均增长的绝对值比贫困人口收入增长的绝对值大时，绝对不平等会扩大。</w:t>
      </w:r>
    </w:p>
    <w:p w14:paraId="48C913BC" w14:textId="77C9EB02" w:rsidR="003E6AA4" w:rsidRPr="006C0451" w:rsidRDefault="003E6AA4" w:rsidP="006C0451">
      <w:pPr>
        <w:ind w:firstLineChars="200" w:firstLine="420"/>
      </w:pPr>
      <w:r w:rsidRPr="006C0451">
        <w:t>部分学者以生产要素价格的形成来研究生产要素分配问题，而有部分学者选择了不同经济单位的分配现状作为研究对象。库兹涅茨在1955年提出“倒U型”假说，该假说是以经验为依据。从此，学者们不断开始并且深入对收入分配的研究。各个国家的学者们之所以非常关心收入分配的问题，是因为收入差距可以评价社会分配当中是否存在不公平现象，生活水</w:t>
      </w:r>
      <w:r w:rsidRPr="006C0451">
        <w:lastRenderedPageBreak/>
        <w:t>平差异是否得到改善。</w:t>
      </w:r>
    </w:p>
    <w:p w14:paraId="18EAB893" w14:textId="151F8B63" w:rsidR="003E6AA4" w:rsidRPr="006C0451" w:rsidRDefault="003E6AA4" w:rsidP="006C0451">
      <w:pPr>
        <w:ind w:firstLineChars="200" w:firstLine="420"/>
      </w:pPr>
      <w:r w:rsidRPr="006C0451">
        <w:t>评价收入不平等的指标非常多，研究收入不平等的文献度量收入不平等的方法主要有：基尼系数、收入极差、广义熵指数、加权变异系数、泰尔指数以及阿肯森指数等。祝伟(2010)对收入不平等的界定与衡量主要采用比重/比值法、方差、变异系数、洛伦兹曲线与基尼系数。操君、袁鹏飞、王磊(2015)基于中国综合社会调查数据，采用基尼系数、阿肯森指数以及泰尔L指数和泰尔T指数多种方法对我国城乡居民收入不平等进行度量</w:t>
      </w:r>
      <w:r w:rsidRPr="006C0451">
        <w:rPr>
          <w:rFonts w:hint="eastAsia"/>
        </w:rPr>
        <w:t>。</w:t>
      </w:r>
    </w:p>
    <w:p w14:paraId="0203C906" w14:textId="76330B0F" w:rsidR="003E6AA4" w:rsidRDefault="003E6AA4" w:rsidP="006C0451">
      <w:pPr>
        <w:ind w:firstLineChars="200" w:firstLine="420"/>
      </w:pPr>
      <w:r w:rsidRPr="006C0451">
        <w:t>经济领域的学者们一直试图基于回归分析为对收入不平等进行分解，Oaxaca和Blinder最早提出这一方法。随后有学者对这一方法展开研究，在近期的研究中，Fields与Sicular在最基本的关于收入的回归方程上提出了分解收入不平等的新思路。然而国内在这一领域有一定建树的学者——万广华则认为，当前的基于回归分析的不平等指数分解仍有三点不足：首先，回归方程的形式要求非常严格；其次，在对不平等进行度量的方法上也有限制；最后，现有方法的缺陷要么被忽略要么就是被认为是不能得以解决的。针对这三方面的不足，万广华根据夏普里理论，推导出简单有效的基于回归分析的不平等指数分解方法。杨栋会(2009)以云南布朗山乡为研究对象运用基于回归分析的Shapley值分解的方法，研究西南地区农村少数民族收入不均的最主要的因素。该研究的创新之处是将民族特征、毒品、宗教三项指标也纳入数学模型中，客观分析这三项指标对研究地区收入不平等的影响。费舒澜(2014)在研究中国城乡收入差距成因中，运用基于无条件分位回归模型的分布方法对中国城乡居民收入差距进行分解，分析不同分位上禀赋和回报差异对收入不平等的贡献。</w:t>
      </w:r>
    </w:p>
    <w:p w14:paraId="450C6D08" w14:textId="7B1F7876" w:rsidR="00E42B6C" w:rsidRDefault="00E42B6C" w:rsidP="00A87FF1">
      <w:pPr>
        <w:pStyle w:val="a3"/>
        <w:numPr>
          <w:ilvl w:val="0"/>
          <w:numId w:val="5"/>
        </w:numPr>
        <w:ind w:firstLineChars="0"/>
      </w:pPr>
      <w:r>
        <w:t>收入不平等与经济增长的理论观点</w:t>
      </w:r>
    </w:p>
    <w:p w14:paraId="328058E1" w14:textId="032D41B6" w:rsidR="00A87FF1" w:rsidRPr="006C0451" w:rsidRDefault="00A87FF1" w:rsidP="006C0451">
      <w:pPr>
        <w:ind w:firstLineChars="200" w:firstLine="420"/>
      </w:pPr>
      <w:r w:rsidRPr="006C0451">
        <w:rPr>
          <w:rFonts w:hint="eastAsia"/>
        </w:rPr>
        <w:t>库兹涅茨1955年根据推测和经验提出了经济发展与收入差距变化关系的倒U型曲线假说——库兹涅茨曲线，即国家的收入分配差距随着经济发展水平经历先恶化后改善的变化，并以此获得了1971年诺贝尔经济学奖。库兹涅茨设想了一个农业和非农业两部门模型，探究按部门划分的个体数的比率、部门之间收入的差别和部门内部各方收入分配不平等的程度这三个因素的变化。一国在从农业社会迈入工业社会的初期发展过程中，因生产资源迅速向高收入部门集中，即非农业部门的个体比率加大，居民收入与财富分配不均衡呈加剧趋势；而工业化完成、经济发展达到较高水平后，非农业部门已经占据支配地位，比率变化的影响削弱，部门间收入差异将缩小，叠加再分配政策的应用，收入分配不均现象将会随着经济发展持续改善，直至达到相对平等的分配状况。</w:t>
      </w:r>
    </w:p>
    <w:p w14:paraId="66905739" w14:textId="253E3A0B" w:rsidR="00A87FF1" w:rsidRDefault="00A87FF1" w:rsidP="006C0451">
      <w:pPr>
        <w:jc w:val="center"/>
      </w:pPr>
      <w:r>
        <w:rPr>
          <w:noProof/>
        </w:rPr>
        <w:drawing>
          <wp:inline distT="0" distB="0" distL="0" distR="0" wp14:anchorId="0299A7E7" wp14:editId="15F6E0EC">
            <wp:extent cx="3224158" cy="1783294"/>
            <wp:effectExtent l="0" t="0" r="0" b="7620"/>
            <wp:docPr id="499126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1951" cy="1787605"/>
                    </a:xfrm>
                    <a:prstGeom prst="rect">
                      <a:avLst/>
                    </a:prstGeom>
                    <a:noFill/>
                    <a:ln>
                      <a:noFill/>
                    </a:ln>
                  </pic:spPr>
                </pic:pic>
              </a:graphicData>
            </a:graphic>
          </wp:inline>
        </w:drawing>
      </w:r>
    </w:p>
    <w:p w14:paraId="3F9AF996" w14:textId="77777777" w:rsidR="00A87FF1" w:rsidRPr="006C0451" w:rsidRDefault="00A87FF1" w:rsidP="006C0451">
      <w:pPr>
        <w:ind w:firstLineChars="200" w:firstLine="420"/>
      </w:pPr>
      <w:r w:rsidRPr="006C0451">
        <w:rPr>
          <w:rFonts w:hint="eastAsia"/>
        </w:rPr>
        <w:t>实际上，全球收入与财富分配不均状况大体经历了由加剧、改善、再恶化的过程。世界财富与收入数据库（WID）显示，二十世纪初至1980年代，各经济体收入分配差距确实历经了由加剧到改善的过程，世界大部分经济体收入分配的集中程度在二战前达到峰值，之后逐步减弱，符合库兹涅茨曲线的演变。然而，1980年代以来，各经济体内部收入分化状况未能继续改善，反而重新恶化，并且恶化速度甚至超过此前的改善速度。从总体来看，全球收入排名前1%的人群占据的收入份额从1981年的16.9%增长至2020年的19.3%，收入进一</w:t>
      </w:r>
      <w:r w:rsidRPr="006C0451">
        <w:rPr>
          <w:rFonts w:hint="eastAsia"/>
        </w:rPr>
        <w:lastRenderedPageBreak/>
        <w:t>步向金字塔尖人群倾斜，导致财富份额加速分化。</w:t>
      </w:r>
    </w:p>
    <w:p w14:paraId="7E932458" w14:textId="0ADEF743" w:rsidR="00E42B6C" w:rsidRDefault="00A87FF1" w:rsidP="000D7A73">
      <w:pPr>
        <w:ind w:firstLineChars="200" w:firstLine="420"/>
      </w:pPr>
      <w:r w:rsidRPr="006C0451">
        <w:rPr>
          <w:rFonts w:hint="eastAsia"/>
        </w:rPr>
        <w:t>12.2%的人掌握了85%的财富。19世纪末20世纪初的意大利经济学家帕累托根据当时意大利20%人口拥有80%的财富，推论得出了二八定律，重要的因子通常只占少数，即结果、产出和报酬的80%往往取决于20%的原因、投入和产出，但近年来二八定律已不复存在。在新冠疫情推升贫富差距的背景下，根据瑞士信贷《全球财富报告2021》，2020年全球12.2%的成人人口拥有84.9%的财富，财富差距极其悬殊。</w:t>
      </w:r>
    </w:p>
    <w:p w14:paraId="1959AAAF" w14:textId="19E5FC17" w:rsidR="009632D6" w:rsidRPr="009632D6" w:rsidRDefault="009632D6" w:rsidP="009632D6">
      <w:pPr>
        <w:ind w:firstLineChars="200" w:firstLine="420"/>
        <w:rPr>
          <w:rFonts w:hint="eastAsia"/>
        </w:rPr>
      </w:pPr>
      <w:r>
        <w:rPr>
          <w:rFonts w:hint="eastAsia"/>
        </w:rPr>
        <w:t>此外，</w:t>
      </w:r>
      <w:r w:rsidRPr="009632D6">
        <w:rPr>
          <w:rFonts w:hint="eastAsia"/>
        </w:rPr>
        <w:t>基尼系数是衡量居民间收入差距的综合指标。该指标由意大利经济学家基尼在</w:t>
      </w:r>
      <w:r w:rsidRPr="009632D6">
        <w:t>20</w:t>
      </w:r>
      <w:r w:rsidRPr="009632D6">
        <w:rPr>
          <w:rFonts w:hint="eastAsia"/>
        </w:rPr>
        <w:t>世纪初提出。社会中每个人的收入都一样、收入分配绝对平均时，基尼系数是</w:t>
      </w:r>
      <w:r w:rsidRPr="009632D6">
        <w:t>0</w:t>
      </w:r>
      <w:r w:rsidRPr="009632D6">
        <w:rPr>
          <w:rFonts w:hint="eastAsia"/>
        </w:rPr>
        <w:t>。全社会的收入都集中于</w:t>
      </w:r>
      <w:r w:rsidRPr="009632D6">
        <w:t>1</w:t>
      </w:r>
      <w:r w:rsidRPr="009632D6">
        <w:rPr>
          <w:rFonts w:hint="eastAsia"/>
        </w:rPr>
        <w:t>个人、收入分配绝对不平均时，基尼系数是</w:t>
      </w:r>
      <w:r w:rsidRPr="009632D6">
        <w:t>1</w:t>
      </w:r>
      <w:r w:rsidRPr="009632D6">
        <w:rPr>
          <w:rFonts w:hint="eastAsia"/>
        </w:rPr>
        <w:t>。现实生活中，两种情况都不可能发生。每个人的收入有多有少，差距大时，基尼系数就高，差距小时，基尼系数就低。基尼系数是根据洛伦茨曲线，即收入分布曲线计算的。</w:t>
      </w:r>
    </w:p>
    <w:p w14:paraId="1FF5C54E" w14:textId="7934A5D9" w:rsidR="009632D6" w:rsidRPr="009632D6" w:rsidRDefault="009632D6" w:rsidP="009632D6">
      <w:pPr>
        <w:ind w:firstLineChars="200" w:firstLine="420"/>
        <w:rPr>
          <w:rFonts w:hint="eastAsia"/>
        </w:rPr>
      </w:pPr>
      <w:r w:rsidRPr="009632D6">
        <w:rPr>
          <w:rFonts w:hint="eastAsia"/>
        </w:rPr>
        <w:t>基尼系数是反映居民之间贫富差异程度的常用统计指标，较全面客观地反映居民之间的贫富差距，能预报、预警居民之间出现贫富两极分化。国际上并没有一个组织或教科书给出最适合的基尼系数标准。但有不少人认为基尼系数小于</w:t>
      </w:r>
      <w:r w:rsidRPr="009632D6">
        <w:t>0.2</w:t>
      </w:r>
      <w:r w:rsidRPr="009632D6">
        <w:rPr>
          <w:rFonts w:hint="eastAsia"/>
        </w:rPr>
        <w:t>时，居民收入过于平均，</w:t>
      </w:r>
      <w:r w:rsidRPr="009632D6">
        <w:t>0.2-0.3</w:t>
      </w:r>
      <w:r w:rsidRPr="009632D6">
        <w:rPr>
          <w:rFonts w:hint="eastAsia"/>
        </w:rPr>
        <w:t>之间时较为平均，</w:t>
      </w:r>
      <w:r w:rsidRPr="009632D6">
        <w:t>0.3-0.4</w:t>
      </w:r>
      <w:r w:rsidRPr="009632D6">
        <w:rPr>
          <w:rFonts w:hint="eastAsia"/>
        </w:rPr>
        <w:t>之间时比较合理，</w:t>
      </w:r>
      <w:r w:rsidRPr="009632D6">
        <w:t>0.4-0.5</w:t>
      </w:r>
      <w:r w:rsidRPr="009632D6">
        <w:rPr>
          <w:rFonts w:hint="eastAsia"/>
        </w:rPr>
        <w:t>时差距过大，大于</w:t>
      </w:r>
      <w:r w:rsidRPr="009632D6">
        <w:t>0.5</w:t>
      </w:r>
      <w:r w:rsidRPr="009632D6">
        <w:rPr>
          <w:rFonts w:hint="eastAsia"/>
        </w:rPr>
        <w:t>时差距悬殊。通常而言，与面积或人口较小的国家相比，地域辽阔、人口众多和自然环境差异较大国家的基尼系数会高一些；经济处于起步阶段或工业化前期的国家，基尼系数要大一些；而发达经济体特别是实施高福利政策国家的基尼系数要小一些。</w:t>
      </w:r>
    </w:p>
    <w:p w14:paraId="65D20514" w14:textId="73FF5BAB" w:rsidR="009632D6" w:rsidRPr="009632D6" w:rsidRDefault="009632D6" w:rsidP="009632D6">
      <w:pPr>
        <w:ind w:firstLineChars="200" w:firstLine="420"/>
        <w:jc w:val="center"/>
        <w:rPr>
          <w:rFonts w:hint="eastAsia"/>
        </w:rPr>
      </w:pPr>
      <w:r w:rsidRPr="009632D6">
        <w:drawing>
          <wp:inline distT="0" distB="0" distL="0" distR="0" wp14:anchorId="266C9ED7" wp14:editId="6D826F43">
            <wp:extent cx="3150606" cy="1902274"/>
            <wp:effectExtent l="0" t="0" r="0" b="3175"/>
            <wp:docPr id="621111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11669" name=""/>
                    <pic:cNvPicPr/>
                  </pic:nvPicPr>
                  <pic:blipFill>
                    <a:blip r:embed="rId10"/>
                    <a:stretch>
                      <a:fillRect/>
                    </a:stretch>
                  </pic:blipFill>
                  <pic:spPr>
                    <a:xfrm>
                      <a:off x="0" y="0"/>
                      <a:ext cx="3156991" cy="1906129"/>
                    </a:xfrm>
                    <a:prstGeom prst="rect">
                      <a:avLst/>
                    </a:prstGeom>
                  </pic:spPr>
                </pic:pic>
              </a:graphicData>
            </a:graphic>
          </wp:inline>
        </w:drawing>
      </w:r>
    </w:p>
    <w:p w14:paraId="6DE62DD7" w14:textId="6468D738" w:rsidR="00E42B6C" w:rsidRDefault="00E42B6C" w:rsidP="00A87FF1">
      <w:pPr>
        <w:pStyle w:val="a3"/>
        <w:numPr>
          <w:ilvl w:val="0"/>
          <w:numId w:val="1"/>
        </w:numPr>
        <w:ind w:firstLineChars="0"/>
      </w:pPr>
      <w:r>
        <w:t>收入不平等与经济增长的实证研究</w:t>
      </w:r>
    </w:p>
    <w:p w14:paraId="1AAF2FA4" w14:textId="77777777" w:rsidR="00E67AA9" w:rsidRDefault="00E42B6C" w:rsidP="00E67AA9">
      <w:pPr>
        <w:pStyle w:val="a3"/>
        <w:numPr>
          <w:ilvl w:val="0"/>
          <w:numId w:val="7"/>
        </w:numPr>
        <w:ind w:firstLineChars="0"/>
      </w:pPr>
      <w:r>
        <w:t>数据来源和变量选择</w:t>
      </w:r>
    </w:p>
    <w:p w14:paraId="30CCE046" w14:textId="4D8EE399" w:rsidR="00E67AA9" w:rsidRDefault="003126A7" w:rsidP="00E67AA9">
      <w:pPr>
        <w:ind w:firstLine="314"/>
      </w:pPr>
      <w:r>
        <w:t>本文数据根据各年度《中国统计年鉴》整理得到</w:t>
      </w:r>
      <w:r>
        <w:rPr>
          <w:rFonts w:ascii="等线" w:eastAsia="等线" w:hAnsi="等线" w:cs="等线" w:hint="eastAsia"/>
        </w:rPr>
        <w:t>时间跨度为</w:t>
      </w:r>
      <w:r>
        <w:t>1982～2004年</w:t>
      </w:r>
      <w:r w:rsidR="00E67AA9">
        <w:rPr>
          <w:rFonts w:hint="eastAsia"/>
        </w:rPr>
        <w:t>。</w:t>
      </w:r>
    </w:p>
    <w:p w14:paraId="4D72EC80" w14:textId="783ADF24" w:rsidR="00E67AA9" w:rsidRDefault="00E67AA9" w:rsidP="00E67AA9">
      <w:pPr>
        <w:pStyle w:val="a3"/>
        <w:numPr>
          <w:ilvl w:val="0"/>
          <w:numId w:val="7"/>
        </w:numPr>
        <w:ind w:firstLineChars="0"/>
      </w:pPr>
      <w:r>
        <w:t>经济指标及数据说明</w:t>
      </w:r>
    </w:p>
    <w:p w14:paraId="3FA300F5" w14:textId="77777777" w:rsidR="003126A7" w:rsidRDefault="00E67AA9" w:rsidP="00E67AA9">
      <w:pPr>
        <w:pStyle w:val="a3"/>
        <w:numPr>
          <w:ilvl w:val="0"/>
          <w:numId w:val="8"/>
        </w:numPr>
        <w:ind w:firstLineChars="0"/>
      </w:pPr>
      <w:r>
        <w:t>城镇居民收入基尼系数的增长率（GENI）。</w:t>
      </w:r>
    </w:p>
    <w:p w14:paraId="1341E24F" w14:textId="77777777" w:rsidR="000D7A73" w:rsidRDefault="00E67AA9" w:rsidP="003126A7">
      <w:pPr>
        <w:rPr>
          <w:rFonts w:ascii="等线" w:eastAsia="等线" w:hAnsi="等线" w:cs="等线"/>
        </w:rPr>
      </w:pPr>
      <w:r>
        <w:t>本文根据我国各年度城镇居民家庭状况调查中各收入组的收入比重及人口比重</w:t>
      </w:r>
      <w:r w:rsidR="003126A7">
        <w:rPr>
          <w:rFonts w:ascii="等线" w:eastAsia="等线" w:hAnsi="等线" w:cs="等线" w:hint="eastAsia"/>
        </w:rPr>
        <w:t>，</w:t>
      </w:r>
      <w:r w:rsidRPr="003126A7">
        <w:rPr>
          <w:rFonts w:ascii="等线" w:eastAsia="等线" w:hAnsi="等线" w:cs="等线" w:hint="eastAsia"/>
        </w:rPr>
        <w:t>采用上梯形面积法计</w:t>
      </w:r>
      <w:r>
        <w:t>算城镇居民收入基尼系数</w:t>
      </w:r>
      <w:r w:rsidR="003126A7">
        <w:rPr>
          <w:rFonts w:hint="eastAsia"/>
        </w:rPr>
        <w:t>。</w:t>
      </w:r>
      <w:r w:rsidRPr="003126A7">
        <w:rPr>
          <w:rFonts w:ascii="等线" w:eastAsia="等线" w:hAnsi="等线" w:cs="等线" w:hint="eastAsia"/>
        </w:rPr>
        <w:t>具体计算公式如下：</w:t>
      </w:r>
    </w:p>
    <w:p w14:paraId="10E362FD" w14:textId="357CE3F4" w:rsidR="003126A7" w:rsidRDefault="000D7A73" w:rsidP="000D7A73">
      <w:pPr>
        <w:jc w:val="center"/>
      </w:pPr>
      <w:r w:rsidRPr="006A7B51">
        <w:rPr>
          <w:position w:val="-28"/>
        </w:rPr>
        <w:object w:dxaOrig="2640" w:dyaOrig="680" w14:anchorId="20C04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pt;height:33.85pt" o:ole="">
            <v:imagedata r:id="rId11" o:title=""/>
          </v:shape>
          <o:OLEObject Type="Embed" ProgID="Equation.DSMT4" ShapeID="_x0000_i1025" DrawAspect="Content" ObjectID="_1750703034" r:id="rId12"/>
        </w:object>
      </w:r>
      <w:r w:rsidR="00E67AA9">
        <w:t>（1）</w:t>
      </w:r>
    </w:p>
    <w:p w14:paraId="2DB4656F" w14:textId="71FCD0B0" w:rsidR="00E67AA9" w:rsidRDefault="00E67AA9" w:rsidP="003126A7">
      <w:r>
        <w:t>其中</w:t>
      </w:r>
      <w:r w:rsidR="003126A7">
        <w:rPr>
          <w:rFonts w:ascii="等线" w:eastAsia="等线" w:hAnsi="等线" w:cs="等线" w:hint="eastAsia"/>
        </w:rPr>
        <w:t>，</w:t>
      </w:r>
      <w:r w:rsidR="000D7A73">
        <w:t>i</w:t>
      </w:r>
      <w:r>
        <w:t>＝1、2…7</w:t>
      </w:r>
      <w:r w:rsidR="003126A7">
        <w:rPr>
          <w:rFonts w:ascii="等线" w:eastAsia="等线" w:hAnsi="等线" w:cs="等线" w:hint="eastAsia"/>
        </w:rPr>
        <w:t>，</w:t>
      </w:r>
      <w:r>
        <w:t>分别代表最低收入组、低收入组、中等偏下收入组、中等收入组、中等偏上收入组、高收入组和最高收入组；</w:t>
      </w:r>
      <w:r w:rsidR="000D7A73" w:rsidRPr="006A7B51">
        <w:rPr>
          <w:position w:val="-12"/>
        </w:rPr>
        <w:object w:dxaOrig="260" w:dyaOrig="360" w14:anchorId="6CE10E31">
          <v:shape id="_x0000_i1026" type="#_x0000_t75" style="width:12.85pt;height:18.2pt" o:ole="">
            <v:imagedata r:id="rId13" o:title=""/>
          </v:shape>
          <o:OLEObject Type="Embed" ProgID="Equation.DSMT4" ShapeID="_x0000_i1026" DrawAspect="Content" ObjectID="_1750703035" r:id="rId14"/>
        </w:object>
      </w:r>
      <w:r>
        <w:t>为第i收入组的累计人口比重；</w:t>
      </w:r>
      <w:r w:rsidR="000D7A73" w:rsidRPr="006A7B51">
        <w:rPr>
          <w:position w:val="-12"/>
        </w:rPr>
        <w:object w:dxaOrig="240" w:dyaOrig="360" w14:anchorId="27F9BDD2">
          <v:shape id="_x0000_i1027" type="#_x0000_t75" style="width:12.1pt;height:18.2pt" o:ole="">
            <v:imagedata r:id="rId15" o:title=""/>
          </v:shape>
          <o:OLEObject Type="Embed" ProgID="Equation.DSMT4" ShapeID="_x0000_i1027" DrawAspect="Content" ObjectID="_1750703036" r:id="rId16"/>
        </w:object>
      </w:r>
      <w:r>
        <w:t>为第</w:t>
      </w:r>
      <w:r w:rsidR="000D7A73">
        <w:rPr>
          <w:rFonts w:hint="eastAsia"/>
        </w:rPr>
        <w:t>i</w:t>
      </w:r>
      <w:r>
        <w:t>收入组的累计收入比重。在获得各年度城镇居民收入基尼系数的基础上</w:t>
      </w:r>
      <w:r w:rsidR="003126A7">
        <w:rPr>
          <w:rFonts w:ascii="等线" w:eastAsia="等线" w:hAnsi="等线" w:cs="等线" w:hint="eastAsia"/>
        </w:rPr>
        <w:t>，</w:t>
      </w:r>
      <w:r w:rsidRPr="003126A7">
        <w:rPr>
          <w:rFonts w:ascii="等线" w:eastAsia="等线" w:hAnsi="等线" w:cs="等线" w:hint="eastAsia"/>
        </w:rPr>
        <w:t>我们可以</w:t>
      </w:r>
      <w:r>
        <w:t>计算出各年度城镇居民收入基尼系数的增长率。</w:t>
      </w:r>
    </w:p>
    <w:p w14:paraId="25F8200F" w14:textId="77777777" w:rsidR="003126A7" w:rsidRDefault="00E67AA9" w:rsidP="00E67AA9">
      <w:pPr>
        <w:pStyle w:val="a3"/>
        <w:numPr>
          <w:ilvl w:val="0"/>
          <w:numId w:val="8"/>
        </w:numPr>
        <w:ind w:firstLineChars="0"/>
      </w:pPr>
      <w:r>
        <w:t>经济增长率（GDP）。</w:t>
      </w:r>
    </w:p>
    <w:p w14:paraId="5ED9A5E6" w14:textId="0FFE3306" w:rsidR="00E67AA9" w:rsidRDefault="00E67AA9" w:rsidP="003126A7">
      <w:pPr>
        <w:rPr>
          <w:rFonts w:hint="eastAsia"/>
        </w:rPr>
      </w:pPr>
      <w:r>
        <w:lastRenderedPageBreak/>
        <w:t>本文以研究区间各年度我国国内生产总值（GDP）的增长率作为经济增长率指标。</w:t>
      </w:r>
    </w:p>
    <w:p w14:paraId="7AD42BF2" w14:textId="4F37F47D" w:rsidR="00E42B6C" w:rsidRDefault="00E42B6C" w:rsidP="00A87FF1">
      <w:pPr>
        <w:pStyle w:val="a3"/>
        <w:numPr>
          <w:ilvl w:val="0"/>
          <w:numId w:val="7"/>
        </w:numPr>
        <w:ind w:firstLineChars="0"/>
      </w:pPr>
      <w:r>
        <w:t>实证模型和方法</w:t>
      </w:r>
    </w:p>
    <w:p w14:paraId="2CDEA7C2" w14:textId="77777777" w:rsidR="00EA1BDB" w:rsidRDefault="00EA1BDB" w:rsidP="00EA1BDB">
      <w:pPr>
        <w:ind w:firstLineChars="200" w:firstLine="420"/>
      </w:pPr>
    </w:p>
    <w:p w14:paraId="38A6DDCC" w14:textId="3CA4F165" w:rsidR="00E42B6C" w:rsidRDefault="00E42B6C" w:rsidP="00A87FF1">
      <w:pPr>
        <w:pStyle w:val="a3"/>
        <w:numPr>
          <w:ilvl w:val="0"/>
          <w:numId w:val="7"/>
        </w:numPr>
        <w:ind w:firstLineChars="0"/>
      </w:pPr>
      <w:r>
        <w:t>实证结果和分析讨论</w:t>
      </w:r>
    </w:p>
    <w:p w14:paraId="7497B0C0" w14:textId="77777777" w:rsidR="00E42B6C" w:rsidRDefault="00E42B6C" w:rsidP="006C0451">
      <w:pPr>
        <w:ind w:firstLineChars="200" w:firstLine="420"/>
      </w:pPr>
    </w:p>
    <w:p w14:paraId="055B6C96" w14:textId="77777777" w:rsidR="00E42B6C" w:rsidRDefault="00E42B6C" w:rsidP="006C0451">
      <w:pPr>
        <w:ind w:firstLineChars="200" w:firstLine="420"/>
      </w:pPr>
    </w:p>
    <w:p w14:paraId="1F617270" w14:textId="4127996F" w:rsidR="00E42B6C" w:rsidRDefault="00E42B6C" w:rsidP="00A87FF1">
      <w:pPr>
        <w:pStyle w:val="a3"/>
        <w:numPr>
          <w:ilvl w:val="0"/>
          <w:numId w:val="1"/>
        </w:numPr>
        <w:ind w:firstLineChars="0"/>
      </w:pPr>
      <w:r>
        <w:t>结论</w:t>
      </w:r>
    </w:p>
    <w:p w14:paraId="786FF226" w14:textId="5D4785C1" w:rsidR="00E42B6C" w:rsidRDefault="00E42B6C" w:rsidP="00E42B6C">
      <w:r>
        <w:t>A.对研究目的和问题的回答</w:t>
      </w:r>
    </w:p>
    <w:p w14:paraId="79A9963C" w14:textId="41539692" w:rsidR="00E42B6C" w:rsidRDefault="00E42B6C" w:rsidP="00E42B6C">
      <w:r>
        <w:t>B.研究结果的总结和讨论</w:t>
      </w:r>
    </w:p>
    <w:p w14:paraId="79F57481" w14:textId="514930F8" w:rsidR="00E42B6C" w:rsidRDefault="00E42B6C" w:rsidP="00E42B6C">
      <w:r>
        <w:t>C.研究的局限性和未来研究方向的建议</w:t>
      </w:r>
    </w:p>
    <w:p w14:paraId="0EE0207F" w14:textId="77777777" w:rsidR="003E6AA4" w:rsidRPr="006C0451" w:rsidRDefault="003E6AA4" w:rsidP="006C0451">
      <w:pPr>
        <w:ind w:firstLineChars="200" w:firstLine="420"/>
      </w:pPr>
      <w:r w:rsidRPr="006C0451">
        <w:rPr>
          <w:rFonts w:hint="eastAsia"/>
        </w:rPr>
        <w:t>在收入水平很低的情况下，增长优先的发展模式是正确的。在我国改革开放初始阶段，温饱问题未得解决时，经济增长须放在首位，那时促进经济增长比收入分配公平和保护生态环境更重要。但是，在经济高速增长30年之后，温饱问题已经解决，人民生活水平普遍得到提高。但与此同时，收入差距不断拉大，环境状况不断恶化。在这种形势下，增长优先的发展模式就必须要转变到增长与公平并重的发展模式，也就是在促进经济增长的同时要重视社会公平，尤其是收入分配的公平性。</w:t>
      </w:r>
    </w:p>
    <w:p w14:paraId="0ACD2058" w14:textId="60073098" w:rsidR="00A87FF1" w:rsidRPr="006C0451" w:rsidRDefault="00A87FF1" w:rsidP="006C0451">
      <w:pPr>
        <w:ind w:firstLineChars="200" w:firstLine="420"/>
      </w:pPr>
      <w:r w:rsidRPr="006C0451">
        <w:rPr>
          <w:rFonts w:hint="eastAsia"/>
        </w:rPr>
        <w:t>当前，中国收入差距在世界处于中等偏高水平，财富差距在世界处于中等偏低水平；与美国相比，中国财富差距与收入差距均小于美国。收入差距方面，根据世界银行数据，中国的基尼系数高于0.4这一警戒危险线，在全球范围内属于中等偏高水平。财富差距方面，无论是财富基尼系数还是前1%人口占有的财富比例数据都显示，中国的财富不均衡程度在全球仍处于中低水平。财富基尼系数衡量财富分配的不平衡程度，财富基尼系数越高代表内部人民财富差距越悬殊，0.7为较低，而0.8以上则代表财富差距悬殊。巴西、俄罗斯、德国、美国自2000年以来财富基尼系数持续维持在0.8以上，显示财富差距较为悬殊；法国、日本、意大利的财富基尼系数则保持在较低水平；而中国尽管在2000-2010年期间财富基尼系数快速上升，但仍处于世界的中低水平。</w:t>
      </w:r>
    </w:p>
    <w:p w14:paraId="4E9F9E7A" w14:textId="1449EDCC" w:rsidR="00A87FF1" w:rsidRPr="006C0451" w:rsidRDefault="00A87FF1" w:rsidP="006C0451">
      <w:pPr>
        <w:ind w:firstLineChars="200" w:firstLine="420"/>
        <w:jc w:val="center"/>
      </w:pPr>
      <w:r>
        <w:rPr>
          <w:noProof/>
        </w:rPr>
        <w:drawing>
          <wp:inline distT="0" distB="0" distL="0" distR="0" wp14:anchorId="612C074F" wp14:editId="6EC4B568">
            <wp:extent cx="3042059" cy="1919359"/>
            <wp:effectExtent l="0" t="0" r="6350" b="5080"/>
            <wp:docPr id="939428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3359" cy="1926488"/>
                    </a:xfrm>
                    <a:prstGeom prst="rect">
                      <a:avLst/>
                    </a:prstGeom>
                    <a:noFill/>
                    <a:ln>
                      <a:noFill/>
                    </a:ln>
                  </pic:spPr>
                </pic:pic>
              </a:graphicData>
            </a:graphic>
          </wp:inline>
        </w:drawing>
      </w:r>
    </w:p>
    <w:p w14:paraId="3B5F8F31" w14:textId="34950E82" w:rsidR="00A87FF1" w:rsidRPr="006C0451" w:rsidRDefault="00A87FF1" w:rsidP="006C0451">
      <w:pPr>
        <w:ind w:firstLineChars="200" w:firstLine="420"/>
        <w:jc w:val="center"/>
      </w:pPr>
      <w:r>
        <w:rPr>
          <w:noProof/>
        </w:rPr>
        <w:drawing>
          <wp:inline distT="0" distB="0" distL="0" distR="0" wp14:anchorId="7833402E" wp14:editId="32E94CEF">
            <wp:extent cx="3211340" cy="1729093"/>
            <wp:effectExtent l="0" t="0" r="8255" b="5080"/>
            <wp:docPr id="1844757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6862" cy="1732066"/>
                    </a:xfrm>
                    <a:prstGeom prst="rect">
                      <a:avLst/>
                    </a:prstGeom>
                    <a:noFill/>
                    <a:ln>
                      <a:noFill/>
                    </a:ln>
                  </pic:spPr>
                </pic:pic>
              </a:graphicData>
            </a:graphic>
          </wp:inline>
        </w:drawing>
      </w:r>
    </w:p>
    <w:p w14:paraId="7A5E9952" w14:textId="52EC92F5" w:rsidR="00A87FF1" w:rsidRPr="006C0451" w:rsidRDefault="00A87FF1" w:rsidP="006C0451">
      <w:pPr>
        <w:ind w:firstLineChars="200" w:firstLine="420"/>
      </w:pPr>
      <w:r w:rsidRPr="006C0451">
        <w:rPr>
          <w:rFonts w:hint="eastAsia"/>
        </w:rPr>
        <w:lastRenderedPageBreak/>
        <w:t xml:space="preserve">　　改革开放之初，一穷二白，钱少人多，生产要素上劳动过剩、资本稀缺，劳动的话语权弱、资本的话语权强，为了促进增长、做大蛋糕，所以收入分配上以效率优先、让一部分先富起来为基本导向，衍生了一系列对资本友好的制度，比如户籍制度、土地财政、社保制度、税收制度、地方招商等。随着老龄化少子化加速到来，“刘易斯拐点”出现，人口红利渐远，开始出现劳动稀缺、资本过剩的逆转，各大城市上演“抢人大战”，劳动的话语权提升，同时收入差距过大导致社会不稳定性因素增多，所以要提高劳动在国民收入分配中的份额、适当抑制资本，收入分配上更重视公平、分好蛋糕、共同富裕，要“反垄断和防止资本无序扩张”、“把逐步实现全体人民共同富裕摆在更加重要的位置上”、“先富带后富帮后富”、“合理调节过高收入，鼓励高收入人群和企业更多回报社会”、“推动更多低收入人群迈入中等收入行列”、清理校外培训、推出房产税，等等。这有助于高质量发展、双循环、扩大内需、发展实体经济、制造业、硬科技、新基建等。这是经济社会发展到现阶段的客观要求。</w:t>
      </w:r>
    </w:p>
    <w:p w14:paraId="1A2CD853" w14:textId="58CE9A9E" w:rsidR="00A87FF1" w:rsidRPr="006C0451" w:rsidRDefault="00A87FF1" w:rsidP="006C0451">
      <w:pPr>
        <w:ind w:firstLineChars="200" w:firstLine="420"/>
      </w:pPr>
      <w:r w:rsidRPr="006C0451">
        <w:rPr>
          <w:rFonts w:hint="eastAsia"/>
        </w:rPr>
        <w:t xml:space="preserve">　　百年未遇之大变局，也是百年未有之大机遇。看清这一大趋势，至关重要。每个企业每个人最终都是时代的产物。</w:t>
      </w:r>
    </w:p>
    <w:p w14:paraId="06062680" w14:textId="16AAC5EF" w:rsidR="00C21C41" w:rsidRPr="00E42B6C" w:rsidRDefault="00C21C41" w:rsidP="006C0451">
      <w:pPr>
        <w:ind w:firstLineChars="200" w:firstLine="420"/>
      </w:pPr>
    </w:p>
    <w:sectPr w:rsidR="00C21C41" w:rsidRPr="00E42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C3B0" w14:textId="77777777" w:rsidR="00E85A40" w:rsidRDefault="00E85A40" w:rsidP="002F765C">
      <w:r>
        <w:separator/>
      </w:r>
    </w:p>
  </w:endnote>
  <w:endnote w:type="continuationSeparator" w:id="0">
    <w:p w14:paraId="6B1E82A3" w14:textId="77777777" w:rsidR="00E85A40" w:rsidRDefault="00E85A40" w:rsidP="002F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1C2F" w14:textId="77777777" w:rsidR="00E85A40" w:rsidRDefault="00E85A40" w:rsidP="002F765C">
      <w:r>
        <w:separator/>
      </w:r>
    </w:p>
  </w:footnote>
  <w:footnote w:type="continuationSeparator" w:id="0">
    <w:p w14:paraId="6821D7DE" w14:textId="77777777" w:rsidR="00E85A40" w:rsidRDefault="00E85A40" w:rsidP="002F7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29F"/>
    <w:multiLevelType w:val="hybridMultilevel"/>
    <w:tmpl w:val="0C3A7F12"/>
    <w:lvl w:ilvl="0" w:tplc="FA6818BA">
      <w:start w:val="1"/>
      <w:numFmt w:val="decimal"/>
      <w:lvlText w:val="%1．"/>
      <w:lvlJc w:val="left"/>
      <w:pPr>
        <w:ind w:left="674" w:hanging="360"/>
      </w:pPr>
      <w:rPr>
        <w:rFonts w:hint="default"/>
      </w:rPr>
    </w:lvl>
    <w:lvl w:ilvl="1" w:tplc="04090019" w:tentative="1">
      <w:start w:val="1"/>
      <w:numFmt w:val="lowerLetter"/>
      <w:lvlText w:val="%2)"/>
      <w:lvlJc w:val="left"/>
      <w:pPr>
        <w:ind w:left="1194" w:hanging="440"/>
      </w:pPr>
    </w:lvl>
    <w:lvl w:ilvl="2" w:tplc="0409001B" w:tentative="1">
      <w:start w:val="1"/>
      <w:numFmt w:val="lowerRoman"/>
      <w:lvlText w:val="%3."/>
      <w:lvlJc w:val="right"/>
      <w:pPr>
        <w:ind w:left="1634" w:hanging="440"/>
      </w:pPr>
    </w:lvl>
    <w:lvl w:ilvl="3" w:tplc="0409000F" w:tentative="1">
      <w:start w:val="1"/>
      <w:numFmt w:val="decimal"/>
      <w:lvlText w:val="%4."/>
      <w:lvlJc w:val="left"/>
      <w:pPr>
        <w:ind w:left="2074" w:hanging="440"/>
      </w:pPr>
    </w:lvl>
    <w:lvl w:ilvl="4" w:tplc="04090019" w:tentative="1">
      <w:start w:val="1"/>
      <w:numFmt w:val="lowerLetter"/>
      <w:lvlText w:val="%5)"/>
      <w:lvlJc w:val="left"/>
      <w:pPr>
        <w:ind w:left="2514" w:hanging="440"/>
      </w:pPr>
    </w:lvl>
    <w:lvl w:ilvl="5" w:tplc="0409001B" w:tentative="1">
      <w:start w:val="1"/>
      <w:numFmt w:val="lowerRoman"/>
      <w:lvlText w:val="%6."/>
      <w:lvlJc w:val="right"/>
      <w:pPr>
        <w:ind w:left="2954" w:hanging="440"/>
      </w:pPr>
    </w:lvl>
    <w:lvl w:ilvl="6" w:tplc="0409000F" w:tentative="1">
      <w:start w:val="1"/>
      <w:numFmt w:val="decimal"/>
      <w:lvlText w:val="%7."/>
      <w:lvlJc w:val="left"/>
      <w:pPr>
        <w:ind w:left="3394" w:hanging="440"/>
      </w:pPr>
    </w:lvl>
    <w:lvl w:ilvl="7" w:tplc="04090019" w:tentative="1">
      <w:start w:val="1"/>
      <w:numFmt w:val="lowerLetter"/>
      <w:lvlText w:val="%8)"/>
      <w:lvlJc w:val="left"/>
      <w:pPr>
        <w:ind w:left="3834" w:hanging="440"/>
      </w:pPr>
    </w:lvl>
    <w:lvl w:ilvl="8" w:tplc="0409001B" w:tentative="1">
      <w:start w:val="1"/>
      <w:numFmt w:val="lowerRoman"/>
      <w:lvlText w:val="%9."/>
      <w:lvlJc w:val="right"/>
      <w:pPr>
        <w:ind w:left="4274" w:hanging="440"/>
      </w:pPr>
    </w:lvl>
  </w:abstractNum>
  <w:abstractNum w:abstractNumId="1" w15:restartNumberingAfterBreak="0">
    <w:nsid w:val="10041E98"/>
    <w:multiLevelType w:val="multilevel"/>
    <w:tmpl w:val="CD62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E609E"/>
    <w:multiLevelType w:val="hybridMultilevel"/>
    <w:tmpl w:val="7B922ED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5D04F9"/>
    <w:multiLevelType w:val="hybridMultilevel"/>
    <w:tmpl w:val="F77A8746"/>
    <w:lvl w:ilvl="0" w:tplc="04090017">
      <w:start w:val="1"/>
      <w:numFmt w:val="chineseCountingThousand"/>
      <w:lvlText w:val="(%1)"/>
      <w:lvlJc w:val="left"/>
      <w:pPr>
        <w:ind w:left="754" w:hanging="440"/>
      </w:pPr>
    </w:lvl>
    <w:lvl w:ilvl="1" w:tplc="04090019" w:tentative="1">
      <w:start w:val="1"/>
      <w:numFmt w:val="lowerLetter"/>
      <w:lvlText w:val="%2)"/>
      <w:lvlJc w:val="left"/>
      <w:pPr>
        <w:ind w:left="1194" w:hanging="440"/>
      </w:pPr>
    </w:lvl>
    <w:lvl w:ilvl="2" w:tplc="0409001B" w:tentative="1">
      <w:start w:val="1"/>
      <w:numFmt w:val="lowerRoman"/>
      <w:lvlText w:val="%3."/>
      <w:lvlJc w:val="right"/>
      <w:pPr>
        <w:ind w:left="1634" w:hanging="440"/>
      </w:pPr>
    </w:lvl>
    <w:lvl w:ilvl="3" w:tplc="0409000F" w:tentative="1">
      <w:start w:val="1"/>
      <w:numFmt w:val="decimal"/>
      <w:lvlText w:val="%4."/>
      <w:lvlJc w:val="left"/>
      <w:pPr>
        <w:ind w:left="2074" w:hanging="440"/>
      </w:pPr>
    </w:lvl>
    <w:lvl w:ilvl="4" w:tplc="04090019" w:tentative="1">
      <w:start w:val="1"/>
      <w:numFmt w:val="lowerLetter"/>
      <w:lvlText w:val="%5)"/>
      <w:lvlJc w:val="left"/>
      <w:pPr>
        <w:ind w:left="2514" w:hanging="440"/>
      </w:pPr>
    </w:lvl>
    <w:lvl w:ilvl="5" w:tplc="0409001B" w:tentative="1">
      <w:start w:val="1"/>
      <w:numFmt w:val="lowerRoman"/>
      <w:lvlText w:val="%6."/>
      <w:lvlJc w:val="right"/>
      <w:pPr>
        <w:ind w:left="2954" w:hanging="440"/>
      </w:pPr>
    </w:lvl>
    <w:lvl w:ilvl="6" w:tplc="0409000F" w:tentative="1">
      <w:start w:val="1"/>
      <w:numFmt w:val="decimal"/>
      <w:lvlText w:val="%7."/>
      <w:lvlJc w:val="left"/>
      <w:pPr>
        <w:ind w:left="3394" w:hanging="440"/>
      </w:pPr>
    </w:lvl>
    <w:lvl w:ilvl="7" w:tplc="04090019" w:tentative="1">
      <w:start w:val="1"/>
      <w:numFmt w:val="lowerLetter"/>
      <w:lvlText w:val="%8)"/>
      <w:lvlJc w:val="left"/>
      <w:pPr>
        <w:ind w:left="3834" w:hanging="440"/>
      </w:pPr>
    </w:lvl>
    <w:lvl w:ilvl="8" w:tplc="0409001B" w:tentative="1">
      <w:start w:val="1"/>
      <w:numFmt w:val="lowerRoman"/>
      <w:lvlText w:val="%9."/>
      <w:lvlJc w:val="right"/>
      <w:pPr>
        <w:ind w:left="4274" w:hanging="440"/>
      </w:pPr>
    </w:lvl>
  </w:abstractNum>
  <w:abstractNum w:abstractNumId="4" w15:restartNumberingAfterBreak="0">
    <w:nsid w:val="4CD312D6"/>
    <w:multiLevelType w:val="hybridMultilevel"/>
    <w:tmpl w:val="DCE26956"/>
    <w:lvl w:ilvl="0" w:tplc="04090017">
      <w:start w:val="1"/>
      <w:numFmt w:val="chineseCountingThousand"/>
      <w:lvlText w:val="(%1)"/>
      <w:lvlJc w:val="left"/>
      <w:pPr>
        <w:ind w:left="754" w:hanging="440"/>
      </w:pPr>
    </w:lvl>
    <w:lvl w:ilvl="1" w:tplc="04090019" w:tentative="1">
      <w:start w:val="1"/>
      <w:numFmt w:val="lowerLetter"/>
      <w:lvlText w:val="%2)"/>
      <w:lvlJc w:val="left"/>
      <w:pPr>
        <w:ind w:left="1194" w:hanging="440"/>
      </w:pPr>
    </w:lvl>
    <w:lvl w:ilvl="2" w:tplc="0409001B" w:tentative="1">
      <w:start w:val="1"/>
      <w:numFmt w:val="lowerRoman"/>
      <w:lvlText w:val="%3."/>
      <w:lvlJc w:val="right"/>
      <w:pPr>
        <w:ind w:left="1634" w:hanging="440"/>
      </w:pPr>
    </w:lvl>
    <w:lvl w:ilvl="3" w:tplc="0409000F" w:tentative="1">
      <w:start w:val="1"/>
      <w:numFmt w:val="decimal"/>
      <w:lvlText w:val="%4."/>
      <w:lvlJc w:val="left"/>
      <w:pPr>
        <w:ind w:left="2074" w:hanging="440"/>
      </w:pPr>
    </w:lvl>
    <w:lvl w:ilvl="4" w:tplc="04090019" w:tentative="1">
      <w:start w:val="1"/>
      <w:numFmt w:val="lowerLetter"/>
      <w:lvlText w:val="%5)"/>
      <w:lvlJc w:val="left"/>
      <w:pPr>
        <w:ind w:left="2514" w:hanging="440"/>
      </w:pPr>
    </w:lvl>
    <w:lvl w:ilvl="5" w:tplc="0409001B" w:tentative="1">
      <w:start w:val="1"/>
      <w:numFmt w:val="lowerRoman"/>
      <w:lvlText w:val="%6."/>
      <w:lvlJc w:val="right"/>
      <w:pPr>
        <w:ind w:left="2954" w:hanging="440"/>
      </w:pPr>
    </w:lvl>
    <w:lvl w:ilvl="6" w:tplc="0409000F" w:tentative="1">
      <w:start w:val="1"/>
      <w:numFmt w:val="decimal"/>
      <w:lvlText w:val="%7."/>
      <w:lvlJc w:val="left"/>
      <w:pPr>
        <w:ind w:left="3394" w:hanging="440"/>
      </w:pPr>
    </w:lvl>
    <w:lvl w:ilvl="7" w:tplc="04090019" w:tentative="1">
      <w:start w:val="1"/>
      <w:numFmt w:val="lowerLetter"/>
      <w:lvlText w:val="%8)"/>
      <w:lvlJc w:val="left"/>
      <w:pPr>
        <w:ind w:left="3834" w:hanging="440"/>
      </w:pPr>
    </w:lvl>
    <w:lvl w:ilvl="8" w:tplc="0409001B" w:tentative="1">
      <w:start w:val="1"/>
      <w:numFmt w:val="lowerRoman"/>
      <w:lvlText w:val="%9."/>
      <w:lvlJc w:val="right"/>
      <w:pPr>
        <w:ind w:left="4274" w:hanging="440"/>
      </w:pPr>
    </w:lvl>
  </w:abstractNum>
  <w:abstractNum w:abstractNumId="5" w15:restartNumberingAfterBreak="0">
    <w:nsid w:val="4E641511"/>
    <w:multiLevelType w:val="hybridMultilevel"/>
    <w:tmpl w:val="708C16F6"/>
    <w:lvl w:ilvl="0" w:tplc="04090017">
      <w:start w:val="1"/>
      <w:numFmt w:val="chineseCountingThousand"/>
      <w:lvlText w:val="(%1)"/>
      <w:lvlJc w:val="left"/>
      <w:pPr>
        <w:ind w:left="753" w:hanging="440"/>
      </w:pPr>
    </w:lvl>
    <w:lvl w:ilvl="1" w:tplc="04090019" w:tentative="1">
      <w:start w:val="1"/>
      <w:numFmt w:val="lowerLetter"/>
      <w:lvlText w:val="%2)"/>
      <w:lvlJc w:val="left"/>
      <w:pPr>
        <w:ind w:left="1193" w:hanging="440"/>
      </w:pPr>
    </w:lvl>
    <w:lvl w:ilvl="2" w:tplc="0409001B" w:tentative="1">
      <w:start w:val="1"/>
      <w:numFmt w:val="lowerRoman"/>
      <w:lvlText w:val="%3."/>
      <w:lvlJc w:val="right"/>
      <w:pPr>
        <w:ind w:left="1633" w:hanging="440"/>
      </w:pPr>
    </w:lvl>
    <w:lvl w:ilvl="3" w:tplc="0409000F" w:tentative="1">
      <w:start w:val="1"/>
      <w:numFmt w:val="decimal"/>
      <w:lvlText w:val="%4."/>
      <w:lvlJc w:val="left"/>
      <w:pPr>
        <w:ind w:left="2073" w:hanging="440"/>
      </w:pPr>
    </w:lvl>
    <w:lvl w:ilvl="4" w:tplc="04090019" w:tentative="1">
      <w:start w:val="1"/>
      <w:numFmt w:val="lowerLetter"/>
      <w:lvlText w:val="%5)"/>
      <w:lvlJc w:val="left"/>
      <w:pPr>
        <w:ind w:left="2513" w:hanging="440"/>
      </w:pPr>
    </w:lvl>
    <w:lvl w:ilvl="5" w:tplc="0409001B" w:tentative="1">
      <w:start w:val="1"/>
      <w:numFmt w:val="lowerRoman"/>
      <w:lvlText w:val="%6."/>
      <w:lvlJc w:val="right"/>
      <w:pPr>
        <w:ind w:left="2953" w:hanging="440"/>
      </w:pPr>
    </w:lvl>
    <w:lvl w:ilvl="6" w:tplc="0409000F" w:tentative="1">
      <w:start w:val="1"/>
      <w:numFmt w:val="decimal"/>
      <w:lvlText w:val="%7."/>
      <w:lvlJc w:val="left"/>
      <w:pPr>
        <w:ind w:left="3393" w:hanging="440"/>
      </w:pPr>
    </w:lvl>
    <w:lvl w:ilvl="7" w:tplc="04090019" w:tentative="1">
      <w:start w:val="1"/>
      <w:numFmt w:val="lowerLetter"/>
      <w:lvlText w:val="%8)"/>
      <w:lvlJc w:val="left"/>
      <w:pPr>
        <w:ind w:left="3833" w:hanging="440"/>
      </w:pPr>
    </w:lvl>
    <w:lvl w:ilvl="8" w:tplc="0409001B" w:tentative="1">
      <w:start w:val="1"/>
      <w:numFmt w:val="lowerRoman"/>
      <w:lvlText w:val="%9."/>
      <w:lvlJc w:val="right"/>
      <w:pPr>
        <w:ind w:left="4273" w:hanging="440"/>
      </w:pPr>
    </w:lvl>
  </w:abstractNum>
  <w:abstractNum w:abstractNumId="6" w15:restartNumberingAfterBreak="0">
    <w:nsid w:val="605F722F"/>
    <w:multiLevelType w:val="hybridMultilevel"/>
    <w:tmpl w:val="D25EDAF4"/>
    <w:lvl w:ilvl="0" w:tplc="8BB62EF4">
      <w:start w:val="1"/>
      <w:numFmt w:val="upperLetter"/>
      <w:lvlText w:val="%1."/>
      <w:lvlJc w:val="left"/>
      <w:pPr>
        <w:ind w:left="680" w:hanging="360"/>
      </w:pPr>
      <w:rPr>
        <w:rFonts w:hint="default"/>
      </w:rPr>
    </w:lvl>
    <w:lvl w:ilvl="1" w:tplc="04090019" w:tentative="1">
      <w:start w:val="1"/>
      <w:numFmt w:val="lowerLetter"/>
      <w:lvlText w:val="%2)"/>
      <w:lvlJc w:val="left"/>
      <w:pPr>
        <w:ind w:left="1200" w:hanging="440"/>
      </w:pPr>
    </w:lvl>
    <w:lvl w:ilvl="2" w:tplc="0409001B" w:tentative="1">
      <w:start w:val="1"/>
      <w:numFmt w:val="lowerRoman"/>
      <w:lvlText w:val="%3."/>
      <w:lvlJc w:val="right"/>
      <w:pPr>
        <w:ind w:left="1640" w:hanging="440"/>
      </w:pPr>
    </w:lvl>
    <w:lvl w:ilvl="3" w:tplc="0409000F" w:tentative="1">
      <w:start w:val="1"/>
      <w:numFmt w:val="decimal"/>
      <w:lvlText w:val="%4."/>
      <w:lvlJc w:val="left"/>
      <w:pPr>
        <w:ind w:left="2080" w:hanging="440"/>
      </w:pPr>
    </w:lvl>
    <w:lvl w:ilvl="4" w:tplc="04090019" w:tentative="1">
      <w:start w:val="1"/>
      <w:numFmt w:val="lowerLetter"/>
      <w:lvlText w:val="%5)"/>
      <w:lvlJc w:val="left"/>
      <w:pPr>
        <w:ind w:left="2520" w:hanging="440"/>
      </w:pPr>
    </w:lvl>
    <w:lvl w:ilvl="5" w:tplc="0409001B" w:tentative="1">
      <w:start w:val="1"/>
      <w:numFmt w:val="lowerRoman"/>
      <w:lvlText w:val="%6."/>
      <w:lvlJc w:val="right"/>
      <w:pPr>
        <w:ind w:left="2960" w:hanging="440"/>
      </w:pPr>
    </w:lvl>
    <w:lvl w:ilvl="6" w:tplc="0409000F" w:tentative="1">
      <w:start w:val="1"/>
      <w:numFmt w:val="decimal"/>
      <w:lvlText w:val="%7."/>
      <w:lvlJc w:val="left"/>
      <w:pPr>
        <w:ind w:left="3400" w:hanging="440"/>
      </w:pPr>
    </w:lvl>
    <w:lvl w:ilvl="7" w:tplc="04090019" w:tentative="1">
      <w:start w:val="1"/>
      <w:numFmt w:val="lowerLetter"/>
      <w:lvlText w:val="%8)"/>
      <w:lvlJc w:val="left"/>
      <w:pPr>
        <w:ind w:left="3840" w:hanging="440"/>
      </w:pPr>
    </w:lvl>
    <w:lvl w:ilvl="8" w:tplc="0409001B" w:tentative="1">
      <w:start w:val="1"/>
      <w:numFmt w:val="lowerRoman"/>
      <w:lvlText w:val="%9."/>
      <w:lvlJc w:val="right"/>
      <w:pPr>
        <w:ind w:left="4280" w:hanging="440"/>
      </w:pPr>
    </w:lvl>
  </w:abstractNum>
  <w:abstractNum w:abstractNumId="7" w15:restartNumberingAfterBreak="0">
    <w:nsid w:val="6AEA6A17"/>
    <w:multiLevelType w:val="hybridMultilevel"/>
    <w:tmpl w:val="48DC82BC"/>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39031270">
    <w:abstractNumId w:val="2"/>
  </w:num>
  <w:num w:numId="2" w16cid:durableId="290786342">
    <w:abstractNumId w:val="5"/>
  </w:num>
  <w:num w:numId="3" w16cid:durableId="936908921">
    <w:abstractNumId w:val="1"/>
  </w:num>
  <w:num w:numId="4" w16cid:durableId="1581521486">
    <w:abstractNumId w:val="6"/>
  </w:num>
  <w:num w:numId="5" w16cid:durableId="1532063183">
    <w:abstractNumId w:val="7"/>
  </w:num>
  <w:num w:numId="6" w16cid:durableId="1643150285">
    <w:abstractNumId w:val="3"/>
  </w:num>
  <w:num w:numId="7" w16cid:durableId="1253973585">
    <w:abstractNumId w:val="4"/>
  </w:num>
  <w:num w:numId="8" w16cid:durableId="129814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8F"/>
    <w:rsid w:val="000A4E8A"/>
    <w:rsid w:val="000D7A73"/>
    <w:rsid w:val="001513E9"/>
    <w:rsid w:val="00293C08"/>
    <w:rsid w:val="002F765C"/>
    <w:rsid w:val="003126A7"/>
    <w:rsid w:val="003413BA"/>
    <w:rsid w:val="00376A8F"/>
    <w:rsid w:val="003E6AA4"/>
    <w:rsid w:val="005A1787"/>
    <w:rsid w:val="006878E7"/>
    <w:rsid w:val="006C0451"/>
    <w:rsid w:val="00781A37"/>
    <w:rsid w:val="007D503F"/>
    <w:rsid w:val="0085136D"/>
    <w:rsid w:val="008B3D8E"/>
    <w:rsid w:val="009632D6"/>
    <w:rsid w:val="00A87FF1"/>
    <w:rsid w:val="00AA79E5"/>
    <w:rsid w:val="00B90277"/>
    <w:rsid w:val="00C21C41"/>
    <w:rsid w:val="00D66787"/>
    <w:rsid w:val="00E42B6C"/>
    <w:rsid w:val="00E67AA9"/>
    <w:rsid w:val="00E77056"/>
    <w:rsid w:val="00E85A40"/>
    <w:rsid w:val="00EA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B2F53"/>
  <w15:chartTrackingRefBased/>
  <w15:docId w15:val="{B2672C22-4828-4110-92F5-70532958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B6C"/>
    <w:pPr>
      <w:ind w:firstLineChars="200" w:firstLine="420"/>
    </w:pPr>
  </w:style>
  <w:style w:type="paragraph" w:styleId="a4">
    <w:name w:val="Normal (Web)"/>
    <w:basedOn w:val="a"/>
    <w:uiPriority w:val="99"/>
    <w:unhideWhenUsed/>
    <w:rsid w:val="00E42B6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E6AA4"/>
    <w:rPr>
      <w:color w:val="0000FF"/>
      <w:u w:val="single"/>
    </w:rPr>
  </w:style>
  <w:style w:type="paragraph" w:styleId="a6">
    <w:name w:val="header"/>
    <w:basedOn w:val="a"/>
    <w:link w:val="a7"/>
    <w:uiPriority w:val="99"/>
    <w:unhideWhenUsed/>
    <w:rsid w:val="002F765C"/>
    <w:pPr>
      <w:tabs>
        <w:tab w:val="center" w:pos="4153"/>
        <w:tab w:val="right" w:pos="8306"/>
      </w:tabs>
      <w:snapToGrid w:val="0"/>
      <w:jc w:val="center"/>
    </w:pPr>
    <w:rPr>
      <w:sz w:val="18"/>
      <w:szCs w:val="18"/>
    </w:rPr>
  </w:style>
  <w:style w:type="character" w:customStyle="1" w:styleId="a7">
    <w:name w:val="页眉 字符"/>
    <w:basedOn w:val="a0"/>
    <w:link w:val="a6"/>
    <w:uiPriority w:val="99"/>
    <w:rsid w:val="002F765C"/>
    <w:rPr>
      <w:sz w:val="18"/>
      <w:szCs w:val="18"/>
    </w:rPr>
  </w:style>
  <w:style w:type="paragraph" w:styleId="a8">
    <w:name w:val="footer"/>
    <w:basedOn w:val="a"/>
    <w:link w:val="a9"/>
    <w:uiPriority w:val="99"/>
    <w:unhideWhenUsed/>
    <w:rsid w:val="002F765C"/>
    <w:pPr>
      <w:tabs>
        <w:tab w:val="center" w:pos="4153"/>
        <w:tab w:val="right" w:pos="8306"/>
      </w:tabs>
      <w:snapToGrid w:val="0"/>
      <w:jc w:val="left"/>
    </w:pPr>
    <w:rPr>
      <w:sz w:val="18"/>
      <w:szCs w:val="18"/>
    </w:rPr>
  </w:style>
  <w:style w:type="character" w:customStyle="1" w:styleId="a9">
    <w:name w:val="页脚 字符"/>
    <w:basedOn w:val="a0"/>
    <w:link w:val="a8"/>
    <w:uiPriority w:val="99"/>
    <w:rsid w:val="002F76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2354">
      <w:bodyDiv w:val="1"/>
      <w:marLeft w:val="0"/>
      <w:marRight w:val="0"/>
      <w:marTop w:val="0"/>
      <w:marBottom w:val="0"/>
      <w:divBdr>
        <w:top w:val="none" w:sz="0" w:space="0" w:color="auto"/>
        <w:left w:val="none" w:sz="0" w:space="0" w:color="auto"/>
        <w:bottom w:val="none" w:sz="0" w:space="0" w:color="auto"/>
        <w:right w:val="none" w:sz="0" w:space="0" w:color="auto"/>
      </w:divBdr>
    </w:div>
    <w:div w:id="361397650">
      <w:bodyDiv w:val="1"/>
      <w:marLeft w:val="0"/>
      <w:marRight w:val="0"/>
      <w:marTop w:val="0"/>
      <w:marBottom w:val="0"/>
      <w:divBdr>
        <w:top w:val="none" w:sz="0" w:space="0" w:color="auto"/>
        <w:left w:val="none" w:sz="0" w:space="0" w:color="auto"/>
        <w:bottom w:val="none" w:sz="0" w:space="0" w:color="auto"/>
        <w:right w:val="none" w:sz="0" w:space="0" w:color="auto"/>
      </w:divBdr>
    </w:div>
    <w:div w:id="370812670">
      <w:bodyDiv w:val="1"/>
      <w:marLeft w:val="0"/>
      <w:marRight w:val="0"/>
      <w:marTop w:val="0"/>
      <w:marBottom w:val="0"/>
      <w:divBdr>
        <w:top w:val="none" w:sz="0" w:space="0" w:color="auto"/>
        <w:left w:val="none" w:sz="0" w:space="0" w:color="auto"/>
        <w:bottom w:val="none" w:sz="0" w:space="0" w:color="auto"/>
        <w:right w:val="none" w:sz="0" w:space="0" w:color="auto"/>
      </w:divBdr>
    </w:div>
    <w:div w:id="506362723">
      <w:bodyDiv w:val="1"/>
      <w:marLeft w:val="0"/>
      <w:marRight w:val="0"/>
      <w:marTop w:val="0"/>
      <w:marBottom w:val="0"/>
      <w:divBdr>
        <w:top w:val="none" w:sz="0" w:space="0" w:color="auto"/>
        <w:left w:val="none" w:sz="0" w:space="0" w:color="auto"/>
        <w:bottom w:val="none" w:sz="0" w:space="0" w:color="auto"/>
        <w:right w:val="none" w:sz="0" w:space="0" w:color="auto"/>
      </w:divBdr>
    </w:div>
    <w:div w:id="643853255">
      <w:bodyDiv w:val="1"/>
      <w:marLeft w:val="0"/>
      <w:marRight w:val="0"/>
      <w:marTop w:val="0"/>
      <w:marBottom w:val="0"/>
      <w:divBdr>
        <w:top w:val="none" w:sz="0" w:space="0" w:color="auto"/>
        <w:left w:val="none" w:sz="0" w:space="0" w:color="auto"/>
        <w:bottom w:val="none" w:sz="0" w:space="0" w:color="auto"/>
        <w:right w:val="none" w:sz="0" w:space="0" w:color="auto"/>
      </w:divBdr>
    </w:div>
    <w:div w:id="689726062">
      <w:bodyDiv w:val="1"/>
      <w:marLeft w:val="0"/>
      <w:marRight w:val="0"/>
      <w:marTop w:val="0"/>
      <w:marBottom w:val="0"/>
      <w:divBdr>
        <w:top w:val="none" w:sz="0" w:space="0" w:color="auto"/>
        <w:left w:val="none" w:sz="0" w:space="0" w:color="auto"/>
        <w:bottom w:val="none" w:sz="0" w:space="0" w:color="auto"/>
        <w:right w:val="none" w:sz="0" w:space="0" w:color="auto"/>
      </w:divBdr>
    </w:div>
    <w:div w:id="1121152260">
      <w:bodyDiv w:val="1"/>
      <w:marLeft w:val="0"/>
      <w:marRight w:val="0"/>
      <w:marTop w:val="0"/>
      <w:marBottom w:val="0"/>
      <w:divBdr>
        <w:top w:val="none" w:sz="0" w:space="0" w:color="auto"/>
        <w:left w:val="none" w:sz="0" w:space="0" w:color="auto"/>
        <w:bottom w:val="none" w:sz="0" w:space="0" w:color="auto"/>
        <w:right w:val="none" w:sz="0" w:space="0" w:color="auto"/>
      </w:divBdr>
    </w:div>
    <w:div w:id="1260288330">
      <w:bodyDiv w:val="1"/>
      <w:marLeft w:val="0"/>
      <w:marRight w:val="0"/>
      <w:marTop w:val="0"/>
      <w:marBottom w:val="0"/>
      <w:divBdr>
        <w:top w:val="none" w:sz="0" w:space="0" w:color="auto"/>
        <w:left w:val="none" w:sz="0" w:space="0" w:color="auto"/>
        <w:bottom w:val="none" w:sz="0" w:space="0" w:color="auto"/>
        <w:right w:val="none" w:sz="0" w:space="0" w:color="auto"/>
      </w:divBdr>
    </w:div>
    <w:div w:id="16852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13</cp:revision>
  <dcterms:created xsi:type="dcterms:W3CDTF">2023-06-30T06:18:00Z</dcterms:created>
  <dcterms:modified xsi:type="dcterms:W3CDTF">2023-07-12T13:37:00Z</dcterms:modified>
</cp:coreProperties>
</file>