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合成附注（POC 验证用）</w:t>
      </w:r>
    </w:p>
    <w:p>
      <w:r>
        <w:t>本文档用于验证隐藏书签段落锚点方案。</w:t>
      </w:r>
    </w:p>
    <w:bookmarkStart w:id="100" w:name="sec_八_1"/>
    <w:p>
      <w:r>
        <w:t>##SECTION:八、1##</w:t>
      </w:r>
    </w:p>
    <w:p>
      <w:pPr>
        <w:pStyle w:val="Heading2"/>
      </w:pPr>
      <w:r>
        <w:t>八、1 固定资产</w:t>
      </w:r>
    </w:p>
    <w:p>
      <w:r>
        <w:t>固定资产按取得时的成本进行初始计量。与固定资产有关的后续支出，符合确认条件的计入固定资产成本，不符合确认条件的在发生时计入当期损益。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期末余额</w:t>
            </w:r>
          </w:p>
        </w:tc>
        <w:tc>
          <w:tcPr>
            <w:tcW w:type="dxa" w:w="2880"/>
          </w:tcPr>
          <w:p>
            <w:r>
              <w:t>期初余额</w:t>
            </w:r>
          </w:p>
        </w:tc>
      </w:tr>
      <w:tr>
        <w:tc>
          <w:tcPr>
            <w:tcW w:type="dxa" w:w="2880"/>
          </w:tcPr>
          <w:p>
            <w:r>
              <w:t>房屋建筑物</w:t>
            </w:r>
          </w:p>
        </w:tc>
        <w:tc>
          <w:tcPr>
            <w:tcW w:type="dxa" w:w="2880"/>
          </w:tcPr>
          <w:p>
            <w:r>
              <w:t>1,000,000.00</w:t>
            </w:r>
          </w:p>
        </w:tc>
        <w:tc>
          <w:tcPr>
            <w:tcW w:type="dxa" w:w="2880"/>
          </w:tcPr>
          <w:p>
            <w:r>
              <w:t>950,000.00</w:t>
            </w:r>
          </w:p>
        </w:tc>
      </w:tr>
      <w:tr>
        <w:tc>
          <w:tcPr>
            <w:tcW w:type="dxa" w:w="2880"/>
          </w:tcPr>
          <w:p>
            <w:r>
              <w:t>机器设备</w:t>
            </w:r>
          </w:p>
        </w:tc>
        <w:tc>
          <w:tcPr>
            <w:tcW w:type="dxa" w:w="2880"/>
          </w:tcPr>
          <w:p>
            <w:r>
              <w:t>500,000.00</w:t>
            </w:r>
          </w:p>
        </w:tc>
        <w:tc>
          <w:tcPr>
            <w:tcW w:type="dxa" w:w="2880"/>
          </w:tcPr>
          <w:p>
            <w:r>
              <w:t>480,000.00</w:t>
            </w:r>
          </w:p>
        </w:tc>
      </w:tr>
    </w:tbl>
    <w:p>
      <w:r>
        <w:t>##/SECTION:八、1##</w:t>
      </w:r>
    </w:p>
    <w:bookmarkEnd w:id="100"/>
    <w:bookmarkStart w:id="101" w:name="sec_八_2"/>
    <w:p>
      <w:r>
        <w:t>##SECTION:八、2##</w:t>
      </w:r>
    </w:p>
    <w:p>
      <w:pPr>
        <w:pStyle w:val="Heading2"/>
      </w:pPr>
      <w:r>
        <w:t>八、2 无形资产</w:t>
      </w:r>
    </w:p>
    <w:p>
      <w:r>
        <w:t>无形资产按成本进行初始计量。使用寿命有限的无形资产自达到预定用途之日起，按直线法在预计使用寿命内摊销。</w:t>
      </w:r>
    </w:p>
    <w:p>
      <w:r>
        <w:t>##/SECTION:八、2##</w:t>
      </w:r>
    </w:p>
    <w:bookmarkEnd w:id="101"/>
    <w:bookmarkStart w:id="102" w:name="sec_五_1"/>
    <w:p>
      <w:r>
        <w:t>##SECTION:五、1##</w:t>
      </w:r>
    </w:p>
    <w:p>
      <w:pPr>
        <w:pStyle w:val="Heading2"/>
      </w:pPr>
      <w:r>
        <w:t>五、1 货币资金</w:t>
      </w:r>
    </w:p>
    <w:p>
      <w:r>
        <w:t>货币资金包括库存现金、银行存款和其他货币资金。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银行存款</w:t>
            </w:r>
          </w:p>
        </w:tc>
        <w:tc>
          <w:tcPr>
            <w:tcW w:type="dxa" w:w="4320"/>
          </w:tcPr>
          <w:p>
            <w:r>
              <w:t>2,500,000.00</w:t>
            </w:r>
          </w:p>
        </w:tc>
      </w:tr>
    </w:tbl>
    <w:p>
      <w:r>
        <w:t>##/SECTION:五、1##</w:t>
      </w:r>
    </w:p>
    <w:bookmarkEnd w:id="102"/>
    <w:p>
      <w:r>
        <w:t>（附注完）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