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262AB">
      <w:pPr>
        <w:jc w:val="center"/>
        <w:rPr>
          <w:rFonts w:ascii="Arial Narrow" w:hAnsi="Arial Narrow" w:eastAsia="仿宋_GB2312" w:cs="Arial Narrow"/>
          <w:sz w:val="24"/>
          <w:szCs w:val="24"/>
          <w:lang w:eastAsia="zh-CN"/>
        </w:rPr>
      </w:pPr>
    </w:p>
    <w:p w14:paraId="4F063235">
      <w:pPr>
        <w:jc w:val="center"/>
        <w:rPr>
          <w:rFonts w:ascii="Arial Narrow" w:hAnsi="Arial Narrow" w:eastAsia="仿宋_GB2312" w:cs="Arial Narrow"/>
          <w:sz w:val="24"/>
          <w:szCs w:val="24"/>
          <w:lang w:eastAsia="zh-CN"/>
        </w:rPr>
      </w:pPr>
    </w:p>
    <w:p w14:paraId="48F7A6A2">
      <w:pPr>
        <w:jc w:val="center"/>
        <w:rPr>
          <w:rFonts w:ascii="Arial Narrow" w:hAnsi="Arial Narrow" w:eastAsia="仿宋_GB2312" w:cs="Arial Narrow"/>
          <w:sz w:val="24"/>
          <w:szCs w:val="24"/>
          <w:lang w:eastAsia="zh-CN"/>
        </w:rPr>
      </w:pPr>
    </w:p>
    <w:p w14:paraId="183B6627">
      <w:pPr>
        <w:jc w:val="center"/>
        <w:rPr>
          <w:rFonts w:ascii="Arial Narrow" w:hAnsi="Arial Narrow" w:eastAsia="仿宋_GB2312" w:cs="Arial Narrow"/>
          <w:sz w:val="24"/>
          <w:szCs w:val="24"/>
          <w:lang w:eastAsia="zh-CN"/>
        </w:rPr>
      </w:pPr>
    </w:p>
    <w:p w14:paraId="14529755">
      <w:pPr>
        <w:jc w:val="center"/>
        <w:rPr>
          <w:rFonts w:ascii="Arial Narrow" w:hAnsi="Arial Narrow" w:eastAsia="仿宋_GB2312" w:cs="Arial Narrow"/>
          <w:sz w:val="24"/>
        </w:rPr>
      </w:pPr>
    </w:p>
    <w:p w14:paraId="4D783067">
      <w:pPr>
        <w:jc w:val="center"/>
        <w:rPr>
          <w:rFonts w:ascii="Arial Narrow" w:hAnsi="Arial Narrow" w:eastAsia="仿宋_GB2312" w:cs="Arial Narrow"/>
          <w:sz w:val="24"/>
        </w:rPr>
      </w:pPr>
    </w:p>
    <w:p w14:paraId="107CCC4E">
      <w:pPr>
        <w:jc w:val="center"/>
        <w:rPr>
          <w:rFonts w:ascii="Arial Narrow" w:hAnsi="Arial Narrow" w:eastAsia="仿宋_GB2312" w:cs="Arial Narrow"/>
          <w:sz w:val="24"/>
          <w:lang w:eastAsia="zh-CN"/>
        </w:rPr>
      </w:pPr>
    </w:p>
    <w:p w14:paraId="37CC3242">
      <w:pPr>
        <w:jc w:val="center"/>
        <w:rPr>
          <w:rFonts w:ascii="Arial Narrow" w:hAnsi="Arial Narrow" w:eastAsia="仿宋_GB2312" w:cs="Arial Narrow"/>
          <w:sz w:val="24"/>
          <w:lang w:eastAsia="zh-CN"/>
        </w:rPr>
      </w:pPr>
    </w:p>
    <w:p w14:paraId="656A70C4">
      <w:pPr>
        <w:numPr>
          <w:ilvl w:val="0"/>
          <w:numId w:val="0"/>
        </w:numPr>
        <w:spacing w:line="360" w:lineRule="auto"/>
        <w:ind w:firstLine="0"/>
        <w:jc w:val="center"/>
        <w:outlineLvl w:val="0"/>
        <w:rPr>
          <w:rFonts w:ascii="黑体;SimHei" w:hAnsi="黑体;SimHei" w:eastAsia="黑体;SimHei" w:cs="Arial Narrow"/>
          <w:b/>
          <w:sz w:val="48"/>
          <w:szCs w:val="48"/>
          <w:lang w:eastAsia="zh-CN"/>
        </w:rPr>
      </w:pPr>
      <w:bookmarkStart w:id="0" w:name="_GoBack"/>
      <w:r>
        <w:rPr>
          <w:rFonts w:hint="eastAsia" w:ascii="黑体;SimHei" w:hAnsi="黑体;SimHei" w:eastAsia="黑体;SimHei" w:cs="Arial Narrow"/>
          <w:b/>
          <w:color w:val="auto"/>
          <w:sz w:val="48"/>
          <w:szCs w:val="48"/>
          <w:lang w:eastAsia="zh-CN"/>
        </w:rPr>
        <w:t>{{company_full_name}}</w:t>
      </w:r>
    </w:p>
    <w:p w14:paraId="0A061D71">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bookmarkEnd w:id="0"/>
    <w:p w14:paraId="3698920F">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4F43BB4F">
      <w:pPr>
        <w:jc w:val="center"/>
        <w:rPr>
          <w:rFonts w:ascii="Arial Narrow" w:hAnsi="Arial Narrow" w:eastAsia="仿宋_GB2312" w:cs="Arial Narrow"/>
          <w:b/>
          <w:sz w:val="44"/>
          <w:szCs w:val="44"/>
          <w:lang w:eastAsia="zh-CN"/>
        </w:rPr>
      </w:pPr>
    </w:p>
    <w:p w14:paraId="44476C86">
      <w:pPr>
        <w:jc w:val="center"/>
        <w:rPr>
          <w:rFonts w:ascii="Arial Narrow" w:hAnsi="Arial Narrow" w:eastAsia="仿宋_GB2312" w:cs="Arial Narrow"/>
          <w:b/>
          <w:sz w:val="44"/>
          <w:szCs w:val="44"/>
          <w:lang w:eastAsia="zh-CN"/>
        </w:rPr>
      </w:pPr>
    </w:p>
    <w:p w14:paraId="188EA6BE">
      <w:pPr>
        <w:jc w:val="center"/>
        <w:rPr>
          <w:rFonts w:ascii="Arial Narrow" w:hAnsi="Arial Narrow" w:eastAsia="仿宋_GB2312" w:cs="Arial Narrow"/>
          <w:b/>
          <w:sz w:val="44"/>
          <w:szCs w:val="44"/>
          <w:lang w:eastAsia="zh-CN"/>
        </w:rPr>
      </w:pPr>
    </w:p>
    <w:p w14:paraId="5F6DFF5F">
      <w:pPr>
        <w:jc w:val="center"/>
        <w:rPr>
          <w:rFonts w:ascii="Arial Narrow" w:hAnsi="Arial Narrow" w:eastAsia="仿宋_GB2312" w:cs="Arial Narrow"/>
          <w:b/>
          <w:sz w:val="44"/>
          <w:szCs w:val="44"/>
          <w:lang w:eastAsia="zh-CN"/>
        </w:rPr>
      </w:pPr>
    </w:p>
    <w:p w14:paraId="2FCAE491">
      <w:pPr>
        <w:jc w:val="center"/>
        <w:rPr>
          <w:rFonts w:ascii="Arial Narrow" w:hAnsi="Arial Narrow" w:eastAsia="仿宋_GB2312" w:cs="Arial Narrow"/>
          <w:b/>
          <w:sz w:val="44"/>
          <w:szCs w:val="44"/>
          <w:lang w:eastAsia="zh-CN"/>
        </w:rPr>
      </w:pPr>
    </w:p>
    <w:p w14:paraId="72660D19">
      <w:pPr>
        <w:jc w:val="center"/>
        <w:rPr>
          <w:rFonts w:ascii="Arial Narrow" w:hAnsi="Arial Narrow" w:eastAsia="仿宋_GB2312" w:cs="Arial Narrow"/>
          <w:b/>
          <w:sz w:val="44"/>
          <w:szCs w:val="44"/>
          <w:lang w:eastAsia="zh-CN"/>
        </w:rPr>
      </w:pPr>
    </w:p>
    <w:p w14:paraId="7E0230C6">
      <w:pPr>
        <w:jc w:val="center"/>
        <w:rPr>
          <w:rFonts w:ascii="Arial Narrow" w:hAnsi="Arial Narrow" w:eastAsia="仿宋_GB2312" w:cs="Arial Narrow"/>
          <w:b/>
          <w:sz w:val="44"/>
          <w:szCs w:val="44"/>
          <w:lang w:eastAsia="zh-CN"/>
        </w:rPr>
      </w:pPr>
    </w:p>
    <w:p w14:paraId="2B775BDC">
      <w:pPr>
        <w:jc w:val="center"/>
        <w:rPr>
          <w:rFonts w:ascii="Arial Narrow" w:hAnsi="Arial Narrow" w:eastAsia="仿宋_GB2312" w:cs="Arial Narrow"/>
          <w:b/>
          <w:sz w:val="44"/>
          <w:szCs w:val="44"/>
          <w:lang w:eastAsia="zh-CN"/>
        </w:rPr>
      </w:pPr>
    </w:p>
    <w:p w14:paraId="2111806A">
      <w:pPr>
        <w:jc w:val="center"/>
        <w:rPr>
          <w:rFonts w:ascii="Arial Narrow" w:hAnsi="Arial Narrow" w:eastAsia="仿宋_GB2312" w:cs="Arial Narrow"/>
          <w:b/>
          <w:sz w:val="44"/>
          <w:szCs w:val="44"/>
          <w:lang w:eastAsia="zh-CN"/>
        </w:rPr>
      </w:pPr>
    </w:p>
    <w:p w14:paraId="72988909">
      <w:pPr>
        <w:jc w:val="center"/>
        <w:rPr>
          <w:rFonts w:ascii="Arial Narrow" w:hAnsi="Arial Narrow" w:eastAsia="仿宋_GB2312" w:cs="Arial Narrow"/>
          <w:b/>
          <w:sz w:val="44"/>
          <w:szCs w:val="44"/>
          <w:lang w:eastAsia="zh-CN"/>
        </w:rPr>
      </w:pPr>
    </w:p>
    <w:p w14:paraId="0357C0AF">
      <w:pPr>
        <w:jc w:val="center"/>
        <w:rPr>
          <w:rFonts w:ascii="Arial Narrow" w:hAnsi="Arial Narrow" w:eastAsia="仿宋_GB2312" w:cs="Arial Narrow"/>
          <w:b/>
          <w:sz w:val="44"/>
          <w:szCs w:val="44"/>
          <w:lang w:eastAsia="zh-CN"/>
        </w:rPr>
      </w:pPr>
    </w:p>
    <w:p w14:paraId="5F871431">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B89BBE3">
      <w:pPr>
        <w:sectPr>
          <w:headerReference r:id="rId3" w:type="default"/>
          <w:footerReference r:id="rId4" w:type="default"/>
          <w:pgSz w:w="11906" w:h="16838"/>
          <w:pgMar w:top="2835" w:right="1803" w:bottom="1440" w:left="1985" w:header="851" w:footer="851" w:gutter="0"/>
          <w:pgNumType w:fmt="decimal"/>
          <w:cols w:space="720" w:num="1"/>
          <w:formProt w:val="0"/>
          <w:docGrid w:linePitch="272" w:charSpace="0"/>
        </w:sectPr>
      </w:pPr>
    </w:p>
    <w:p w14:paraId="02AC39B7">
      <w:pPr>
        <w:jc w:val="center"/>
        <w:rPr>
          <w:rFonts w:hint="eastAsia" w:ascii="Arial Narrow" w:hAnsi="Arial Narrow" w:eastAsia="仿宋_GB2312" w:cs="Arial Narrow"/>
          <w:b/>
          <w:bCs/>
          <w:color w:val="0000FF"/>
          <w:sz w:val="24"/>
          <w:szCs w:val="44"/>
          <w:lang w:eastAsia="zh-CN"/>
        </w:rPr>
      </w:pPr>
    </w:p>
    <w:p w14:paraId="285A2021">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5F4FCC78">
        <w:tblPrEx>
          <w:tblCellMar>
            <w:top w:w="0" w:type="dxa"/>
            <w:left w:w="108" w:type="dxa"/>
            <w:bottom w:w="0" w:type="dxa"/>
            <w:right w:w="108" w:type="dxa"/>
          </w:tblCellMar>
        </w:tblPrEx>
        <w:trPr>
          <w:trHeight w:val="851" w:hRule="exact"/>
        </w:trPr>
        <w:tc>
          <w:tcPr>
            <w:tcW w:w="6687" w:type="dxa"/>
            <w:vAlign w:val="center"/>
          </w:tcPr>
          <w:p w14:paraId="13A2A523">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5A7E9159">
            <w:pPr>
              <w:rPr>
                <w:rFonts w:ascii="Arial Narrow" w:hAnsi="Arial Narrow" w:cs="宋体;SimSun"/>
                <w:b/>
                <w:bCs/>
                <w:color w:val="000000"/>
                <w:sz w:val="24"/>
                <w:szCs w:val="24"/>
                <w:lang w:eastAsia="zh-CN"/>
              </w:rPr>
            </w:pPr>
            <w:r>
              <w:rPr>
                <w:rFonts w:hint="eastAsia" w:ascii="Arial Narrow" w:hAnsi="Arial Narrow" w:cs="宋体;SimSun"/>
                <w:b/>
                <w:bCs/>
                <w:color w:val="000000"/>
                <w:sz w:val="24"/>
                <w:szCs w:val="24"/>
                <w:lang w:eastAsia="zh-CN"/>
              </w:rPr>
              <w:t>1-</w:t>
            </w:r>
            <w:r>
              <w:rPr>
                <w:rFonts w:ascii="Arial Narrow" w:hAnsi="Arial Narrow" w:cs="宋体;SimSun"/>
                <w:b/>
                <w:bCs/>
                <w:color w:val="FF0000"/>
                <w:sz w:val="24"/>
                <w:szCs w:val="24"/>
                <w:lang w:eastAsia="zh-CN"/>
              </w:rPr>
              <w:t>X</w:t>
            </w:r>
          </w:p>
        </w:tc>
      </w:tr>
      <w:tr w14:paraId="4986F6FB">
        <w:tblPrEx>
          <w:tblCellMar>
            <w:top w:w="0" w:type="dxa"/>
            <w:left w:w="108" w:type="dxa"/>
            <w:bottom w:w="0" w:type="dxa"/>
            <w:right w:w="108" w:type="dxa"/>
          </w:tblCellMar>
        </w:tblPrEx>
        <w:trPr>
          <w:trHeight w:val="851" w:hRule="exact"/>
        </w:trPr>
        <w:tc>
          <w:tcPr>
            <w:tcW w:w="6687" w:type="dxa"/>
            <w:vAlign w:val="center"/>
          </w:tcPr>
          <w:p w14:paraId="0EB418F2">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45F76990">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1-2</w:t>
            </w:r>
          </w:p>
        </w:tc>
      </w:tr>
      <w:tr w14:paraId="5BE15CCE">
        <w:tblPrEx>
          <w:tblCellMar>
            <w:top w:w="0" w:type="dxa"/>
            <w:left w:w="108" w:type="dxa"/>
            <w:bottom w:w="0" w:type="dxa"/>
            <w:right w:w="108" w:type="dxa"/>
          </w:tblCellMar>
        </w:tblPrEx>
        <w:trPr>
          <w:trHeight w:val="851" w:hRule="exact"/>
        </w:trPr>
        <w:tc>
          <w:tcPr>
            <w:tcW w:w="6687" w:type="dxa"/>
            <w:vAlign w:val="center"/>
          </w:tcPr>
          <w:p w14:paraId="1712A4DD">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6B829549">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3</w:t>
            </w:r>
          </w:p>
        </w:tc>
      </w:tr>
      <w:tr w14:paraId="15824705">
        <w:tblPrEx>
          <w:tblCellMar>
            <w:top w:w="0" w:type="dxa"/>
            <w:left w:w="108" w:type="dxa"/>
            <w:bottom w:w="0" w:type="dxa"/>
            <w:right w:w="108" w:type="dxa"/>
          </w:tblCellMar>
        </w:tblPrEx>
        <w:trPr>
          <w:trHeight w:val="851" w:hRule="exact"/>
        </w:trPr>
        <w:tc>
          <w:tcPr>
            <w:tcW w:w="6687" w:type="dxa"/>
            <w:vAlign w:val="center"/>
          </w:tcPr>
          <w:p w14:paraId="6E6C9B9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38AC50A4">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4</w:t>
            </w:r>
          </w:p>
        </w:tc>
      </w:tr>
      <w:tr w14:paraId="069E31D7">
        <w:tblPrEx>
          <w:tblCellMar>
            <w:top w:w="0" w:type="dxa"/>
            <w:left w:w="108" w:type="dxa"/>
            <w:bottom w:w="0" w:type="dxa"/>
            <w:right w:w="108" w:type="dxa"/>
          </w:tblCellMar>
        </w:tblPrEx>
        <w:trPr>
          <w:trHeight w:val="851" w:hRule="exact"/>
        </w:trPr>
        <w:tc>
          <w:tcPr>
            <w:tcW w:w="6687" w:type="dxa"/>
            <w:vAlign w:val="center"/>
          </w:tcPr>
          <w:p w14:paraId="6A7E432F">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12021D2E">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5-6</w:t>
            </w:r>
          </w:p>
        </w:tc>
      </w:tr>
      <w:tr w14:paraId="35775781">
        <w:tblPrEx>
          <w:tblCellMar>
            <w:top w:w="0" w:type="dxa"/>
            <w:left w:w="108" w:type="dxa"/>
            <w:bottom w:w="0" w:type="dxa"/>
            <w:right w:w="108" w:type="dxa"/>
          </w:tblCellMar>
        </w:tblPrEx>
        <w:trPr>
          <w:trHeight w:val="851" w:hRule="exact"/>
        </w:trPr>
        <w:tc>
          <w:tcPr>
            <w:tcW w:w="6687" w:type="dxa"/>
            <w:vAlign w:val="center"/>
          </w:tcPr>
          <w:p w14:paraId="1AA7A3A0">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1A8B49FC">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7-</w:t>
            </w:r>
            <w:r>
              <w:rPr>
                <w:rFonts w:ascii="Arial Narrow" w:hAnsi="Arial Narrow" w:cs="宋体;SimSun"/>
                <w:b/>
                <w:bCs/>
                <w:color w:val="FF0000"/>
                <w:sz w:val="24"/>
                <w:szCs w:val="24"/>
                <w:lang w:eastAsia="zh-CN"/>
              </w:rPr>
              <w:t>X</w:t>
            </w:r>
          </w:p>
        </w:tc>
      </w:tr>
    </w:tbl>
    <w:p w14:paraId="36DE55EF">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5E17B6E3">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34F597D9">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04C974E3">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2D071F07">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0449EB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58077BCE">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4264E1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49C2E3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74E868E">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04C974E3">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2D071F07">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0449EB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58077BCE">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4264E1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49C2E3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74E868E">
                      <w:pPr>
                        <w:rPr>
                          <w:rFonts w:ascii="Arial Narrow" w:hAnsi="Arial Narrow" w:eastAsia="黑体;SimHei" w:cs="Arial Narrow"/>
                          <w:sz w:val="14"/>
                          <w:szCs w:val="14"/>
                        </w:rPr>
                      </w:pPr>
                    </w:p>
                  </w:txbxContent>
                </v:textbox>
              </v:shape>
            </w:pict>
          </mc:Fallback>
        </mc:AlternateContent>
      </w:r>
    </w:p>
    <w:p w14:paraId="26896BEC">
      <w:pPr>
        <w:rPr>
          <w:rFonts w:ascii="Arial Narrow" w:hAnsi="Arial Narrow" w:eastAsia="仿宋_GB2312" w:cs="Arial Narrow"/>
          <w:sz w:val="24"/>
          <w:szCs w:val="24"/>
          <w:lang w:eastAsia="zh-CN"/>
        </w:rPr>
      </w:pPr>
    </w:p>
    <w:p w14:paraId="73FDDA20">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64CE7B9C">
      <w:pPr>
        <w:spacing w:line="340" w:lineRule="atLeast"/>
        <w:jc w:val="both"/>
        <w:rPr>
          <w:rFonts w:ascii="Arial Narrow" w:hAnsi="Arial Narrow" w:eastAsia="仿宋_GB2312" w:cs="Arial Narrow"/>
          <w:b/>
          <w:color w:val="0000FF"/>
          <w:sz w:val="24"/>
          <w:szCs w:val="24"/>
          <w:lang w:eastAsia="zh-CN"/>
        </w:rPr>
      </w:pPr>
    </w:p>
    <w:p w14:paraId="113B830D">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53C8690C">
      <w:pPr>
        <w:spacing w:line="340" w:lineRule="atLeast"/>
        <w:rPr>
          <w:rFonts w:ascii="Arial Narrow" w:hAnsi="Arial Narrow" w:eastAsia="仿宋_GB2312" w:cs="Arial Narrow"/>
          <w:b/>
          <w:color w:val="FF0000"/>
          <w:sz w:val="24"/>
          <w:szCs w:val="24"/>
          <w:lang w:eastAsia="zh-CN"/>
        </w:rPr>
      </w:pPr>
    </w:p>
    <w:p w14:paraId="6B1B419F">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p>
    <w:p w14:paraId="14791E3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保留</w:t>
      </w:r>
      <w:r>
        <w:rPr>
          <w:rFonts w:hint="eastAsia" w:ascii="Arial Narrow" w:hAnsi="Arial Narrow" w:eastAsia="仿宋_GB2312" w:cs="Arial Narrow"/>
          <w:b/>
          <w:bCs/>
          <w:sz w:val="24"/>
          <w:szCs w:val="24"/>
        </w:rPr>
        <w:t>意见</w:t>
      </w:r>
    </w:p>
    <w:p w14:paraId="3C8C59F0">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004E3C5D">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除“形成保留意见的基础”部分所述事项产生的影响外，后附的财务报表在所有重大方面按照企业会计准则的规定编制，公允反映了{{company_short_name}}{{audit_period_end}}的财务状况以及{{audit_year}}年度的经营成果和现金流量。</w:t>
      </w:r>
    </w:p>
    <w:p w14:paraId="3E845F71">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二、形成保留意见的基础</w:t>
      </w:r>
    </w:p>
    <w:tbl>
      <w:tblPr>
        <w:tblStyle w:val="9"/>
        <w:tblW w:w="8335" w:type="dxa"/>
        <w:tblInd w:w="0" w:type="dxa"/>
        <w:tblLayout w:type="fixed"/>
        <w:tblCellMar>
          <w:top w:w="0" w:type="dxa"/>
          <w:left w:w="108" w:type="dxa"/>
          <w:bottom w:w="0" w:type="dxa"/>
          <w:right w:w="108" w:type="dxa"/>
        </w:tblCellMar>
      </w:tblPr>
      <w:tblGrid>
        <w:gridCol w:w="8335"/>
      </w:tblGrid>
      <w:tr w14:paraId="6459F488">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197B2BE2">
            <w:pPr>
              <w:widowControl w:val="0"/>
              <w:tabs>
                <w:tab w:val="left" w:pos="0"/>
                <w:tab w:val="left" w:pos="993"/>
              </w:tabs>
              <w:spacing w:before="120" w:after="60"/>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5FEA781E">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如果无法量化财务影响，注册会计师应当在该部分说明这一情况。如果因无法获取充分、适当的审计证据而导致发表非无保留意见，注册会计师应当在“形成审计意见的基础”部分说明无法获取审计证据的原因。</w:t>
            </w:r>
          </w:p>
          <w:p w14:paraId="564CBFF0">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p w14:paraId="50B550E2">
            <w:pPr>
              <w:widowControl w:val="0"/>
              <w:snapToGrid w:val="0"/>
              <w:spacing w:line="300" w:lineRule="auto"/>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w:t>
            </w:r>
            <w:r>
              <w:rPr>
                <w:rFonts w:hint="eastAsia" w:ascii="Arial Narrow" w:hAnsi="Arial Narrow" w:eastAsia="仿宋_GB2312" w:cs="Arial Narrow"/>
                <w:b/>
                <w:bCs/>
                <w:color w:val="FF0000"/>
                <w:sz w:val="24"/>
                <w:szCs w:val="24"/>
                <w:lang w:eastAsia="zh-CN"/>
              </w:rPr>
              <w:t>“受限”事项未能获取的审计证据内容，即应获取何种审计证据方可解决“受限”</w:t>
            </w:r>
            <w:r>
              <w:rPr>
                <w:rFonts w:hint="eastAsia" w:ascii="Arial Narrow" w:hAnsi="Arial Narrow" w:eastAsia="仿宋_GB2312" w:cs="Arial Narrow"/>
                <w:b/>
                <w:bCs/>
                <w:color w:val="0000FF"/>
                <w:sz w:val="24"/>
                <w:szCs w:val="24"/>
                <w:lang w:eastAsia="zh-CN"/>
              </w:rPr>
              <w:t>。</w:t>
            </w:r>
          </w:p>
        </w:tc>
      </w:tr>
    </w:tbl>
    <w:p w14:paraId="58136C15">
      <w:pPr>
        <w:snapToGrid w:val="0"/>
        <w:spacing w:line="300" w:lineRule="auto"/>
        <w:ind w:left="0" w:leftChars="0" w:right="0" w:rightChars="0" w:firstLine="480" w:firstLineChars="20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audit_period_end}}资产负债表中存货的列示金额为×元。{{company_short_name}}管理层（以下简称管理层）根据成本对存货进行计量，而没有根据成本与可变现净值孰低的原则进行计量，这不符合企业会计准则的规定。{{company_short_name}}的会计记录显示，如果管理层以成本与可变现净值孰低来计量存货，存货列示金额将减少×元。相应地，资产减值损失将增加×元，所得税、净利润和股东权益将分别减少×元、×元和×元。</w:t>
      </w:r>
    </w:p>
    <w:p w14:paraId="6559BDC3">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##NOTE:单体复核:以下涉及合并/集团审计，单体报告可能需删除或调整## 如财务报表附注×所述，{{company_short_name}}于{{audit_year}}年取得了境外XYZ公司30%的股权，因能够对XYZ公司施加重大影响，故采用权益法核算该项股权投资，于{{audit_year}}年度确认对XYZ公司的投资收益×元，该项股权投资于{{audit_period_end}}合并资产负债表上反映的账面价值为×元。由于我们未被允许接触XYZ公司的财务信息、管理层和执行XYZ公司审计的注册会计师，我们无法就该项股权投资的账面价值以及{{company_short_name}}确认的{{audit_year}}年度对XYZ公司的投资收益获取充分、适当的审计证据，也无法确定是否有必要对这些金额进行调整。</w:t>
      </w:r>
    </w:p>
    <w:p w14:paraId="737FB860">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保留意见提供了基础。</w:t>
      </w:r>
    </w:p>
    <w:p w14:paraId="00DB663F">
      <w:r>
        <w:t>##OPT:other_information:其他信息##</w:t>
      </w:r>
    </w:p>
    <w:p w14:paraId="55C7A7C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sz w:val="24"/>
          <w:szCs w:val="24"/>
          <w:lang w:eastAsia="zh-CN"/>
        </w:rPr>
        <w:t>三、其他信息</w:t>
      </w:r>
    </w:p>
    <w:p w14:paraId="17C7DF72">
      <w:pPr>
        <w:spacing w:before="120" w:after="0" w:line="300" w:lineRule="auto"/>
        <w:ind w:left="0" w:leftChars="0" w:right="0" w:rightChars="0" w:firstLine="480" w:firstLineChars="200"/>
        <w:jc w:val="both"/>
        <w:rPr>
          <w:rFonts w:ascii="仿宋_GB2312" w:hAnsi="仿宋_GB2312" w:eastAsia="仿宋_GB2312" w:cs="Arial Narrow"/>
          <w:color w:val="0000FF"/>
          <w:spacing w:val="4"/>
          <w:sz w:val="24"/>
          <w:szCs w:val="24"/>
          <w:lang w:eastAsia="zh-CN"/>
        </w:rPr>
      </w:pPr>
      <w:r>
        <w:rPr>
          <w:rFonts w:ascii="Times New Roman" w:hAnsi="Times New Roman" w:eastAsia="仿宋_GB2312" w:cs="Arial Narrow"/>
          <w:color w:val="FF0000"/>
          <w:sz w:val="24"/>
          <w:szCs w:val="24"/>
        </w:rPr>
        <w:t>{{company_short_name}}管理层（以下简称管理层）对其他信息负责。其他信息包括{{company_short_name}}{{audit_year}}年年度报告中涵盖的信息，但不包括财务报表和我们的审计报告。</w:t>
      </w:r>
    </w:p>
    <w:p w14:paraId="1CE94D3C">
      <w:pPr>
        <w:spacing w:before="120" w:after="0" w:line="300" w:lineRule="auto"/>
        <w:ind w:left="0" w:leftChars="0" w:right="0" w:rightChars="0" w:firstLine="480" w:firstLineChars="200"/>
        <w:jc w:val="both"/>
        <w:rPr>
          <w:rFonts w:ascii="仿宋_GB2312" w:hAnsi="仿宋_GB2312" w:eastAsia="仿宋_GB2312"/>
          <w:sz w:val="24"/>
          <w:szCs w:val="24"/>
        </w:rPr>
      </w:pPr>
      <w:r>
        <w:rPr>
          <w:rFonts w:hint="eastAsia" w:ascii="仿宋_GB2312" w:hAnsi="仿宋_GB2312" w:eastAsia="仿宋_GB2312"/>
          <w:sz w:val="24"/>
          <w:szCs w:val="24"/>
        </w:rPr>
        <w:t>我们对财务报表发表的审计意见不涵盖其他信息，我们也不对其他信息发表任何形式的鉴证结论。</w:t>
      </w:r>
    </w:p>
    <w:p w14:paraId="422B585D">
      <w:pPr>
        <w:spacing w:before="120" w:after="0" w:line="300" w:lineRule="auto"/>
        <w:ind w:left="0" w:leftChars="0" w:right="0" w:rightChars="0" w:firstLine="480" w:firstLineChars="200"/>
        <w:jc w:val="both"/>
        <w:rPr>
          <w:rFonts w:ascii="仿宋_GB2312" w:hAnsi="仿宋_GB2312" w:eastAsia="仿宋_GB2312"/>
          <w:sz w:val="24"/>
          <w:szCs w:val="24"/>
        </w:rPr>
      </w:pPr>
      <w:r>
        <w:rPr>
          <w:rFonts w:hint="eastAsia" w:ascii="仿宋_GB2312" w:hAnsi="仿宋_GB2312" w:eastAsia="仿宋_GB2312"/>
          <w:sz w:val="24"/>
          <w:szCs w:val="24"/>
        </w:rPr>
        <w:t>结合我们对财务报表的审计，我们的责任是阅读其他信息，在此过程中，考虑其他信息是否与财务报表或我们在审计过程中了解到的情况存在重大不一致或者似乎存在重大错报。</w:t>
      </w:r>
    </w:p>
    <w:p w14:paraId="5B77C877">
      <w:pPr>
        <w:spacing w:before="120" w:after="0" w:line="300" w:lineRule="auto"/>
        <w:ind w:left="0" w:leftChars="0" w:right="0" w:rightChars="0" w:firstLine="480" w:firstLineChars="200"/>
        <w:jc w:val="both"/>
        <w:rPr>
          <w:rFonts w:ascii="Arial Narrow" w:hAnsi="Arial Narrow" w:eastAsia="仿宋_GB2312" w:cs="Arial Narrow"/>
          <w:b/>
          <w:bCs/>
          <w:color w:val="0000FF"/>
          <w:sz w:val="24"/>
          <w:szCs w:val="24"/>
          <w:lang w:eastAsia="zh-CN"/>
        </w:rPr>
      </w:pPr>
      <w:r>
        <w:rPr>
          <w:rFonts w:hint="eastAsia" w:ascii="仿宋_GB2312" w:hAnsi="仿宋_GB2312" w:eastAsia="仿宋_GB2312"/>
          <w:color w:val="FF0000"/>
          <w:sz w:val="24"/>
          <w:szCs w:val="24"/>
        </w:rPr>
        <w:t>基于我们已执行的工作，如果我们确定其他信息存在重大错报，我们应当报告该事实……</w:t>
      </w:r>
    </w:p>
    <w:p w14:paraId="441A7B70">
      <w:pPr>
        <w:spacing w:before="120" w:after="0" w:line="300" w:lineRule="auto"/>
        <w:ind w:left="0" w:leftChars="0" w:right="0" w:rightChars="0" w:firstLine="480" w:firstLineChars="200"/>
        <w:jc w:val="both"/>
        <w:rPr>
          <w:rFonts w:ascii="Arial Narrow" w:hAnsi="Arial Narrow" w:eastAsia="仿宋_GB2312" w:cs="Arial Narrow"/>
          <w:b/>
          <w:bCs/>
          <w:color w:val="0000FF"/>
          <w:sz w:val="24"/>
          <w:szCs w:val="24"/>
          <w:lang w:eastAsia="zh-CN"/>
        </w:rPr>
      </w:pPr>
      <w:r>
        <w:rPr>
          <w:rFonts w:hint="eastAsia" w:ascii="仿宋_GB2312" w:hAnsi="仿宋_GB2312" w:eastAsia="仿宋_GB2312"/>
          <w:sz w:val="24"/>
          <w:szCs w:val="24"/>
        </w:rPr>
        <w:t>基于我们已执行的工作，如果我们确定其他信息存在重大错报，我们应当报告该事实。如上述“形成保留意见的基础”部分所述，我们无法就{{audit_period_end}}{{company_short_name}}对XYZ公司投资的账面价值以及{{company_short_name}}按持股比例计算的XYZ公司当年度净收益份额获取充分、适当的审计证据。因此，我们无法确定与该事项相关的其他信息是否存在重大错报。</w:t>
      </w:r>
    </w:p>
    <w:p w14:paraId="1BBDB3F2">
      <w:pPr>
        <w:spacing w:before="120" w:after="0" w:line="300" w:lineRule="auto"/>
        <w:ind w:left="0" w:leftChars="0" w:right="0" w:rightChars="0" w:firstLine="480" w:firstLineChars="200"/>
        <w:jc w:val="both"/>
        <w:rPr>
          <w:rFonts w:ascii="仿宋_GB2312" w:hAnsi="仿宋_GB2312" w:eastAsia="仿宋_GB2312"/>
          <w:color w:val="FF0000"/>
          <w:sz w:val="24"/>
          <w:szCs w:val="24"/>
          <w:lang w:eastAsia="zh-CN"/>
        </w:rPr>
      </w:pPr>
      <w:r>
        <w:rPr>
          <w:rFonts w:hint="eastAsia" w:ascii="仿宋_GB2312" w:hAnsi="仿宋_GB2312" w:eastAsia="仿宋_GB2312"/>
          <w:sz w:val="24"/>
          <w:szCs w:val="24"/>
        </w:rPr>
        <w:t>基于我们已执行的工作，如果我们确定其他信息存在重大错报，我们应当报告该事实。如上述“形成保留意见的基础”部分所述，{{company_short_name}}{{audit_period_end}}资产负债表中的存货未根据成本与可变现净值孰低的原则进行计量，计价和分摊认定存在重大错报。我们认为，由于{{company_short_name}}{{audit_year}}年年度报告中的相关金额或其他项目受到存货计量的影响，其他信息存在重大错报。</w:t>
      </w:r>
    </w:p>
    <w:p w14:paraId="5D8CD2A3">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lang w:eastAsia="zh-CN"/>
        </w:rPr>
        <w:t>四</w:t>
      </w:r>
      <w:r>
        <w:rPr>
          <w:rFonts w:hint="eastAsia" w:ascii="Arial Narrow" w:hAnsi="Arial Narrow" w:eastAsia="仿宋_GB2312" w:cs="Arial Narrow"/>
          <w:b/>
          <w:bCs/>
          <w:sz w:val="24"/>
          <w:szCs w:val="24"/>
        </w:rPr>
        <w:t>、关键审计事项</w:t>
      </w:r>
    </w:p>
    <w:p w14:paraId="1B23A45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除“形成保留意见的基础”部分所述事项外，我们确定下列事项是需要在审计报告中沟通的关键审计事项。</w:t>
      </w:r>
    </w:p>
    <w:p w14:paraId="7FFC93AF">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（一）</w:t>
      </w:r>
      <w:r>
        <w:rPr>
          <w:rFonts w:hint="eastAsia" w:ascii="Arial Narrow" w:hAnsi="Arial Narrow" w:eastAsia="仿宋_GB2312" w:cs="Arial Narrow"/>
          <w:color w:val="FF0000"/>
          <w:spacing w:val="4"/>
          <w:sz w:val="24"/>
          <w:szCs w:val="24"/>
          <w:lang w:eastAsia="zh-CN"/>
        </w:rPr>
        <w:t>X子标题</w:t>
      </w:r>
    </w:p>
    <w:p w14:paraId="0E36BFE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相关信息披露详见财务报表附注</w:t>
      </w:r>
      <w:r>
        <w:rPr>
          <w:rFonts w:hint="eastAsia" w:ascii="Times New Roman" w:hAnsi="Times New Roman" w:eastAsia="仿宋_GB2312" w:cs="Arial Narrow"/>
          <w:color w:val="FF0000"/>
          <w:spacing w:val="4"/>
          <w:sz w:val="24"/>
          <w:szCs w:val="24"/>
          <w:lang w:eastAsia="zh-CN"/>
        </w:rPr>
        <w:t>X-XX</w:t>
      </w:r>
      <w:r>
        <w:rPr>
          <w:rFonts w:hint="eastAsia" w:ascii="Times New Roman" w:hAnsi="Times New Roman" w:eastAsia="仿宋_GB2312" w:cs="Arial Narrow"/>
          <w:spacing w:val="4"/>
          <w:sz w:val="24"/>
          <w:szCs w:val="24"/>
          <w:lang w:eastAsia="zh-CN"/>
        </w:rPr>
        <w:t>。</w:t>
      </w:r>
    </w:p>
    <w:p w14:paraId="57B488A0">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ascii="Arial Narrow" w:hAnsi="Arial Narrow" w:eastAsia="仿宋_GB2312" w:cs="Arial Narrow"/>
          <w:spacing w:val="4"/>
          <w:sz w:val="24"/>
          <w:szCs w:val="24"/>
          <w:lang w:eastAsia="zh-CN"/>
        </w:rPr>
        <w:t>1</w:t>
      </w:r>
      <w:r>
        <w:rPr>
          <w:rFonts w:hint="eastAsia" w:ascii="Arial Narrow" w:hAnsi="Arial Narrow" w:eastAsia="仿宋_GB2312" w:cs="Arial Narrow"/>
          <w:spacing w:val="4"/>
          <w:sz w:val="24"/>
          <w:szCs w:val="24"/>
          <w:lang w:eastAsia="zh-CN"/>
        </w:rPr>
        <w:t>、事项描述</w:t>
      </w:r>
    </w:p>
    <w:p w14:paraId="32F6E312">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7452B8BF">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ascii="Arial Narrow" w:hAnsi="Arial Narrow" w:eastAsia="仿宋_GB2312" w:cs="Arial Narrow"/>
          <w:spacing w:val="4"/>
          <w:sz w:val="24"/>
          <w:szCs w:val="24"/>
          <w:lang w:eastAsia="zh-CN"/>
        </w:rPr>
        <w:t>2</w:t>
      </w:r>
      <w:r>
        <w:rPr>
          <w:rFonts w:hint="eastAsia" w:ascii="Arial Narrow" w:hAnsi="Arial Narrow" w:eastAsia="仿宋_GB2312" w:cs="Arial Narrow"/>
          <w:spacing w:val="4"/>
          <w:sz w:val="24"/>
          <w:szCs w:val="24"/>
          <w:lang w:eastAsia="zh-CN"/>
        </w:rPr>
        <w:t>、审计应对</w:t>
      </w:r>
    </w:p>
    <w:p w14:paraId="5B355773">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4737D184">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（二）</w:t>
      </w:r>
      <w:r>
        <w:rPr>
          <w:rFonts w:hint="eastAsia" w:ascii="Arial Narrow" w:hAnsi="Arial Narrow" w:eastAsia="仿宋_GB2312" w:cs="Arial Narrow"/>
          <w:color w:val="FF0000"/>
          <w:spacing w:val="4"/>
          <w:sz w:val="24"/>
          <w:szCs w:val="24"/>
          <w:lang w:eastAsia="zh-CN"/>
        </w:rPr>
        <w:t>X子标题</w:t>
      </w:r>
    </w:p>
    <w:p w14:paraId="6C05190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相关信息披露详见财务报表附注</w:t>
      </w:r>
      <w:r>
        <w:rPr>
          <w:rFonts w:hint="eastAsia" w:ascii="Times New Roman" w:hAnsi="Times New Roman" w:eastAsia="仿宋_GB2312" w:cs="Arial Narrow"/>
          <w:color w:val="FF0000"/>
          <w:spacing w:val="4"/>
          <w:sz w:val="24"/>
          <w:szCs w:val="24"/>
          <w:lang w:eastAsia="zh-CN"/>
        </w:rPr>
        <w:t>X-XX</w:t>
      </w:r>
      <w:r>
        <w:rPr>
          <w:rFonts w:hint="eastAsia" w:ascii="Times New Roman" w:hAnsi="Times New Roman" w:eastAsia="仿宋_GB2312" w:cs="Arial Narrow"/>
          <w:spacing w:val="4"/>
          <w:sz w:val="24"/>
          <w:szCs w:val="24"/>
          <w:lang w:eastAsia="zh-CN"/>
        </w:rPr>
        <w:t>。</w:t>
      </w:r>
    </w:p>
    <w:p w14:paraId="3FF771E3">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ascii="Arial Narrow" w:hAnsi="Arial Narrow" w:eastAsia="仿宋_GB2312" w:cs="Arial Narrow"/>
          <w:spacing w:val="4"/>
          <w:sz w:val="24"/>
          <w:szCs w:val="24"/>
          <w:lang w:eastAsia="zh-CN"/>
        </w:rPr>
        <w:t>1</w:t>
      </w:r>
      <w:r>
        <w:rPr>
          <w:rFonts w:hint="eastAsia" w:ascii="Arial Narrow" w:hAnsi="Arial Narrow" w:eastAsia="仿宋_GB2312" w:cs="Arial Narrow"/>
          <w:spacing w:val="4"/>
          <w:sz w:val="24"/>
          <w:szCs w:val="24"/>
          <w:lang w:eastAsia="zh-CN"/>
        </w:rPr>
        <w:t>、事项描述</w:t>
      </w:r>
    </w:p>
    <w:p w14:paraId="618E31CF">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15ABE695">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ascii="Arial Narrow" w:hAnsi="Arial Narrow" w:eastAsia="仿宋_GB2312" w:cs="Arial Narrow"/>
          <w:spacing w:val="4"/>
          <w:sz w:val="24"/>
          <w:szCs w:val="24"/>
          <w:lang w:eastAsia="zh-CN"/>
        </w:rPr>
        <w:t>2</w:t>
      </w:r>
      <w:r>
        <w:rPr>
          <w:rFonts w:hint="eastAsia" w:ascii="Arial Narrow" w:hAnsi="Arial Narrow" w:eastAsia="仿宋_GB2312" w:cs="Arial Narrow"/>
          <w:spacing w:val="4"/>
          <w:sz w:val="24"/>
          <w:szCs w:val="24"/>
          <w:lang w:eastAsia="zh-CN"/>
        </w:rPr>
        <w:t>、审计应对</w:t>
      </w:r>
    </w:p>
    <w:p w14:paraId="3DB9AC93">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37383073">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382738BD">
      <w:r>
        <w:t>##/OPT:key_audit_matters##</w:t>
      </w:r>
    </w:p>
    <w:p w14:paraId="7E3513F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五、管理层和治理层对财务报表的责任</w:t>
      </w:r>
    </w:p>
    <w:p w14:paraId="6A5503A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3EAF5A8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1B27669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240A3AD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六、注册会计师对财务报表审计的责任</w:t>
      </w:r>
    </w:p>
    <w:p w14:paraId="00BF496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424D173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5969E8E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7595861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1913E73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061C5BBA">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007EC17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EFEA370">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60D3838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4794F80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5329B291">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4216964F">
      <w:pPr>
        <w:spacing w:before="120" w:after="0" w:line="300" w:lineRule="auto"/>
        <w:ind w:left="0" w:leftChars="0" w:right="0" w:rightChars="0" w:firstLineChars="200"/>
        <w:jc w:val="both"/>
        <w:rPr>
          <w:rFonts w:hint="eastAsia" w:ascii="Arial Narrow" w:hAnsi="Arial Narrow" w:eastAsia="仿宋_GB2312" w:cs="Arial Narrow"/>
          <w:color w:val="0000FF"/>
          <w:spacing w:val="4"/>
          <w:sz w:val="24"/>
          <w:szCs w:val="24"/>
          <w:lang w:eastAsia="zh-CN"/>
        </w:rPr>
      </w:pPr>
    </w:p>
    <w:p w14:paraId="148BB942">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p w14:paraId="79088C25">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282952F0">
        <w:tblPrEx>
          <w:tblCellMar>
            <w:top w:w="0" w:type="dxa"/>
            <w:left w:w="108" w:type="dxa"/>
            <w:bottom w:w="0" w:type="dxa"/>
            <w:right w:w="108" w:type="dxa"/>
          </w:tblCellMar>
        </w:tblPrEx>
        <w:trPr>
          <w:trHeight w:val="1305" w:hRule="atLeast"/>
        </w:trPr>
        <w:tc>
          <w:tcPr>
            <w:tcW w:w="3108" w:type="dxa"/>
          </w:tcPr>
          <w:p w14:paraId="08056F38">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3FB36B33">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5413E64C">
            <w:pPr>
              <w:spacing w:line="340" w:lineRule="atLeast"/>
              <w:rPr>
                <w:rFonts w:ascii="Arial Narrow" w:hAnsi="Arial Narrow" w:eastAsia="仿宋_GB2312" w:cs="Arial Narrow"/>
                <w:color w:val="FF0000"/>
                <w:sz w:val="24"/>
                <w:szCs w:val="24"/>
                <w:highlight w:val="cyan"/>
                <w:lang w:val="en-AU" w:eastAsia="zh-CN"/>
              </w:rPr>
            </w:pPr>
          </w:p>
          <w:p w14:paraId="67D19CA1">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2DBA6996">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3A42A4E3">
            <w:pPr>
              <w:spacing w:line="340" w:lineRule="atLeast"/>
              <w:jc w:val="right"/>
              <w:rPr>
                <w:rFonts w:ascii="Arial Narrow" w:hAnsi="Arial Narrow" w:eastAsia="仿宋_GB2312" w:cs="Arial Narrow"/>
                <w:sz w:val="24"/>
                <w:szCs w:val="24"/>
                <w:lang w:eastAsia="zh-CN"/>
              </w:rPr>
            </w:pPr>
          </w:p>
          <w:p w14:paraId="19C803DB">
            <w:pPr>
              <w:spacing w:line="340" w:lineRule="atLeast"/>
              <w:jc w:val="right"/>
              <w:rPr>
                <w:rFonts w:ascii="Arial Narrow" w:hAnsi="Arial Narrow" w:eastAsia="仿宋_GB2312" w:cs="Arial Narrow"/>
                <w:sz w:val="24"/>
                <w:szCs w:val="24"/>
                <w:lang w:eastAsia="zh-CN"/>
              </w:rPr>
            </w:pPr>
          </w:p>
          <w:p w14:paraId="06FBAE54">
            <w:pPr>
              <w:spacing w:line="340" w:lineRule="atLeast"/>
              <w:jc w:val="right"/>
              <w:rPr>
                <w:rFonts w:ascii="Arial Narrow" w:hAnsi="Arial Narrow" w:eastAsia="仿宋_GB2312" w:cs="Arial Narrow"/>
                <w:sz w:val="24"/>
                <w:szCs w:val="24"/>
                <w:lang w:val="en-AU" w:eastAsia="zh-CN"/>
              </w:rPr>
            </w:pPr>
          </w:p>
          <w:p w14:paraId="00C1130E">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46796361">
            <w:pPr>
              <w:spacing w:line="340" w:lineRule="atLeast"/>
              <w:jc w:val="right"/>
              <w:rPr>
                <w:rFonts w:ascii="Arial Narrow" w:hAnsi="Arial Narrow" w:eastAsia="仿宋_GB2312" w:cs="Arial Narrow"/>
                <w:color w:val="0000FF"/>
                <w:sz w:val="24"/>
                <w:szCs w:val="24"/>
                <w:lang w:eastAsia="zh-CN"/>
              </w:rPr>
            </w:pPr>
          </w:p>
          <w:p w14:paraId="399C6F7F">
            <w:pPr>
              <w:spacing w:line="340" w:lineRule="atLeast"/>
              <w:jc w:val="right"/>
              <w:rPr>
                <w:rFonts w:ascii="Arial Narrow" w:hAnsi="Arial Narrow" w:eastAsia="仿宋_GB2312" w:cs="Arial Narrow"/>
                <w:color w:val="0000FF"/>
                <w:sz w:val="24"/>
                <w:szCs w:val="24"/>
                <w:lang w:eastAsia="zh-CN"/>
              </w:rPr>
            </w:pPr>
          </w:p>
        </w:tc>
        <w:tc>
          <w:tcPr>
            <w:tcW w:w="2204" w:type="dxa"/>
          </w:tcPr>
          <w:p w14:paraId="01C520BE">
            <w:pPr>
              <w:snapToGrid w:val="0"/>
              <w:spacing w:line="340" w:lineRule="atLeast"/>
              <w:rPr>
                <w:rFonts w:ascii="Arial Narrow" w:hAnsi="Arial Narrow" w:eastAsia="仿宋_GB2312" w:cs="Arial Narrow"/>
                <w:color w:val="FF0000"/>
                <w:sz w:val="24"/>
                <w:szCs w:val="24"/>
                <w:lang w:eastAsia="zh-CN"/>
              </w:rPr>
            </w:pPr>
          </w:p>
          <w:p w14:paraId="0394D241">
            <w:pPr>
              <w:spacing w:line="200" w:lineRule="atLeast"/>
              <w:rPr>
                <w:rFonts w:ascii="Arial Narrow" w:hAnsi="Arial Narrow" w:eastAsia="仿宋_GB2312" w:cs="Arial Narrow"/>
                <w:color w:val="FF0000"/>
                <w:sz w:val="24"/>
                <w:szCs w:val="24"/>
                <w:lang w:eastAsia="zh-CN"/>
              </w:rPr>
            </w:pPr>
          </w:p>
          <w:p w14:paraId="67A4BE5F">
            <w:pPr>
              <w:spacing w:line="200" w:lineRule="atLeast"/>
              <w:rPr>
                <w:rFonts w:ascii="Arial Narrow" w:hAnsi="Arial Narrow" w:eastAsia="仿宋_GB2312" w:cs="Arial Narrow"/>
                <w:sz w:val="24"/>
                <w:szCs w:val="24"/>
                <w:lang w:eastAsia="zh-CN"/>
              </w:rPr>
            </w:pPr>
          </w:p>
          <w:p w14:paraId="31C6E34B">
            <w:pPr>
              <w:spacing w:line="200" w:lineRule="atLeast"/>
              <w:rPr>
                <w:rFonts w:ascii="Arial Narrow" w:hAnsi="Arial Narrow" w:eastAsia="仿宋_GB2312" w:cs="Arial Narrow"/>
                <w:sz w:val="24"/>
                <w:szCs w:val="24"/>
                <w:lang w:eastAsia="zh-CN"/>
              </w:rPr>
            </w:pPr>
          </w:p>
          <w:p w14:paraId="571F6DFF">
            <w:pPr>
              <w:spacing w:line="200" w:lineRule="atLeast"/>
              <w:rPr>
                <w:rFonts w:ascii="Arial Narrow" w:hAnsi="Arial Narrow" w:eastAsia="仿宋_GB2312" w:cs="Arial Narrow"/>
                <w:color w:val="FF0000"/>
                <w:sz w:val="24"/>
                <w:szCs w:val="24"/>
                <w:lang w:eastAsia="zh-CN"/>
              </w:rPr>
            </w:pPr>
          </w:p>
        </w:tc>
      </w:tr>
      <w:tr w14:paraId="6BCAAF1A">
        <w:tblPrEx>
          <w:tblCellMar>
            <w:top w:w="0" w:type="dxa"/>
            <w:left w:w="108" w:type="dxa"/>
            <w:bottom w:w="0" w:type="dxa"/>
            <w:right w:w="108" w:type="dxa"/>
          </w:tblCellMar>
        </w:tblPrEx>
        <w:trPr>
          <w:trHeight w:val="507" w:hRule="atLeast"/>
        </w:trPr>
        <w:tc>
          <w:tcPr>
            <w:tcW w:w="3108" w:type="dxa"/>
          </w:tcPr>
          <w:p w14:paraId="4F64400F">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19E64CF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5AC0CC1B">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Univers;Arial">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946C8">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3787E">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4E767">
    <w:pPr>
      <w:pStyle w:val="6"/>
      <w:jc w:val="center"/>
    </w:pPr>
    <w:r>
      <w:fldChar w:fldCharType="begin"/>
    </w:r>
    <w:r>
      <w:instrText xml:space="preserve"> PAGE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F567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DB4D7">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CD31">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4A723">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C77B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073D1A21"/>
    <w:rsid w:val="3B01257D"/>
    <w:rsid w:val="527E47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宋体;SimSu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宋体;SimSu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宋体;SimSu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8</Pages>
  <Words>3283</Words>
  <Characters>4132</Characters>
  <TotalTime>1</TotalTime>
  <ScaleCrop>false</ScaleCrop>
  <LinksUpToDate>false</LinksUpToDate>
  <CharactersWithSpaces>4138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2019-08-12T16:27:00Z</dcterms:created>
  <dc:creator>SW</dc:creator>
  <cp:lastModifiedBy>杨志</cp:lastModifiedBy>
  <cp:lastPrinted>2017-03-15T11:59:00Z</cp:lastPrinted>
  <dcterms:modified xsi:type="dcterms:W3CDTF">2026-06-11T13:47:03Z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C38A6A22BE7745D285C4C26B3560C72A_12</vt:lpwstr>
  </property>
</Properties>
</file>