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F73F9">
      <w:pPr>
        <w:jc w:val="center"/>
        <w:rPr>
          <w:rFonts w:ascii="Arial Narrow" w:hAnsi="Arial Narrow" w:eastAsia="仿宋_GB2312" w:cs="Arial Narrow"/>
          <w:sz w:val="24"/>
          <w:szCs w:val="24"/>
          <w:lang w:eastAsia="zh-CN"/>
        </w:rPr>
      </w:pPr>
    </w:p>
    <w:p w14:paraId="30D82E2D">
      <w:pPr>
        <w:jc w:val="center"/>
        <w:rPr>
          <w:rFonts w:ascii="Arial Narrow" w:hAnsi="Arial Narrow" w:eastAsia="仿宋_GB2312" w:cs="Arial Narrow"/>
          <w:sz w:val="24"/>
          <w:szCs w:val="24"/>
          <w:lang w:eastAsia="zh-CN"/>
        </w:rPr>
      </w:pPr>
    </w:p>
    <w:p w14:paraId="04C78E7E">
      <w:pPr>
        <w:jc w:val="center"/>
        <w:rPr>
          <w:rFonts w:ascii="Arial Narrow" w:hAnsi="Arial Narrow" w:eastAsia="仿宋_GB2312" w:cs="Arial Narrow"/>
          <w:sz w:val="24"/>
          <w:szCs w:val="24"/>
          <w:lang w:eastAsia="zh-CN"/>
        </w:rPr>
      </w:pPr>
    </w:p>
    <w:p w14:paraId="74B79748">
      <w:pPr>
        <w:jc w:val="center"/>
        <w:rPr>
          <w:rFonts w:ascii="Arial Narrow" w:hAnsi="Arial Narrow" w:eastAsia="仿宋_GB2312" w:cs="Arial Narrow"/>
          <w:sz w:val="24"/>
          <w:szCs w:val="24"/>
          <w:lang w:eastAsia="zh-CN"/>
        </w:rPr>
      </w:pPr>
    </w:p>
    <w:p w14:paraId="3A0C89B9">
      <w:pPr>
        <w:jc w:val="center"/>
        <w:rPr>
          <w:rFonts w:ascii="Arial Narrow" w:hAnsi="Arial Narrow" w:eastAsia="仿宋_GB2312" w:cs="Arial Narrow"/>
          <w:sz w:val="24"/>
        </w:rPr>
      </w:pPr>
    </w:p>
    <w:p w14:paraId="289C33AB">
      <w:pPr>
        <w:jc w:val="center"/>
        <w:rPr>
          <w:rFonts w:ascii="Arial Narrow" w:hAnsi="Arial Narrow" w:eastAsia="仿宋_GB2312" w:cs="Arial Narrow"/>
          <w:sz w:val="24"/>
        </w:rPr>
      </w:pPr>
    </w:p>
    <w:p w14:paraId="15605C12">
      <w:pPr>
        <w:jc w:val="center"/>
        <w:rPr>
          <w:rFonts w:ascii="Arial Narrow" w:hAnsi="Arial Narrow" w:eastAsia="仿宋_GB2312" w:cs="Arial Narrow"/>
          <w:sz w:val="24"/>
          <w:lang w:eastAsia="zh-CN"/>
        </w:rPr>
      </w:pPr>
    </w:p>
    <w:p w14:paraId="545D8D00">
      <w:pPr>
        <w:jc w:val="center"/>
        <w:rPr>
          <w:rFonts w:ascii="Arial Narrow" w:hAnsi="Arial Narrow" w:eastAsia="仿宋_GB2312" w:cs="Arial Narrow"/>
          <w:sz w:val="24"/>
          <w:lang w:eastAsia="zh-CN"/>
        </w:rPr>
      </w:pPr>
    </w:p>
    <w:p w14:paraId="549DBCF3">
      <w:pPr>
        <w:numPr>
          <w:ilvl w:val="0"/>
          <w:numId w:val="0"/>
        </w:numPr>
        <w:spacing w:line="360" w:lineRule="auto"/>
        <w:ind w:firstLine="0"/>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color w:val="auto"/>
          <w:sz w:val="48"/>
          <w:szCs w:val="48"/>
          <w:lang w:eastAsia="zh-CN"/>
        </w:rPr>
        <w:t>{{company_full_name}}</w:t>
      </w:r>
    </w:p>
    <w:p w14:paraId="14ED3F36">
      <w:pPr>
        <w:numPr>
          <w:ilvl w:val="0"/>
          <w:numId w:val="0"/>
        </w:numPr>
        <w:spacing w:line="360" w:lineRule="auto"/>
        <w:ind w:firstLine="0"/>
        <w:jc w:val="center"/>
        <w:outlineLvl w:val="0"/>
        <w:rPr>
          <w:rFonts w:hint="eastAsia" w:ascii="黑体;SimHei" w:hAnsi="黑体;SimHei" w:eastAsia="黑体;SimHei" w:cs="Arial Narrow"/>
          <w:b/>
          <w:color w:val="auto"/>
          <w:sz w:val="48"/>
          <w:szCs w:val="48"/>
          <w:lang w:eastAsia="zh-CN"/>
        </w:rPr>
      </w:pPr>
      <w:r>
        <w:rPr>
          <w:rFonts w:hint="eastAsia" w:ascii="黑体;SimHei" w:hAnsi="黑体;SimHei" w:eastAsia="黑体;SimHei" w:cs="Arial Narrow"/>
          <w:b/>
          <w:color w:val="auto"/>
          <w:sz w:val="48"/>
          <w:szCs w:val="48"/>
          <w:lang w:eastAsia="zh-CN"/>
        </w:rPr>
        <w:t>{{audit_year}}年度</w:t>
      </w:r>
    </w:p>
    <w:p w14:paraId="4721165D">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7BC17670">
      <w:pPr>
        <w:jc w:val="center"/>
        <w:rPr>
          <w:rFonts w:ascii="Arial Narrow" w:hAnsi="Arial Narrow" w:eastAsia="仿宋_GB2312" w:cs="Arial Narrow"/>
          <w:b/>
          <w:sz w:val="44"/>
          <w:szCs w:val="44"/>
          <w:lang w:eastAsia="zh-CN"/>
        </w:rPr>
      </w:pPr>
    </w:p>
    <w:p w14:paraId="02619AA6">
      <w:pPr>
        <w:jc w:val="center"/>
        <w:rPr>
          <w:rFonts w:ascii="Arial Narrow" w:hAnsi="Arial Narrow" w:eastAsia="仿宋_GB2312" w:cs="Arial Narrow"/>
          <w:b/>
          <w:sz w:val="44"/>
          <w:szCs w:val="44"/>
          <w:lang w:eastAsia="zh-CN"/>
        </w:rPr>
      </w:pPr>
    </w:p>
    <w:p w14:paraId="0E205C44">
      <w:pPr>
        <w:jc w:val="center"/>
        <w:rPr>
          <w:rFonts w:ascii="Arial Narrow" w:hAnsi="Arial Narrow" w:eastAsia="仿宋_GB2312" w:cs="Arial Narrow"/>
          <w:b/>
          <w:sz w:val="44"/>
          <w:szCs w:val="44"/>
          <w:lang w:eastAsia="zh-CN"/>
        </w:rPr>
      </w:pPr>
    </w:p>
    <w:p w14:paraId="753E1CBA">
      <w:pPr>
        <w:jc w:val="center"/>
        <w:rPr>
          <w:rFonts w:ascii="Arial Narrow" w:hAnsi="Arial Narrow" w:eastAsia="仿宋_GB2312" w:cs="Arial Narrow"/>
          <w:b/>
          <w:sz w:val="44"/>
          <w:szCs w:val="44"/>
          <w:lang w:eastAsia="zh-CN"/>
        </w:rPr>
      </w:pPr>
    </w:p>
    <w:p w14:paraId="2B2C1E1C">
      <w:pPr>
        <w:jc w:val="center"/>
        <w:rPr>
          <w:rFonts w:ascii="Arial Narrow" w:hAnsi="Arial Narrow" w:eastAsia="仿宋_GB2312" w:cs="Arial Narrow"/>
          <w:b/>
          <w:sz w:val="44"/>
          <w:szCs w:val="44"/>
          <w:lang w:eastAsia="zh-CN"/>
        </w:rPr>
      </w:pPr>
    </w:p>
    <w:p w14:paraId="2CBEB754">
      <w:pPr>
        <w:jc w:val="center"/>
        <w:rPr>
          <w:rFonts w:ascii="Arial Narrow" w:hAnsi="Arial Narrow" w:eastAsia="仿宋_GB2312" w:cs="Arial Narrow"/>
          <w:b/>
          <w:sz w:val="44"/>
          <w:szCs w:val="44"/>
          <w:lang w:eastAsia="zh-CN"/>
        </w:rPr>
      </w:pPr>
    </w:p>
    <w:p w14:paraId="771D9E91">
      <w:pPr>
        <w:jc w:val="center"/>
        <w:rPr>
          <w:rFonts w:ascii="Arial Narrow" w:hAnsi="Arial Narrow" w:eastAsia="仿宋_GB2312" w:cs="Arial Narrow"/>
          <w:b/>
          <w:sz w:val="44"/>
          <w:szCs w:val="44"/>
          <w:lang w:eastAsia="zh-CN"/>
        </w:rPr>
      </w:pPr>
    </w:p>
    <w:p w14:paraId="75AF616E">
      <w:pPr>
        <w:jc w:val="center"/>
        <w:rPr>
          <w:rFonts w:ascii="Arial Narrow" w:hAnsi="Arial Narrow" w:eastAsia="仿宋_GB2312" w:cs="Arial Narrow"/>
          <w:b/>
          <w:sz w:val="44"/>
          <w:szCs w:val="44"/>
          <w:lang w:eastAsia="zh-CN"/>
        </w:rPr>
      </w:pPr>
    </w:p>
    <w:p w14:paraId="3F8E87B9">
      <w:pPr>
        <w:jc w:val="center"/>
        <w:rPr>
          <w:rFonts w:ascii="Arial Narrow" w:hAnsi="Arial Narrow" w:eastAsia="仿宋_GB2312" w:cs="Arial Narrow"/>
          <w:b/>
          <w:sz w:val="44"/>
          <w:szCs w:val="44"/>
          <w:lang w:eastAsia="zh-CN"/>
        </w:rPr>
      </w:pPr>
    </w:p>
    <w:p w14:paraId="3354CB4F">
      <w:pPr>
        <w:jc w:val="center"/>
        <w:rPr>
          <w:rFonts w:ascii="Arial Narrow" w:hAnsi="Arial Narrow" w:eastAsia="仿宋_GB2312" w:cs="Arial Narrow"/>
          <w:b/>
          <w:sz w:val="44"/>
          <w:szCs w:val="44"/>
          <w:lang w:eastAsia="zh-CN"/>
        </w:rPr>
      </w:pPr>
    </w:p>
    <w:p w14:paraId="6E3C4646">
      <w:pPr>
        <w:jc w:val="center"/>
        <w:rPr>
          <w:rFonts w:ascii="Arial Narrow" w:hAnsi="Arial Narrow" w:eastAsia="仿宋_GB2312" w:cs="Arial Narrow"/>
          <w:b/>
          <w:sz w:val="44"/>
          <w:szCs w:val="44"/>
          <w:lang w:eastAsia="zh-CN"/>
        </w:rPr>
      </w:pPr>
    </w:p>
    <w:p w14:paraId="2C6FF689">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0BF76FB6">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2C22D226">
      <w:pPr>
        <w:jc w:val="center"/>
        <w:rPr>
          <w:rFonts w:hint="eastAsia" w:ascii="Arial Narrow" w:hAnsi="Arial Narrow" w:eastAsia="仿宋_GB2312" w:cs="Arial Narrow"/>
          <w:b/>
          <w:bCs/>
          <w:color w:val="0000FF"/>
          <w:sz w:val="24"/>
          <w:szCs w:val="44"/>
          <w:lang w:eastAsia="zh-CN"/>
        </w:rPr>
      </w:pPr>
    </w:p>
    <w:p w14:paraId="2A1AA682">
      <w:pPr>
        <w:jc w:val="center"/>
        <w:rPr>
          <w:rFonts w:ascii="Arial Narrow" w:hAnsi="Arial Narrow" w:eastAsia="仿宋_GB2312" w:cs="Arial Narrow"/>
          <w:b/>
          <w:sz w:val="24"/>
          <w:szCs w:val="32"/>
          <w:lang w:eastAsia="zh-CN"/>
        </w:rPr>
      </w:pPr>
    </w:p>
    <w:p w14:paraId="5F6B1206">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518EC194">
        <w:tblPrEx>
          <w:tblCellMar>
            <w:top w:w="0" w:type="dxa"/>
            <w:left w:w="108" w:type="dxa"/>
            <w:bottom w:w="0" w:type="dxa"/>
            <w:right w:w="108" w:type="dxa"/>
          </w:tblCellMar>
        </w:tblPrEx>
        <w:trPr>
          <w:trHeight w:val="851" w:hRule="exact"/>
        </w:trPr>
        <w:tc>
          <w:tcPr>
            <w:tcW w:w="6687" w:type="dxa"/>
            <w:vAlign w:val="center"/>
          </w:tcPr>
          <w:p w14:paraId="4BCF340C">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77D39ACD">
            <w:pPr>
              <w:rPr>
                <w:rFonts w:ascii="Arial Narrow" w:hAnsi="Arial Narrow" w:cs="宋体;SimSun"/>
                <w:b/>
                <w:bCs/>
                <w:color w:val="000000"/>
                <w:sz w:val="24"/>
                <w:szCs w:val="24"/>
                <w:lang w:eastAsia="zh-CN"/>
              </w:rPr>
            </w:pPr>
            <w:r>
              <w:rPr>
                <w:rFonts w:hint="eastAsia" w:ascii="Arial Narrow" w:hAnsi="Arial Narrow" w:cs="宋体;SimSun"/>
                <w:b/>
                <w:bCs/>
                <w:color w:val="000000"/>
                <w:sz w:val="24"/>
                <w:szCs w:val="24"/>
                <w:lang w:eastAsia="zh-CN"/>
              </w:rPr>
              <w:t>1-</w:t>
            </w:r>
            <w:r>
              <w:rPr>
                <w:rFonts w:ascii="Arial Narrow" w:hAnsi="Arial Narrow" w:cs="宋体;SimSun"/>
                <w:b/>
                <w:bCs/>
                <w:color w:val="FF0000"/>
                <w:sz w:val="24"/>
                <w:szCs w:val="24"/>
                <w:lang w:eastAsia="zh-CN"/>
              </w:rPr>
              <w:t>X</w:t>
            </w:r>
          </w:p>
        </w:tc>
      </w:tr>
      <w:tr w14:paraId="5F255926">
        <w:tblPrEx>
          <w:tblCellMar>
            <w:top w:w="0" w:type="dxa"/>
            <w:left w:w="108" w:type="dxa"/>
            <w:bottom w:w="0" w:type="dxa"/>
            <w:right w:w="108" w:type="dxa"/>
          </w:tblCellMar>
        </w:tblPrEx>
        <w:trPr>
          <w:trHeight w:val="851" w:hRule="exact"/>
        </w:trPr>
        <w:tc>
          <w:tcPr>
            <w:tcW w:w="6687" w:type="dxa"/>
            <w:vAlign w:val="center"/>
          </w:tcPr>
          <w:p w14:paraId="6D685CF3">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资产负债表</w:t>
            </w:r>
          </w:p>
        </w:tc>
        <w:tc>
          <w:tcPr>
            <w:tcW w:w="1431" w:type="dxa"/>
            <w:vAlign w:val="center"/>
          </w:tcPr>
          <w:p w14:paraId="302380A7">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1-2</w:t>
            </w:r>
          </w:p>
        </w:tc>
      </w:tr>
      <w:tr w14:paraId="34004A35">
        <w:tblPrEx>
          <w:tblCellMar>
            <w:top w:w="0" w:type="dxa"/>
            <w:left w:w="108" w:type="dxa"/>
            <w:bottom w:w="0" w:type="dxa"/>
            <w:right w:w="108" w:type="dxa"/>
          </w:tblCellMar>
        </w:tblPrEx>
        <w:trPr>
          <w:trHeight w:val="851" w:hRule="exact"/>
        </w:trPr>
        <w:tc>
          <w:tcPr>
            <w:tcW w:w="6687" w:type="dxa"/>
            <w:vAlign w:val="center"/>
          </w:tcPr>
          <w:p w14:paraId="2D6AAD3D">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利润表</w:t>
            </w:r>
          </w:p>
        </w:tc>
        <w:tc>
          <w:tcPr>
            <w:tcW w:w="1431" w:type="dxa"/>
            <w:vAlign w:val="center"/>
          </w:tcPr>
          <w:p w14:paraId="4BC74A15">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3</w:t>
            </w:r>
          </w:p>
        </w:tc>
      </w:tr>
      <w:tr w14:paraId="26B1E1EB">
        <w:tblPrEx>
          <w:tblCellMar>
            <w:top w:w="0" w:type="dxa"/>
            <w:left w:w="108" w:type="dxa"/>
            <w:bottom w:w="0" w:type="dxa"/>
            <w:right w:w="108" w:type="dxa"/>
          </w:tblCellMar>
        </w:tblPrEx>
        <w:trPr>
          <w:trHeight w:val="851" w:hRule="exact"/>
        </w:trPr>
        <w:tc>
          <w:tcPr>
            <w:tcW w:w="6687" w:type="dxa"/>
            <w:vAlign w:val="center"/>
          </w:tcPr>
          <w:p w14:paraId="26FBDF17">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现金流量表</w:t>
            </w:r>
          </w:p>
        </w:tc>
        <w:tc>
          <w:tcPr>
            <w:tcW w:w="1431" w:type="dxa"/>
            <w:vAlign w:val="center"/>
          </w:tcPr>
          <w:p w14:paraId="1E318B93">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4</w:t>
            </w:r>
          </w:p>
        </w:tc>
      </w:tr>
      <w:tr w14:paraId="190C29DC">
        <w:tblPrEx>
          <w:tblCellMar>
            <w:top w:w="0" w:type="dxa"/>
            <w:left w:w="108" w:type="dxa"/>
            <w:bottom w:w="0" w:type="dxa"/>
            <w:right w:w="108" w:type="dxa"/>
          </w:tblCellMar>
        </w:tblPrEx>
        <w:trPr>
          <w:trHeight w:val="851" w:hRule="exact"/>
        </w:trPr>
        <w:tc>
          <w:tcPr>
            <w:tcW w:w="6687" w:type="dxa"/>
            <w:vAlign w:val="center"/>
          </w:tcPr>
          <w:p w14:paraId="68538A2E">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股东权益变动表</w:t>
            </w:r>
          </w:p>
        </w:tc>
        <w:tc>
          <w:tcPr>
            <w:tcW w:w="1431" w:type="dxa"/>
            <w:vAlign w:val="center"/>
          </w:tcPr>
          <w:p w14:paraId="1F32DC7F">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5-6</w:t>
            </w:r>
          </w:p>
        </w:tc>
      </w:tr>
      <w:tr w14:paraId="69C64BD7">
        <w:tblPrEx>
          <w:tblCellMar>
            <w:top w:w="0" w:type="dxa"/>
            <w:left w:w="108" w:type="dxa"/>
            <w:bottom w:w="0" w:type="dxa"/>
            <w:right w:w="108" w:type="dxa"/>
          </w:tblCellMar>
        </w:tblPrEx>
        <w:trPr>
          <w:trHeight w:val="851" w:hRule="exact"/>
        </w:trPr>
        <w:tc>
          <w:tcPr>
            <w:tcW w:w="6687" w:type="dxa"/>
            <w:vAlign w:val="center"/>
          </w:tcPr>
          <w:p w14:paraId="5544CF65">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0C3F4DE2">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7-</w:t>
            </w:r>
            <w:r>
              <w:rPr>
                <w:rFonts w:ascii="Arial Narrow" w:hAnsi="Arial Narrow" w:cs="宋体;SimSun"/>
                <w:b/>
                <w:bCs/>
                <w:color w:val="FF0000"/>
                <w:sz w:val="24"/>
                <w:szCs w:val="24"/>
                <w:lang w:eastAsia="zh-CN"/>
              </w:rPr>
              <w:t>X</w:t>
            </w:r>
          </w:p>
        </w:tc>
      </w:tr>
    </w:tbl>
    <w:p w14:paraId="79E8484A">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4A4BAA0D">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3F27537D">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3C3A55D4">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5300708E">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33A2BF46">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5CFD7877">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33AD4FC1">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5A561A40">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3060D352">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3C3A55D4">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5300708E">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33A2BF46">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5CFD7877">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33AD4FC1">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5A561A40">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3060D352">
                      <w:pPr>
                        <w:rPr>
                          <w:rFonts w:ascii="Arial Narrow" w:hAnsi="Arial Narrow" w:eastAsia="黑体;SimHei" w:cs="Arial Narrow"/>
                          <w:sz w:val="14"/>
                          <w:szCs w:val="14"/>
                        </w:rPr>
                      </w:pPr>
                    </w:p>
                  </w:txbxContent>
                </v:textbox>
              </v:shape>
            </w:pict>
          </mc:Fallback>
        </mc:AlternateContent>
      </w:r>
    </w:p>
    <w:p w14:paraId="676CF7F1">
      <w:pPr>
        <w:rPr>
          <w:rFonts w:ascii="Arial Narrow" w:hAnsi="Arial Narrow" w:eastAsia="仿宋_GB2312" w:cs="Arial Narrow"/>
          <w:sz w:val="24"/>
          <w:szCs w:val="24"/>
          <w:lang w:eastAsia="zh-CN"/>
        </w:rPr>
      </w:pPr>
    </w:p>
    <w:p w14:paraId="35F4487C">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50560A5C">
      <w:pPr>
        <w:spacing w:line="340" w:lineRule="atLeast"/>
        <w:jc w:val="both"/>
        <w:rPr>
          <w:rFonts w:ascii="Arial Narrow" w:hAnsi="Arial Narrow" w:eastAsia="仿宋_GB2312" w:cs="Arial Narrow"/>
          <w:b/>
          <w:color w:val="0000FF"/>
          <w:sz w:val="24"/>
          <w:szCs w:val="24"/>
          <w:lang w:eastAsia="zh-CN"/>
        </w:rPr>
      </w:pPr>
    </w:p>
    <w:p w14:paraId="16BC56B4">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48D38C63">
      <w:pPr>
        <w:spacing w:line="340" w:lineRule="atLeast"/>
        <w:rPr>
          <w:rFonts w:ascii="Arial Narrow" w:hAnsi="Arial Narrow" w:eastAsia="仿宋_GB2312" w:cs="Arial Narrow"/>
          <w:b/>
          <w:color w:val="FF0000"/>
          <w:sz w:val="24"/>
          <w:szCs w:val="24"/>
          <w:lang w:eastAsia="zh-CN"/>
        </w:rPr>
      </w:pPr>
    </w:p>
    <w:p w14:paraId="1C3ACB3E">
      <w:pPr>
        <w:numPr>
          <w:ilvl w:val="0"/>
          <w:numId w:val="0"/>
        </w:numPr>
        <w:spacing w:before="120" w:after="0" w:line="300" w:lineRule="auto"/>
        <w:ind w:firstLine="0"/>
        <w:outlineLvl w:val="0"/>
        <w:rPr>
          <w:rFonts w:ascii="Arial Narrow" w:hAnsi="Arial Narrow" w:eastAsia="仿宋_GB2312" w:cs="Arial Narrow"/>
          <w:b/>
          <w:color w:val="FF0000"/>
          <w:sz w:val="24"/>
          <w:szCs w:val="24"/>
          <w:lang w:eastAsia="zh-CN"/>
        </w:rPr>
      </w:pPr>
      <w:r>
        <w:rPr>
          <w:rFonts w:ascii="Times New Roman" w:hAnsi="Times New Roman" w:eastAsia="仿宋_GB2312" w:cs="Arial Narrow"/>
          <w:b/>
          <w:color w:val="FF0000"/>
          <w:spacing w:val="4"/>
          <w:sz w:val="24"/>
          <w:szCs w:val="24"/>
          <w:lang w:eastAsia="zh-CN"/>
        </w:rPr>
        <w:t>{{company_full_name}}全体股东：</w:t>
      </w:r>
    </w:p>
    <w:p w14:paraId="13B9B5D7">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w:t>
      </w:r>
      <w:r>
        <w:rPr>
          <w:rFonts w:hint="eastAsia" w:ascii="Arial Narrow" w:hAnsi="Arial Narrow" w:eastAsia="仿宋_GB2312" w:cs="Arial Narrow"/>
          <w:b/>
          <w:bCs/>
          <w:sz w:val="24"/>
          <w:szCs w:val="24"/>
          <w:lang w:eastAsia="zh-CN"/>
        </w:rPr>
        <w:t>保留</w:t>
      </w:r>
      <w:r>
        <w:rPr>
          <w:rFonts w:hint="eastAsia" w:ascii="Arial Narrow" w:hAnsi="Arial Narrow" w:eastAsia="仿宋_GB2312" w:cs="Arial Narrow"/>
          <w:b/>
          <w:bCs/>
          <w:sz w:val="24"/>
          <w:szCs w:val="24"/>
        </w:rPr>
        <w:t>意见</w:t>
      </w:r>
      <w:bookmarkStart w:id="0" w:name="_GoBack"/>
      <w:bookmarkEnd w:id="0"/>
    </w:p>
    <w:p w14:paraId="2B4A9B79">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我们审计了{{company_full_name}}（以下简称{{company_short_name}}）财务报表，包括{{audit_period_end}}的资产负债表，{{audit_year}}年度的利润表、现金流量表、股东权益变动表以及相关财务报表附注。</w:t>
      </w:r>
    </w:p>
    <w:p w14:paraId="292EBC67">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除“形成保留意见的基础”部分所述事项产生的影响外，后附的财务报表在所有重大方面按照企业会计准则的规定编制，公允反映了{{company_short_name}}{{audit_period_end}}的财务状况以及{{audit_year}}年度的经营成果和现金流量。</w:t>
      </w:r>
    </w:p>
    <w:p w14:paraId="7C9D12C6">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二、形成保留意见的基础</w:t>
      </w:r>
    </w:p>
    <w:tbl>
      <w:tblPr>
        <w:tblStyle w:val="9"/>
        <w:tblW w:w="8335" w:type="dxa"/>
        <w:tblInd w:w="0" w:type="dxa"/>
        <w:tblLayout w:type="fixed"/>
        <w:tblCellMar>
          <w:top w:w="0" w:type="dxa"/>
          <w:left w:w="108" w:type="dxa"/>
          <w:bottom w:w="0" w:type="dxa"/>
          <w:right w:w="108" w:type="dxa"/>
        </w:tblCellMar>
      </w:tblPr>
      <w:tblGrid>
        <w:gridCol w:w="8335"/>
      </w:tblGrid>
      <w:tr w14:paraId="04267726">
        <w:tblPrEx>
          <w:tblCellMar>
            <w:top w:w="0" w:type="dxa"/>
            <w:left w:w="108" w:type="dxa"/>
            <w:bottom w:w="0" w:type="dxa"/>
            <w:right w:w="108" w:type="dxa"/>
          </w:tblCellMar>
        </w:tblPrEx>
        <w:tc>
          <w:tcPr>
            <w:tcW w:w="8335" w:type="dxa"/>
            <w:tcBorders>
              <w:top w:val="single" w:color="000000" w:sz="4" w:space="0"/>
              <w:left w:val="single" w:color="000000" w:sz="4" w:space="0"/>
              <w:bottom w:val="single" w:color="000000" w:sz="4" w:space="0"/>
              <w:right w:val="single" w:color="000000" w:sz="4" w:space="0"/>
            </w:tcBorders>
          </w:tcPr>
          <w:p w14:paraId="599EFD3F">
            <w:pPr>
              <w:widowControl w:val="0"/>
              <w:tabs>
                <w:tab w:val="left" w:pos="0"/>
                <w:tab w:val="left" w:pos="993"/>
              </w:tabs>
              <w:spacing w:before="120" w:after="60"/>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证监会《监管规则适用指引——审计类第</w:t>
            </w:r>
            <w:r>
              <w:rPr>
                <w:rFonts w:ascii="Arial Narrow" w:hAnsi="Arial Narrow" w:eastAsia="仿宋_GB2312" w:cs="Arial Narrow"/>
                <w:b/>
                <w:bCs/>
                <w:color w:val="0000FF"/>
                <w:sz w:val="24"/>
                <w:szCs w:val="24"/>
                <w:lang w:eastAsia="zh-CN"/>
              </w:rPr>
              <w:t>1</w:t>
            </w:r>
            <w:r>
              <w:rPr>
                <w:rFonts w:hint="eastAsia" w:ascii="Arial Narrow" w:hAnsi="Arial Narrow" w:eastAsia="仿宋_GB2312" w:cs="Arial Narrow"/>
                <w:b/>
                <w:bCs/>
                <w:color w:val="0000FF"/>
                <w:sz w:val="24"/>
                <w:szCs w:val="24"/>
                <w:lang w:eastAsia="zh-CN"/>
              </w:rPr>
              <w:t>号》</w:t>
            </w:r>
            <w:r>
              <w:rPr>
                <w:rFonts w:hint="eastAsia" w:ascii="Arial Narrow" w:hAnsi="Arial Narrow" w:eastAsia="仿宋_GB2312" w:cs="Arial Narrow"/>
                <w:b/>
                <w:color w:val="FF0000"/>
                <w:sz w:val="24"/>
                <w:szCs w:val="24"/>
                <w:lang w:eastAsia="zh-CN"/>
              </w:rPr>
              <w:t>【适用于注册会计师对上市公司财务报表发表非标准审计意见，注册会计师在其他证券服务业务中发表非标准审计意见可参照本指引】</w:t>
            </w:r>
            <w:r>
              <w:rPr>
                <w:rFonts w:hint="eastAsia" w:ascii="Arial Narrow" w:hAnsi="Arial Narrow" w:eastAsia="仿宋_GB2312" w:cs="Arial Narrow"/>
                <w:b/>
                <w:bCs/>
                <w:color w:val="0000FF"/>
                <w:sz w:val="24"/>
                <w:szCs w:val="24"/>
                <w:lang w:eastAsia="zh-CN"/>
              </w:rPr>
              <w:t>：</w:t>
            </w:r>
          </w:p>
          <w:p w14:paraId="6B5A56E1">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如果财务报表中存在与具体金额相关的重大错报，注册会计师应当在“形成审计意见的基础”部分说明并量化该错报的财务影响。如果无法量化财务影响，注册会计师应当在该部分说明这一情况。如果因无法获取充分、适当的审计证据而导致发表非无保留意见，注册会计师应当在“形成审计意见的基础”部分说明无法获取审计证据的原因。</w:t>
            </w:r>
          </w:p>
          <w:p w14:paraId="79C79D40">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注册会计师认定财务报表存在“错报”的情况下，应在审计报告和非标准审计意见专项说明中详细说明重大错报的相关信息，包括错报项目及金额、导致错报的原因、违反的会计准则等。</w:t>
            </w:r>
          </w:p>
          <w:p w14:paraId="4E98AD7A">
            <w:pPr>
              <w:widowControl w:val="0"/>
              <w:snapToGrid w:val="0"/>
              <w:spacing w:line="300" w:lineRule="auto"/>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注册会计师存在“受限”的情况下，应在审计报告和非标准审计意见专项说明中充分披露以下信息：“受限”事项的形成过程及原因；“受限”事项对公司财务状况、经营成果和现金流量可能的影响金额，如不可行应解释不可行的原因；</w:t>
            </w:r>
            <w:r>
              <w:rPr>
                <w:rFonts w:hint="eastAsia" w:ascii="Arial Narrow" w:hAnsi="Arial Narrow" w:eastAsia="仿宋_GB2312" w:cs="Arial Narrow"/>
                <w:b/>
                <w:bCs/>
                <w:color w:val="FF0000"/>
                <w:sz w:val="24"/>
                <w:szCs w:val="24"/>
                <w:lang w:eastAsia="zh-CN"/>
              </w:rPr>
              <w:t>“受限”事项未能获取的审计证据内容，即应获取何种审计证据方可解决“受限”</w:t>
            </w:r>
            <w:r>
              <w:rPr>
                <w:rFonts w:hint="eastAsia" w:ascii="Arial Narrow" w:hAnsi="Arial Narrow" w:eastAsia="仿宋_GB2312" w:cs="Arial Narrow"/>
                <w:b/>
                <w:bCs/>
                <w:color w:val="0000FF"/>
                <w:sz w:val="24"/>
                <w:szCs w:val="24"/>
                <w:lang w:eastAsia="zh-CN"/>
              </w:rPr>
              <w:t>。</w:t>
            </w:r>
          </w:p>
        </w:tc>
      </w:tr>
    </w:tbl>
    <w:p w14:paraId="4ABF6D37">
      <w:pPr>
        <w:snapToGrid w:val="0"/>
        <w:spacing w:line="300" w:lineRule="auto"/>
        <w:ind w:left="0" w:leftChars="0" w:right="0" w:rightChars="0" w:firstLine="480" w:firstLineChars="200"/>
        <w:jc w:val="both"/>
        <w:rPr>
          <w:rFonts w:ascii="仿宋_GB2312" w:hAnsi="仿宋_GB2312" w:eastAsia="仿宋_GB2312"/>
          <w:bCs/>
          <w:color w:val="FF0000"/>
          <w:sz w:val="24"/>
          <w:szCs w:val="24"/>
          <w:lang w:val="en-GB"/>
        </w:rPr>
      </w:pPr>
      <w:r>
        <w:rPr>
          <w:rFonts w:ascii="仿宋_GB2312" w:hAnsi="仿宋_GB2312" w:eastAsia="仿宋_GB2312"/>
          <w:bCs/>
          <w:color w:val="FF0000"/>
          <w:sz w:val="24"/>
          <w:szCs w:val="24"/>
          <w:lang w:val="en-GB"/>
        </w:rPr>
        <w:t>{{company_short_name}}{{audit_period_end}}资产负债表中存货的列示金额为×元。{{company_short_name}}管理层（以下简称管理层）根据成本对存货进行计量，而没有根据成本与可变现净值孰低的原则进行计量，这不符合企业会计准则的规定。{{company_short_name}}的会计记录显示，如果管理层以成本与可变现净值孰低来计量存货，存货列示金额将减少×元。相应地，资产减值损失将增加×元，所得税、净利润和股东权益将分别减少×元、×元和×元。</w:t>
      </w:r>
    </w:p>
    <w:p w14:paraId="3DB76228">
      <w:pPr>
        <w:snapToGrid w:val="0"/>
        <w:spacing w:line="300" w:lineRule="auto"/>
        <w:ind w:left="0" w:leftChars="0" w:right="0" w:rightChars="0" w:firstLineChars="200"/>
        <w:jc w:val="both"/>
        <w:rPr>
          <w:rFonts w:ascii="仿宋_GB2312" w:hAnsi="仿宋_GB2312" w:eastAsia="仿宋_GB2312"/>
          <w:bCs/>
          <w:color w:val="FF0000"/>
          <w:sz w:val="24"/>
          <w:szCs w:val="24"/>
          <w:lang w:val="en-GB"/>
        </w:rPr>
      </w:pPr>
      <w:r>
        <w:rPr>
          <w:rFonts w:hint="eastAsia" w:ascii="仿宋_GB2312" w:hAnsi="仿宋_GB2312" w:eastAsia="仿宋_GB2312"/>
          <w:bCs/>
          <w:color w:val="FF0000"/>
          <w:sz w:val="24"/>
          <w:szCs w:val="24"/>
          <w:lang w:val="en-GB"/>
        </w:rPr>
        <w:t>##NOTE:单体复核:以下涉及合并/集团审计，单体报告可能需删除或调整## 如财务报表附注×所述，{{company_short_name}}于{{audit_year}}年取得了境外XYZ公司30%的股权，因能够对XYZ公司施加重大影响，故采用权益法核算该项股权投资，于{{audit_year}}年度确认对XYZ公司的投资收益×元，该项股权投资于{{audit_period_end}}合并资产负债表上反映的账面价值为×元。由于我们未被允许接触XYZ公司的财务信息、管理层和执行XYZ公司审计的注册会计师，我们无法就该项股权投资的账面价值以及{{company_short_name}}确认的{{audit_year}}年度对XYZ公司的投资收益获取充分、适当的审计证据，也无法确定是否有必要对这些金额进行调整。</w:t>
      </w:r>
    </w:p>
    <w:p w14:paraId="023F4218">
      <w:pPr>
        <w:spacing w:before="120" w:after="0" w:line="300" w:lineRule="auto"/>
        <w:ind w:left="0" w:leftChars="0" w:right="0" w:rightChars="0" w:firstLine="496" w:firstLineChars="20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保留意见提供了基础。</w:t>
      </w:r>
    </w:p>
    <w:p w14:paraId="4F394BA7">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三、管理层和治理层对财务报表的责任</w:t>
      </w:r>
    </w:p>
    <w:p w14:paraId="20F2F369">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29AB19EF">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2FBEF2F6">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38B37E7B">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四、注册会计师对财务报表审计的责任</w:t>
      </w:r>
    </w:p>
    <w:p w14:paraId="6B569297">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083D879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366501CF">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6B23C113">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052D2937">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70C6A181">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0593940C">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4AD3F6D7">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r>
        <w:rPr>
          <w:rFonts w:hint="eastAsia" w:ascii="Arial Narrow" w:hAnsi="Arial Narrow" w:eastAsia="仿宋_GB2312" w:cs="Arial Narrow"/>
          <w:spacing w:val="4"/>
          <w:sz w:val="24"/>
          <w:szCs w:val="24"/>
          <w:lang w:eastAsia="zh-CN"/>
        </w:rPr>
        <w:t>##NOTE:单体复核:以下涉及合并/集团审计，单体报告可能需删除或调整## （6）就{{company_short_name}}中实体或业务活动的财务信息获取充分、适当的审计证据，以对财务报表发表意见。我们负责指导、监督和执行集团审计，并对审计意见承担全部责任。</w:t>
      </w:r>
    </w:p>
    <w:p w14:paraId="6B82CEA3">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5A62AB6F">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我们还就已遵守与独立性相关的职业道德要求向治理层提供声明，并与治理层沟通可能被合理认为影响我们独立性的所有关系和其他事项，以及相关的防范措施（如适用）。</w:t>
      </w:r>
    </w:p>
    <w:p w14:paraId="35CC2413">
      <w:pPr>
        <w:spacing w:before="120" w:after="0" w:line="300" w:lineRule="auto"/>
        <w:ind w:left="0" w:leftChars="0" w:right="0" w:rightChars="0" w:firstLine="496" w:firstLineChars="200"/>
        <w:jc w:val="both"/>
        <w:rPr>
          <w:rFonts w:hint="eastAsia"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14:paraId="3FDF89D5">
      <w:pPr>
        <w:spacing w:before="120" w:after="0" w:line="300" w:lineRule="auto"/>
        <w:ind w:left="0" w:leftChars="0" w:right="0" w:rightChars="0" w:firstLineChars="200"/>
        <w:jc w:val="both"/>
        <w:rPr>
          <w:rFonts w:hint="eastAsia" w:ascii="Arial Narrow" w:hAnsi="Arial Narrow" w:eastAsia="仿宋_GB2312" w:cs="Arial Narrow"/>
          <w:color w:val="0000FF"/>
          <w:spacing w:val="4"/>
          <w:sz w:val="24"/>
          <w:szCs w:val="24"/>
          <w:lang w:eastAsia="zh-CN"/>
        </w:rPr>
      </w:pPr>
    </w:p>
    <w:p w14:paraId="7ADFA7B5">
      <w:pPr>
        <w:spacing w:before="120" w:after="0" w:line="300" w:lineRule="auto"/>
        <w:ind w:left="0" w:leftChars="0" w:right="0" w:rightChars="0" w:firstLineChars="200"/>
        <w:jc w:val="both"/>
        <w:rPr>
          <w:rFonts w:ascii="Arial Narrow" w:hAnsi="Arial Narrow" w:eastAsia="仿宋_GB2312" w:cs="Arial Narrow"/>
          <w:color w:val="0000FF"/>
          <w:sz w:val="24"/>
          <w:szCs w:val="24"/>
          <w:lang w:eastAsia="zh-CN"/>
        </w:rPr>
      </w:pPr>
    </w:p>
    <w:p w14:paraId="70615316">
      <w:pPr>
        <w:spacing w:before="120" w:after="0" w:line="300" w:lineRule="auto"/>
        <w:ind w:left="0" w:leftChars="0" w:right="0" w:rightChars="0" w:firstLineChars="200"/>
        <w:jc w:val="both"/>
        <w:rPr>
          <w:rFonts w:ascii="Arial Narrow" w:hAnsi="Arial Narrow" w:eastAsia="仿宋_GB2312" w:cs="Arial Narrow"/>
          <w:color w:val="0000FF"/>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46363C10">
        <w:tblPrEx>
          <w:tblCellMar>
            <w:top w:w="0" w:type="dxa"/>
            <w:left w:w="108" w:type="dxa"/>
            <w:bottom w:w="0" w:type="dxa"/>
            <w:right w:w="108" w:type="dxa"/>
          </w:tblCellMar>
        </w:tblPrEx>
        <w:trPr>
          <w:trHeight w:val="1305" w:hRule="atLeast"/>
        </w:trPr>
        <w:tc>
          <w:tcPr>
            <w:tcW w:w="3108" w:type="dxa"/>
          </w:tcPr>
          <w:p w14:paraId="702E8E08">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4D50CA12">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1F373C32">
            <w:pPr>
              <w:spacing w:line="340" w:lineRule="atLeast"/>
              <w:rPr>
                <w:rFonts w:ascii="Arial Narrow" w:hAnsi="Arial Narrow" w:eastAsia="仿宋_GB2312" w:cs="Arial Narrow"/>
                <w:color w:val="FF0000"/>
                <w:sz w:val="24"/>
                <w:szCs w:val="24"/>
                <w:highlight w:val="cyan"/>
                <w:lang w:val="en-AU" w:eastAsia="zh-CN"/>
              </w:rPr>
            </w:pPr>
          </w:p>
          <w:p w14:paraId="0812F07C">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6D893969">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7EE4F7B2">
            <w:pPr>
              <w:spacing w:line="340" w:lineRule="atLeast"/>
              <w:jc w:val="right"/>
              <w:rPr>
                <w:rFonts w:ascii="Arial Narrow" w:hAnsi="Arial Narrow" w:eastAsia="仿宋_GB2312" w:cs="Arial Narrow"/>
                <w:sz w:val="24"/>
                <w:szCs w:val="24"/>
                <w:lang w:eastAsia="zh-CN"/>
              </w:rPr>
            </w:pPr>
          </w:p>
          <w:p w14:paraId="08D707C3">
            <w:pPr>
              <w:spacing w:line="340" w:lineRule="atLeast"/>
              <w:jc w:val="right"/>
              <w:rPr>
                <w:rFonts w:ascii="Arial Narrow" w:hAnsi="Arial Narrow" w:eastAsia="仿宋_GB2312" w:cs="Arial Narrow"/>
                <w:sz w:val="24"/>
                <w:szCs w:val="24"/>
                <w:lang w:val="en-AU" w:eastAsia="zh-CN"/>
              </w:rPr>
            </w:pPr>
          </w:p>
          <w:p w14:paraId="26F1AFB8">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0D24EA43">
            <w:pPr>
              <w:spacing w:line="340" w:lineRule="atLeast"/>
              <w:jc w:val="right"/>
              <w:rPr>
                <w:rFonts w:ascii="Arial Narrow" w:hAnsi="Arial Narrow" w:eastAsia="仿宋_GB2312" w:cs="Arial Narrow"/>
                <w:color w:val="0000FF"/>
                <w:sz w:val="24"/>
                <w:szCs w:val="24"/>
                <w:lang w:eastAsia="zh-CN"/>
              </w:rPr>
            </w:pPr>
          </w:p>
          <w:p w14:paraId="0E56D071">
            <w:pPr>
              <w:spacing w:line="340" w:lineRule="atLeast"/>
              <w:jc w:val="right"/>
              <w:rPr>
                <w:rFonts w:ascii="Arial Narrow" w:hAnsi="Arial Narrow" w:eastAsia="仿宋_GB2312" w:cs="Arial Narrow"/>
                <w:color w:val="0000FF"/>
                <w:sz w:val="24"/>
                <w:szCs w:val="24"/>
                <w:lang w:eastAsia="zh-CN"/>
              </w:rPr>
            </w:pPr>
          </w:p>
        </w:tc>
        <w:tc>
          <w:tcPr>
            <w:tcW w:w="2204" w:type="dxa"/>
          </w:tcPr>
          <w:p w14:paraId="02EF330A">
            <w:pPr>
              <w:snapToGrid w:val="0"/>
              <w:spacing w:line="340" w:lineRule="atLeast"/>
              <w:rPr>
                <w:rFonts w:ascii="Arial Narrow" w:hAnsi="Arial Narrow" w:eastAsia="仿宋_GB2312" w:cs="Arial Narrow"/>
                <w:color w:val="FF0000"/>
                <w:sz w:val="24"/>
                <w:szCs w:val="24"/>
                <w:lang w:eastAsia="zh-CN"/>
              </w:rPr>
            </w:pPr>
          </w:p>
          <w:p w14:paraId="69808953">
            <w:pPr>
              <w:spacing w:line="200" w:lineRule="atLeast"/>
              <w:rPr>
                <w:rFonts w:ascii="Arial Narrow" w:hAnsi="Arial Narrow" w:eastAsia="仿宋_GB2312" w:cs="Arial Narrow"/>
                <w:color w:val="FF0000"/>
                <w:sz w:val="24"/>
                <w:szCs w:val="24"/>
                <w:lang w:eastAsia="zh-CN"/>
              </w:rPr>
            </w:pPr>
          </w:p>
          <w:p w14:paraId="2A9AA572">
            <w:pPr>
              <w:spacing w:line="200" w:lineRule="atLeast"/>
              <w:rPr>
                <w:rFonts w:ascii="Arial Narrow" w:hAnsi="Arial Narrow" w:eastAsia="仿宋_GB2312" w:cs="Arial Narrow"/>
                <w:sz w:val="24"/>
                <w:szCs w:val="24"/>
                <w:lang w:eastAsia="zh-CN"/>
              </w:rPr>
            </w:pPr>
          </w:p>
          <w:p w14:paraId="23F92EDA">
            <w:pPr>
              <w:spacing w:line="200" w:lineRule="atLeast"/>
              <w:rPr>
                <w:rFonts w:ascii="Arial Narrow" w:hAnsi="Arial Narrow" w:eastAsia="仿宋_GB2312" w:cs="Arial Narrow"/>
                <w:sz w:val="24"/>
                <w:szCs w:val="24"/>
                <w:lang w:eastAsia="zh-CN"/>
              </w:rPr>
            </w:pPr>
          </w:p>
          <w:p w14:paraId="10E66712">
            <w:pPr>
              <w:spacing w:line="200" w:lineRule="atLeast"/>
              <w:rPr>
                <w:rFonts w:ascii="Arial Narrow" w:hAnsi="Arial Narrow" w:eastAsia="仿宋_GB2312" w:cs="Arial Narrow"/>
                <w:color w:val="FF0000"/>
                <w:sz w:val="24"/>
                <w:szCs w:val="24"/>
                <w:lang w:eastAsia="zh-CN"/>
              </w:rPr>
            </w:pPr>
          </w:p>
        </w:tc>
      </w:tr>
      <w:tr w14:paraId="59648A46">
        <w:tblPrEx>
          <w:tblCellMar>
            <w:top w:w="0" w:type="dxa"/>
            <w:left w:w="108" w:type="dxa"/>
            <w:bottom w:w="0" w:type="dxa"/>
            <w:right w:w="108" w:type="dxa"/>
          </w:tblCellMar>
        </w:tblPrEx>
        <w:trPr>
          <w:trHeight w:val="507" w:hRule="atLeast"/>
        </w:trPr>
        <w:tc>
          <w:tcPr>
            <w:tcW w:w="3108" w:type="dxa"/>
          </w:tcPr>
          <w:p w14:paraId="09696D18">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267D061C">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1AF10271">
      <w:pPr>
        <w:rPr>
          <w:rFonts w:hint="eastAsia"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宋体;SimSun">
    <w:altName w:val="宋体"/>
    <w:panose1 w:val="00000000000000000000"/>
    <w:charset w:val="00"/>
    <w:family w:val="auto"/>
    <w:pitch w:val="default"/>
    <w:sig w:usb0="00000000" w:usb1="00000000" w:usb2="00000000" w:usb3="00000000" w:csb0="00000000" w:csb1="00000000"/>
  </w:font>
  <w:font w:name="Optimum;Times New Rom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Univers;Arial">
    <w:altName w:val="Liberation Mono"/>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PMingLiU;新細明體">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36737">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0EFCB">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FFE93">
    <w:pPr>
      <w:pStyle w:val="6"/>
      <w:jc w:val="center"/>
    </w:pPr>
    <w:r>
      <w:fldChar w:fldCharType="begin"/>
    </w:r>
    <w:r>
      <w:instrText xml:space="preserve"> PAGE </w:instrText>
    </w:r>
    <w:r>
      <w:fldChar w:fldCharType="separate"/>
    </w:r>
    <w:r>
      <w:t>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110A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8E3E9">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68A94">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DD13E">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6034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5"/>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138959E3"/>
    <w:rsid w:val="1DAF7874"/>
    <w:rsid w:val="6FF321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宋体;SimSun"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qFormat/>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qFormat/>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新細明體"/>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宋体;SimSun"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宋体;SimSun"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6</Pages>
  <Words>2563</Words>
  <Characters>3159</Characters>
  <TotalTime>41</TotalTime>
  <ScaleCrop>false</ScaleCrop>
  <LinksUpToDate>false</LinksUpToDate>
  <CharactersWithSpaces>3165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2019-08-12T16:27:00Z</dcterms:created>
  <dc:creator>SW</dc:creator>
  <cp:lastModifiedBy>杨志</cp:lastModifiedBy>
  <cp:lastPrinted>2017-03-15T11:59:00Z</cp:lastPrinted>
  <dcterms:modified xsi:type="dcterms:W3CDTF">2026-06-11T13:51:26Z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66D62B3D93FE4335B871B47F2D6C3B6E_12</vt:lpwstr>
  </property>
</Properties>
</file>