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51D6D">
      <w:pPr>
        <w:jc w:val="center"/>
        <w:rPr>
          <w:rFonts w:ascii="Arial Narrow" w:hAnsi="Arial Narrow" w:eastAsia="仿宋_GB2312" w:cs="Arial Narrow"/>
          <w:sz w:val="24"/>
          <w:szCs w:val="24"/>
          <w:lang w:eastAsia="zh-CN"/>
        </w:rPr>
      </w:pPr>
    </w:p>
    <w:p w14:paraId="6AF1535E">
      <w:pPr>
        <w:jc w:val="center"/>
        <w:rPr>
          <w:rFonts w:ascii="Arial Narrow" w:hAnsi="Arial Narrow" w:eastAsia="仿宋_GB2312" w:cs="Arial Narrow"/>
          <w:sz w:val="24"/>
          <w:szCs w:val="24"/>
          <w:lang w:eastAsia="zh-CN"/>
        </w:rPr>
      </w:pPr>
    </w:p>
    <w:p w14:paraId="6DC7D501">
      <w:pPr>
        <w:jc w:val="center"/>
        <w:rPr>
          <w:rFonts w:ascii="Arial Narrow" w:hAnsi="Arial Narrow" w:eastAsia="仿宋_GB2312" w:cs="Arial Narrow"/>
          <w:sz w:val="24"/>
          <w:szCs w:val="24"/>
          <w:lang w:eastAsia="zh-CN"/>
        </w:rPr>
      </w:pPr>
    </w:p>
    <w:p w14:paraId="28840803">
      <w:pPr>
        <w:jc w:val="center"/>
        <w:rPr>
          <w:rFonts w:ascii="Arial Narrow" w:hAnsi="Arial Narrow" w:eastAsia="仿宋_GB2312" w:cs="Arial Narrow"/>
          <w:sz w:val="24"/>
          <w:szCs w:val="24"/>
          <w:lang w:eastAsia="zh-CN"/>
        </w:rPr>
      </w:pPr>
    </w:p>
    <w:p w14:paraId="4E5CC0D8">
      <w:pPr>
        <w:jc w:val="center"/>
        <w:rPr>
          <w:rFonts w:ascii="Arial Narrow" w:hAnsi="Arial Narrow" w:eastAsia="仿宋_GB2312" w:cs="Arial Narrow"/>
          <w:sz w:val="24"/>
        </w:rPr>
      </w:pPr>
    </w:p>
    <w:p w14:paraId="0A6AE5AC">
      <w:pPr>
        <w:jc w:val="center"/>
        <w:rPr>
          <w:rFonts w:ascii="Arial Narrow" w:hAnsi="Arial Narrow" w:eastAsia="仿宋_GB2312" w:cs="Arial Narrow"/>
          <w:sz w:val="24"/>
        </w:rPr>
      </w:pPr>
    </w:p>
    <w:p w14:paraId="298C8B58">
      <w:pPr>
        <w:jc w:val="center"/>
        <w:rPr>
          <w:rFonts w:ascii="Arial Narrow" w:hAnsi="Arial Narrow" w:eastAsia="仿宋_GB2312" w:cs="Arial Narrow"/>
          <w:sz w:val="24"/>
          <w:lang w:eastAsia="zh-CN"/>
        </w:rPr>
      </w:pPr>
    </w:p>
    <w:p w14:paraId="74A27479">
      <w:pPr>
        <w:jc w:val="center"/>
        <w:rPr>
          <w:rFonts w:ascii="Arial Narrow" w:hAnsi="Arial Narrow" w:eastAsia="仿宋_GB2312" w:cs="Arial Narrow"/>
          <w:sz w:val="24"/>
          <w:lang w:eastAsia="zh-CN"/>
        </w:rPr>
      </w:pPr>
    </w:p>
    <w:p w14:paraId="78D10EB7">
      <w:pPr>
        <w:numPr>
          <w:ilvl w:val="0"/>
          <w:numId w:val="0"/>
        </w:numPr>
        <w:spacing w:line="360" w:lineRule="auto"/>
        <w:ind w:firstLine="0"/>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color w:val="auto"/>
          <w:sz w:val="48"/>
          <w:szCs w:val="48"/>
          <w:lang w:eastAsia="zh-CN"/>
        </w:rPr>
        <w:t>{{company_full_name}}</w:t>
      </w:r>
    </w:p>
    <w:p w14:paraId="35DEE4B8">
      <w:pPr>
        <w:numPr>
          <w:ilvl w:val="0"/>
          <w:numId w:val="0"/>
        </w:numPr>
        <w:spacing w:line="360" w:lineRule="auto"/>
        <w:ind w:firstLine="0"/>
        <w:jc w:val="center"/>
        <w:outlineLvl w:val="0"/>
        <w:rPr>
          <w:rFonts w:hint="eastAsia" w:ascii="黑体;SimHei" w:hAnsi="黑体;SimHei" w:eastAsia="黑体;SimHei" w:cs="Arial Narrow"/>
          <w:b/>
          <w:color w:val="auto"/>
          <w:sz w:val="48"/>
          <w:szCs w:val="48"/>
          <w:lang w:eastAsia="zh-CN"/>
        </w:rPr>
      </w:pPr>
      <w:r>
        <w:rPr>
          <w:rFonts w:hint="eastAsia" w:ascii="黑体;SimHei" w:hAnsi="黑体;SimHei" w:eastAsia="黑体;SimHei" w:cs="Arial Narrow"/>
          <w:b/>
          <w:color w:val="auto"/>
          <w:sz w:val="48"/>
          <w:szCs w:val="48"/>
          <w:lang w:eastAsia="zh-CN"/>
        </w:rPr>
        <w:t>{{audit_year}}年度</w:t>
      </w:r>
    </w:p>
    <w:p w14:paraId="1FB74DF1">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2B65BDF5">
      <w:pPr>
        <w:jc w:val="center"/>
        <w:rPr>
          <w:rFonts w:ascii="Arial Narrow" w:hAnsi="Arial Narrow" w:eastAsia="仿宋_GB2312" w:cs="Arial Narrow"/>
          <w:b/>
          <w:sz w:val="44"/>
          <w:szCs w:val="44"/>
          <w:lang w:eastAsia="zh-CN"/>
        </w:rPr>
      </w:pPr>
    </w:p>
    <w:p w14:paraId="775F7F6D">
      <w:pPr>
        <w:jc w:val="center"/>
        <w:rPr>
          <w:rFonts w:ascii="Arial Narrow" w:hAnsi="Arial Narrow" w:eastAsia="仿宋_GB2312" w:cs="Arial Narrow"/>
          <w:b/>
          <w:sz w:val="44"/>
          <w:szCs w:val="44"/>
          <w:lang w:eastAsia="zh-CN"/>
        </w:rPr>
      </w:pPr>
    </w:p>
    <w:p w14:paraId="7572CE9C">
      <w:pPr>
        <w:jc w:val="center"/>
        <w:rPr>
          <w:rFonts w:ascii="Arial Narrow" w:hAnsi="Arial Narrow" w:eastAsia="仿宋_GB2312" w:cs="Arial Narrow"/>
          <w:b/>
          <w:sz w:val="44"/>
          <w:szCs w:val="44"/>
          <w:lang w:eastAsia="zh-CN"/>
        </w:rPr>
      </w:pPr>
    </w:p>
    <w:p w14:paraId="069E01CE">
      <w:pPr>
        <w:jc w:val="center"/>
        <w:rPr>
          <w:rFonts w:ascii="Arial Narrow" w:hAnsi="Arial Narrow" w:eastAsia="仿宋_GB2312" w:cs="Arial Narrow"/>
          <w:b/>
          <w:sz w:val="44"/>
          <w:szCs w:val="44"/>
          <w:lang w:eastAsia="zh-CN"/>
        </w:rPr>
      </w:pPr>
    </w:p>
    <w:p w14:paraId="1B17E344">
      <w:pPr>
        <w:jc w:val="center"/>
        <w:rPr>
          <w:rFonts w:ascii="Arial Narrow" w:hAnsi="Arial Narrow" w:eastAsia="仿宋_GB2312" w:cs="Arial Narrow"/>
          <w:b/>
          <w:sz w:val="44"/>
          <w:szCs w:val="44"/>
          <w:lang w:eastAsia="zh-CN"/>
        </w:rPr>
      </w:pPr>
    </w:p>
    <w:p w14:paraId="37B474D5">
      <w:pPr>
        <w:jc w:val="center"/>
        <w:rPr>
          <w:rFonts w:ascii="Arial Narrow" w:hAnsi="Arial Narrow" w:eastAsia="仿宋_GB2312" w:cs="Arial Narrow"/>
          <w:b/>
          <w:sz w:val="44"/>
          <w:szCs w:val="44"/>
          <w:lang w:eastAsia="zh-CN"/>
        </w:rPr>
      </w:pPr>
    </w:p>
    <w:p w14:paraId="395D83B4">
      <w:pPr>
        <w:jc w:val="center"/>
        <w:rPr>
          <w:rFonts w:ascii="Arial Narrow" w:hAnsi="Arial Narrow" w:eastAsia="仿宋_GB2312" w:cs="Arial Narrow"/>
          <w:b/>
          <w:sz w:val="44"/>
          <w:szCs w:val="44"/>
          <w:lang w:eastAsia="zh-CN"/>
        </w:rPr>
      </w:pPr>
    </w:p>
    <w:p w14:paraId="1C2A49E2">
      <w:pPr>
        <w:jc w:val="center"/>
        <w:rPr>
          <w:rFonts w:ascii="Arial Narrow" w:hAnsi="Arial Narrow" w:eastAsia="仿宋_GB2312" w:cs="Arial Narrow"/>
          <w:b/>
          <w:sz w:val="44"/>
          <w:szCs w:val="44"/>
          <w:lang w:eastAsia="zh-CN"/>
        </w:rPr>
      </w:pPr>
    </w:p>
    <w:p w14:paraId="45E26543">
      <w:pPr>
        <w:jc w:val="center"/>
        <w:rPr>
          <w:rFonts w:ascii="Arial Narrow" w:hAnsi="Arial Narrow" w:eastAsia="仿宋_GB2312" w:cs="Arial Narrow"/>
          <w:b/>
          <w:sz w:val="44"/>
          <w:szCs w:val="44"/>
          <w:lang w:eastAsia="zh-CN"/>
        </w:rPr>
      </w:pPr>
    </w:p>
    <w:p w14:paraId="531471C2">
      <w:pPr>
        <w:jc w:val="center"/>
        <w:rPr>
          <w:rFonts w:ascii="Arial Narrow" w:hAnsi="Arial Narrow" w:eastAsia="仿宋_GB2312" w:cs="Arial Narrow"/>
          <w:b/>
          <w:sz w:val="44"/>
          <w:szCs w:val="44"/>
          <w:lang w:eastAsia="zh-CN"/>
        </w:rPr>
      </w:pPr>
    </w:p>
    <w:p w14:paraId="2DB395D9">
      <w:pPr>
        <w:jc w:val="center"/>
        <w:rPr>
          <w:rFonts w:ascii="Arial Narrow" w:hAnsi="Arial Narrow" w:eastAsia="仿宋_GB2312" w:cs="Arial Narrow"/>
          <w:b/>
          <w:sz w:val="44"/>
          <w:szCs w:val="44"/>
          <w:lang w:eastAsia="zh-CN"/>
        </w:rPr>
      </w:pPr>
    </w:p>
    <w:p w14:paraId="52722091">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2F97879B">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12D08E6D">
      <w:pPr>
        <w:jc w:val="center"/>
        <w:rPr>
          <w:rFonts w:hint="eastAsia" w:ascii="Arial Narrow" w:hAnsi="Arial Narrow" w:eastAsia="仿宋_GB2312" w:cs="Arial Narrow"/>
          <w:b/>
          <w:bCs/>
          <w:color w:val="0000FF"/>
          <w:sz w:val="24"/>
          <w:szCs w:val="44"/>
          <w:lang w:eastAsia="zh-CN"/>
        </w:rPr>
      </w:pPr>
    </w:p>
    <w:p w14:paraId="5D20EA3E">
      <w:pPr>
        <w:jc w:val="center"/>
        <w:rPr>
          <w:rFonts w:ascii="Arial Narrow" w:hAnsi="Arial Narrow" w:eastAsia="仿宋_GB2312" w:cs="Arial Narrow"/>
          <w:b/>
          <w:sz w:val="24"/>
          <w:szCs w:val="32"/>
          <w:lang w:eastAsia="zh-CN"/>
        </w:rPr>
      </w:pPr>
    </w:p>
    <w:p w14:paraId="18D1449C">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7DF9B2B4">
        <w:tblPrEx>
          <w:tblCellMar>
            <w:top w:w="0" w:type="dxa"/>
            <w:left w:w="108" w:type="dxa"/>
            <w:bottom w:w="0" w:type="dxa"/>
            <w:right w:w="108" w:type="dxa"/>
          </w:tblCellMar>
        </w:tblPrEx>
        <w:trPr>
          <w:trHeight w:val="851" w:hRule="exact"/>
        </w:trPr>
        <w:tc>
          <w:tcPr>
            <w:tcW w:w="6687" w:type="dxa"/>
            <w:vAlign w:val="center"/>
          </w:tcPr>
          <w:p w14:paraId="07246C82">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4B9C0A48">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2FEEB256">
        <w:tblPrEx>
          <w:tblCellMar>
            <w:top w:w="0" w:type="dxa"/>
            <w:left w:w="108" w:type="dxa"/>
            <w:bottom w:w="0" w:type="dxa"/>
            <w:right w:w="108" w:type="dxa"/>
          </w:tblCellMar>
        </w:tblPrEx>
        <w:trPr>
          <w:trHeight w:val="851" w:hRule="exact"/>
        </w:trPr>
        <w:tc>
          <w:tcPr>
            <w:tcW w:w="6687" w:type="dxa"/>
            <w:vAlign w:val="center"/>
          </w:tcPr>
          <w:p w14:paraId="5F768EE5">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资产负债表</w:t>
            </w:r>
          </w:p>
        </w:tc>
        <w:tc>
          <w:tcPr>
            <w:tcW w:w="1431" w:type="dxa"/>
            <w:vAlign w:val="center"/>
          </w:tcPr>
          <w:p w14:paraId="36234B33">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39C12C3F">
        <w:tblPrEx>
          <w:tblCellMar>
            <w:top w:w="0" w:type="dxa"/>
            <w:left w:w="108" w:type="dxa"/>
            <w:bottom w:w="0" w:type="dxa"/>
            <w:right w:w="108" w:type="dxa"/>
          </w:tblCellMar>
        </w:tblPrEx>
        <w:trPr>
          <w:trHeight w:val="851" w:hRule="exact"/>
        </w:trPr>
        <w:tc>
          <w:tcPr>
            <w:tcW w:w="6687" w:type="dxa"/>
            <w:vAlign w:val="center"/>
          </w:tcPr>
          <w:p w14:paraId="6F76FB04">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利润表</w:t>
            </w:r>
          </w:p>
        </w:tc>
        <w:tc>
          <w:tcPr>
            <w:tcW w:w="1431" w:type="dxa"/>
            <w:vAlign w:val="center"/>
          </w:tcPr>
          <w:p w14:paraId="5ACDD236">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69E0432B">
        <w:tblPrEx>
          <w:tblCellMar>
            <w:top w:w="0" w:type="dxa"/>
            <w:left w:w="108" w:type="dxa"/>
            <w:bottom w:w="0" w:type="dxa"/>
            <w:right w:w="108" w:type="dxa"/>
          </w:tblCellMar>
        </w:tblPrEx>
        <w:trPr>
          <w:trHeight w:val="851" w:hRule="exact"/>
        </w:trPr>
        <w:tc>
          <w:tcPr>
            <w:tcW w:w="6687" w:type="dxa"/>
            <w:vAlign w:val="center"/>
          </w:tcPr>
          <w:p w14:paraId="5BB12A3C">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现金流量表</w:t>
            </w:r>
          </w:p>
        </w:tc>
        <w:tc>
          <w:tcPr>
            <w:tcW w:w="1431" w:type="dxa"/>
            <w:vAlign w:val="center"/>
          </w:tcPr>
          <w:p w14:paraId="1DACFF0B">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3E8BF6F1">
        <w:tblPrEx>
          <w:tblCellMar>
            <w:top w:w="0" w:type="dxa"/>
            <w:left w:w="108" w:type="dxa"/>
            <w:bottom w:w="0" w:type="dxa"/>
            <w:right w:w="108" w:type="dxa"/>
          </w:tblCellMar>
        </w:tblPrEx>
        <w:trPr>
          <w:trHeight w:val="851" w:hRule="exact"/>
        </w:trPr>
        <w:tc>
          <w:tcPr>
            <w:tcW w:w="6687" w:type="dxa"/>
            <w:vAlign w:val="center"/>
          </w:tcPr>
          <w:p w14:paraId="1430A0B1">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股东权益变动表</w:t>
            </w:r>
          </w:p>
        </w:tc>
        <w:tc>
          <w:tcPr>
            <w:tcW w:w="1431" w:type="dxa"/>
            <w:vAlign w:val="center"/>
          </w:tcPr>
          <w:p w14:paraId="033B87B5">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1D2E84DB">
        <w:tblPrEx>
          <w:tblCellMar>
            <w:top w:w="0" w:type="dxa"/>
            <w:left w:w="108" w:type="dxa"/>
            <w:bottom w:w="0" w:type="dxa"/>
            <w:right w:w="108" w:type="dxa"/>
          </w:tblCellMar>
        </w:tblPrEx>
        <w:trPr>
          <w:trHeight w:val="851" w:hRule="exact"/>
        </w:trPr>
        <w:tc>
          <w:tcPr>
            <w:tcW w:w="6687" w:type="dxa"/>
            <w:vAlign w:val="center"/>
          </w:tcPr>
          <w:p w14:paraId="1ABB0120">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373DECCB">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096698A9">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51E2BCC5">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5DE64AC7">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55F59857">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54B8C6D2">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55B760A0">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4869647A">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4BD42A52">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3164E25F">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75886EEC">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55F59857">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54B8C6D2">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55B760A0">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4869647A">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4BD42A52">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3164E25F">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75886EEC">
                      <w:pPr>
                        <w:rPr>
                          <w:rFonts w:ascii="Arial Narrow" w:hAnsi="Arial Narrow" w:eastAsia="黑体;SimHei" w:cs="Arial Narrow"/>
                          <w:sz w:val="14"/>
                          <w:szCs w:val="14"/>
                        </w:rPr>
                      </w:pPr>
                    </w:p>
                  </w:txbxContent>
                </v:textbox>
              </v:shape>
            </w:pict>
          </mc:Fallback>
        </mc:AlternateContent>
      </w:r>
    </w:p>
    <w:p w14:paraId="446EC121">
      <w:pPr>
        <w:rPr>
          <w:rFonts w:ascii="Arial Narrow" w:hAnsi="Arial Narrow" w:eastAsia="仿宋_GB2312" w:cs="Arial Narrow"/>
          <w:sz w:val="24"/>
          <w:szCs w:val="24"/>
          <w:lang w:eastAsia="zh-CN"/>
        </w:rPr>
      </w:pPr>
    </w:p>
    <w:p w14:paraId="7CF359A0">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62B593A6">
      <w:pPr>
        <w:spacing w:line="340" w:lineRule="atLeast"/>
        <w:jc w:val="both"/>
        <w:rPr>
          <w:rFonts w:ascii="Arial Narrow" w:hAnsi="Arial Narrow" w:eastAsia="仿宋_GB2312" w:cs="Arial Narrow"/>
          <w:b/>
          <w:color w:val="0000FF"/>
          <w:sz w:val="24"/>
          <w:szCs w:val="24"/>
          <w:lang w:eastAsia="zh-CN"/>
        </w:rPr>
      </w:pPr>
    </w:p>
    <w:p w14:paraId="2CC2D679">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2195C663">
      <w:pPr>
        <w:spacing w:line="340" w:lineRule="atLeast"/>
        <w:rPr>
          <w:rFonts w:ascii="Arial Narrow" w:hAnsi="Arial Narrow" w:eastAsia="仿宋_GB2312" w:cs="Arial Narrow"/>
          <w:b/>
          <w:color w:val="auto"/>
          <w:sz w:val="24"/>
          <w:szCs w:val="24"/>
          <w:lang w:eastAsia="zh-CN"/>
        </w:rPr>
      </w:pPr>
    </w:p>
    <w:p w14:paraId="743A0008">
      <w:pPr>
        <w:numPr>
          <w:ilvl w:val="0"/>
          <w:numId w:val="0"/>
        </w:numPr>
        <w:spacing w:before="120" w:after="0" w:line="300" w:lineRule="auto"/>
        <w:ind w:firstLine="0"/>
        <w:outlineLvl w:val="0"/>
        <w:rPr>
          <w:rFonts w:ascii="Arial Narrow" w:hAnsi="Arial Narrow" w:eastAsia="仿宋_GB2312" w:cs="Arial Narrow"/>
          <w:b/>
          <w:color w:val="auto"/>
          <w:sz w:val="24"/>
          <w:szCs w:val="24"/>
          <w:lang w:eastAsia="zh-CN"/>
        </w:rPr>
      </w:pPr>
      <w:bookmarkStart w:id="0" w:name="_GoBack"/>
      <w:bookmarkEnd w:id="0"/>
      <w:r>
        <w:rPr>
          <w:rFonts w:ascii="Times New Roman" w:hAnsi="Times New Roman" w:eastAsia="仿宋_GB2312" w:cs="Arial Narrow"/>
          <w:b/>
          <w:color w:val="auto"/>
          <w:spacing w:val="4"/>
          <w:sz w:val="24"/>
          <w:szCs w:val="24"/>
          <w:lang w:eastAsia="zh-CN"/>
        </w:rPr>
        <w:t>{{company_full_name}}全体股东，</w:t>
      </w:r>
    </w:p>
    <w:p w14:paraId="3482E211">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w:t>
      </w:r>
      <w:r>
        <w:rPr>
          <w:rFonts w:hint="eastAsia" w:ascii="Arial Narrow" w:hAnsi="Arial Narrow" w:eastAsia="仿宋_GB2312" w:cs="Arial Narrow"/>
          <w:b/>
          <w:bCs/>
          <w:sz w:val="24"/>
          <w:szCs w:val="24"/>
          <w:lang w:eastAsia="zh-CN"/>
        </w:rPr>
        <w:t>否定</w:t>
      </w:r>
      <w:r>
        <w:rPr>
          <w:rFonts w:hint="eastAsia" w:ascii="Arial Narrow" w:hAnsi="Arial Narrow" w:eastAsia="仿宋_GB2312" w:cs="Arial Narrow"/>
          <w:b/>
          <w:bCs/>
          <w:sz w:val="24"/>
          <w:szCs w:val="24"/>
        </w:rPr>
        <w:t>意见</w:t>
      </w:r>
    </w:p>
    <w:p w14:paraId="4353E992">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我们审计了{{company_full_name}}（以下简称{{company_short_name}}）财务报表，包括{{audit_period_end}}的资产负债表，{{audit_year}}年度的利润表、现金流量表、股东权益变动表以及相关财务报表附注。</w:t>
      </w:r>
    </w:p>
    <w:p w14:paraId="3A7C4A8B">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由于“形成否定意见的基础”部分所述事项的重要性，后附的财务报表没有在所有重大方面按照企业会计准则的规定编制，未能公允反映{{company_short_name}}{{audit_period_end}}的财务状况以及{{audit_year}}年度的的经营成果和现金流量。</w:t>
      </w:r>
    </w:p>
    <w:p w14:paraId="19BE37DF">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二、形成否定意见的基础</w:t>
      </w:r>
    </w:p>
    <w:tbl>
      <w:tblPr>
        <w:tblStyle w:val="9"/>
        <w:tblW w:w="8335" w:type="dxa"/>
        <w:tblInd w:w="0" w:type="dxa"/>
        <w:tblLayout w:type="fixed"/>
        <w:tblCellMar>
          <w:top w:w="0" w:type="dxa"/>
          <w:left w:w="108" w:type="dxa"/>
          <w:bottom w:w="0" w:type="dxa"/>
          <w:right w:w="108" w:type="dxa"/>
        </w:tblCellMar>
      </w:tblPr>
      <w:tblGrid>
        <w:gridCol w:w="8335"/>
      </w:tblGrid>
      <w:tr w14:paraId="22B175AA">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48718D06">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w:t>
            </w:r>
            <w:r>
              <w:rPr>
                <w:rFonts w:hint="eastAsia" w:ascii="Arial Narrow" w:hAnsi="Arial Narrow" w:eastAsia="仿宋_GB2312" w:cs="Arial Narrow"/>
                <w:b/>
                <w:bCs/>
                <w:color w:val="FF0000"/>
                <w:sz w:val="24"/>
                <w:szCs w:val="24"/>
                <w:lang w:eastAsia="zh-CN"/>
              </w:rPr>
              <w:t>【适用于注册会计师对上市公司财务报表发表非标准审计意见，注册会计师在其他证券服务业务中发表非标准审计意见可参照本指引】</w:t>
            </w:r>
            <w:r>
              <w:rPr>
                <w:rFonts w:hint="eastAsia" w:ascii="Arial Narrow" w:hAnsi="Arial Narrow" w:eastAsia="仿宋_GB2312" w:cs="Arial Narrow"/>
                <w:b/>
                <w:bCs/>
                <w:color w:val="0000FF"/>
                <w:sz w:val="24"/>
                <w:szCs w:val="24"/>
                <w:lang w:eastAsia="zh-CN"/>
              </w:rPr>
              <w:t>：</w:t>
            </w:r>
          </w:p>
          <w:p w14:paraId="5E392064">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如果财务报表中存在与具体金额相关的重大错报，注册会计师应当在“形成审计意见的基础”部分说明并量化该错报的财务影响。</w:t>
            </w:r>
          </w:p>
          <w:p w14:paraId="160186CE">
            <w:pPr>
              <w:widowControl w:val="0"/>
              <w:snapToGrid w:val="0"/>
              <w:spacing w:line="300" w:lineRule="auto"/>
              <w:jc w:val="both"/>
              <w:rPr>
                <w:rFonts w:ascii="仿宋_GB2312" w:hAnsi="仿宋_GB2312" w:eastAsia="宋体;SimSun"/>
                <w:bCs/>
                <w:color w:val="FF0000"/>
                <w:sz w:val="24"/>
                <w:szCs w:val="24"/>
                <w:lang w:val="en-GB"/>
              </w:rPr>
            </w:pPr>
            <w:r>
              <w:rPr>
                <w:rFonts w:hint="eastAsia" w:ascii="Arial Narrow" w:hAnsi="Arial Narrow" w:eastAsia="仿宋_GB2312" w:cs="Arial Narrow"/>
                <w:b/>
                <w:bCs/>
                <w:color w:val="0000FF"/>
                <w:sz w:val="24"/>
                <w:szCs w:val="24"/>
                <w:lang w:eastAsia="zh-CN"/>
              </w:rPr>
              <w:t>注册会计师认定财务报表存在“错报”的情况下，应在审计报告和非标准审计意见专项说明中详细说明重大错报的相关信息，包括错报项目及金额、导致错报的原因、违反的会计准则等。</w:t>
            </w:r>
          </w:p>
        </w:tc>
      </w:tr>
    </w:tbl>
    <w:p w14:paraId="20B2F916">
      <w:pPr>
        <w:snapToGrid w:val="0"/>
        <w:spacing w:line="300" w:lineRule="auto"/>
        <w:ind w:left="0" w:leftChars="0" w:right="0" w:rightChars="0" w:firstLineChars="20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##NOTE:单体复核:以下涉及合并/集团审计，单体报告可能需删除或调整## 如财务报表附注×所述，由于无法确定{{company_short_name}}于{{audit_year}}年度收购的子公司XYZ公司某些重要资产和负债项目在收购日的公允价值，{{company_short_name}}未将该子公司纳入合并范围。该项投资以成本计量。根据企业会计准则，{{company_short_name}}应将该子公司纳入合并范围，并以暂估金额为基础核算该项收购。如果将XYZ公司纳入合并范围，后附合并财务报表的多个项目将受到重大影响。我们尚未确定未将该公司纳入合并范围对合并财务报表的影响。</w:t>
      </w:r>
    </w:p>
    <w:p w14:paraId="118F8754">
      <w:pPr>
        <w:spacing w:before="120" w:after="0" w:line="300" w:lineRule="auto"/>
        <w:ind w:left="0" w:leftChars="0" w:right="0" w:rightChars="0" w:firstLine="496" w:firstLineChars="20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否定审计意见提供了基础。</w:t>
      </w:r>
    </w:p>
    <w:p w14:paraId="793BFB70">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三、管理层和治理层对财务报表的责任</w:t>
      </w:r>
    </w:p>
    <w:p w14:paraId="58941DB5">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73EAC254">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0D779D77">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560BFE92">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四、注册会计师对财务报表审计的责任</w:t>
      </w:r>
    </w:p>
    <w:p w14:paraId="3E7B202E">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78B66E06">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6296960D">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0B3BB31C">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457C33FC">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0200EA91">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7386A186">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61D4DEA0">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r>
        <w:rPr>
          <w:rFonts w:hint="eastAsia" w:ascii="Arial Narrow" w:hAnsi="Arial Narrow" w:eastAsia="仿宋_GB2312" w:cs="Arial Narrow"/>
          <w:spacing w:val="4"/>
          <w:sz w:val="24"/>
          <w:szCs w:val="24"/>
          <w:lang w:eastAsia="zh-CN"/>
        </w:rPr>
        <w:t>##NOTE:单体复核:以下涉及合并/集团审计，单体报告可能需删除或调整## （6）就{{company_short_name}}中实体或业务活动的财务信息获取充分、适当的审计证据，以对财务报表发表意见。我们负责指导、监督和执行集团审计，并对审计意见承担全部责任。</w:t>
      </w:r>
    </w:p>
    <w:p w14:paraId="518B7529">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738B92DC">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6995FC0F">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672CF1CE">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3825E65A">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1234640F">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72A8F0EC">
        <w:tblPrEx>
          <w:tblCellMar>
            <w:top w:w="0" w:type="dxa"/>
            <w:left w:w="108" w:type="dxa"/>
            <w:bottom w:w="0" w:type="dxa"/>
            <w:right w:w="108" w:type="dxa"/>
          </w:tblCellMar>
        </w:tblPrEx>
        <w:trPr>
          <w:trHeight w:val="1305" w:hRule="atLeast"/>
        </w:trPr>
        <w:tc>
          <w:tcPr>
            <w:tcW w:w="3108" w:type="dxa"/>
          </w:tcPr>
          <w:p w14:paraId="6C4AC769">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6E190E46">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5B79C104">
            <w:pPr>
              <w:spacing w:line="340" w:lineRule="atLeast"/>
              <w:rPr>
                <w:rFonts w:ascii="Arial Narrow" w:hAnsi="Arial Narrow" w:eastAsia="仿宋_GB2312" w:cs="Arial Narrow"/>
                <w:color w:val="FF0000"/>
                <w:sz w:val="24"/>
                <w:szCs w:val="24"/>
                <w:highlight w:val="cyan"/>
                <w:lang w:val="en-AU" w:eastAsia="zh-CN"/>
              </w:rPr>
            </w:pPr>
          </w:p>
          <w:p w14:paraId="2840AD80">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425ABA7D">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30A5FEA8">
            <w:pPr>
              <w:spacing w:line="340" w:lineRule="atLeast"/>
              <w:jc w:val="right"/>
              <w:rPr>
                <w:rFonts w:ascii="Arial Narrow" w:hAnsi="Arial Narrow" w:eastAsia="仿宋_GB2312" w:cs="Arial Narrow"/>
                <w:sz w:val="24"/>
                <w:szCs w:val="24"/>
                <w:lang w:eastAsia="zh-CN"/>
              </w:rPr>
            </w:pPr>
          </w:p>
          <w:p w14:paraId="7580DE32">
            <w:pPr>
              <w:spacing w:line="340" w:lineRule="atLeast"/>
              <w:jc w:val="right"/>
              <w:rPr>
                <w:rFonts w:ascii="Arial Narrow" w:hAnsi="Arial Narrow" w:eastAsia="仿宋_GB2312" w:cs="Arial Narrow"/>
                <w:sz w:val="24"/>
                <w:szCs w:val="24"/>
                <w:lang w:eastAsia="zh-CN"/>
              </w:rPr>
            </w:pPr>
          </w:p>
          <w:p w14:paraId="72159332">
            <w:pPr>
              <w:spacing w:line="340" w:lineRule="atLeast"/>
              <w:jc w:val="right"/>
              <w:rPr>
                <w:rFonts w:ascii="Arial Narrow" w:hAnsi="Arial Narrow" w:eastAsia="仿宋_GB2312" w:cs="Arial Narrow"/>
                <w:sz w:val="24"/>
                <w:szCs w:val="24"/>
                <w:lang w:val="en-AU" w:eastAsia="zh-CN"/>
              </w:rPr>
            </w:pPr>
          </w:p>
          <w:p w14:paraId="656B4E18">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18FB8791">
            <w:pPr>
              <w:spacing w:line="340" w:lineRule="atLeast"/>
              <w:jc w:val="right"/>
              <w:rPr>
                <w:rFonts w:ascii="Arial Narrow" w:hAnsi="Arial Narrow" w:eastAsia="仿宋_GB2312" w:cs="Arial Narrow"/>
                <w:color w:val="0000FF"/>
                <w:sz w:val="24"/>
                <w:szCs w:val="24"/>
                <w:lang w:eastAsia="zh-CN"/>
              </w:rPr>
            </w:pPr>
          </w:p>
          <w:p w14:paraId="71D872D6">
            <w:pPr>
              <w:spacing w:line="340" w:lineRule="atLeast"/>
              <w:jc w:val="right"/>
              <w:rPr>
                <w:rFonts w:ascii="Arial Narrow" w:hAnsi="Arial Narrow" w:eastAsia="仿宋_GB2312" w:cs="Arial Narrow"/>
                <w:color w:val="0000FF"/>
                <w:sz w:val="24"/>
                <w:szCs w:val="24"/>
                <w:lang w:eastAsia="zh-CN"/>
              </w:rPr>
            </w:pPr>
          </w:p>
        </w:tc>
        <w:tc>
          <w:tcPr>
            <w:tcW w:w="2204" w:type="dxa"/>
          </w:tcPr>
          <w:p w14:paraId="18294D33">
            <w:pPr>
              <w:snapToGrid w:val="0"/>
              <w:spacing w:line="340" w:lineRule="atLeast"/>
              <w:rPr>
                <w:rFonts w:ascii="Arial Narrow" w:hAnsi="Arial Narrow" w:eastAsia="仿宋_GB2312" w:cs="Arial Narrow"/>
                <w:color w:val="FF0000"/>
                <w:sz w:val="24"/>
                <w:szCs w:val="24"/>
                <w:lang w:eastAsia="zh-CN"/>
              </w:rPr>
            </w:pPr>
          </w:p>
          <w:p w14:paraId="0CFC4394">
            <w:pPr>
              <w:spacing w:line="200" w:lineRule="atLeast"/>
              <w:rPr>
                <w:rFonts w:ascii="Arial Narrow" w:hAnsi="Arial Narrow" w:eastAsia="仿宋_GB2312" w:cs="Arial Narrow"/>
                <w:color w:val="FF0000"/>
                <w:sz w:val="24"/>
                <w:szCs w:val="24"/>
                <w:lang w:eastAsia="zh-CN"/>
              </w:rPr>
            </w:pPr>
          </w:p>
          <w:p w14:paraId="3B02C2E5">
            <w:pPr>
              <w:spacing w:line="200" w:lineRule="atLeast"/>
              <w:rPr>
                <w:rFonts w:ascii="Arial Narrow" w:hAnsi="Arial Narrow" w:eastAsia="仿宋_GB2312" w:cs="Arial Narrow"/>
                <w:sz w:val="24"/>
                <w:szCs w:val="24"/>
                <w:lang w:eastAsia="zh-CN"/>
              </w:rPr>
            </w:pPr>
          </w:p>
          <w:p w14:paraId="4C600007">
            <w:pPr>
              <w:spacing w:line="200" w:lineRule="atLeast"/>
              <w:rPr>
                <w:rFonts w:ascii="Arial Narrow" w:hAnsi="Arial Narrow" w:eastAsia="仿宋_GB2312" w:cs="Arial Narrow"/>
                <w:sz w:val="24"/>
                <w:szCs w:val="24"/>
                <w:lang w:eastAsia="zh-CN"/>
              </w:rPr>
            </w:pPr>
          </w:p>
          <w:p w14:paraId="3D6F37E3">
            <w:pPr>
              <w:spacing w:line="200" w:lineRule="atLeast"/>
              <w:rPr>
                <w:rFonts w:ascii="Arial Narrow" w:hAnsi="Arial Narrow" w:eastAsia="仿宋_GB2312" w:cs="Arial Narrow"/>
                <w:color w:val="FF0000"/>
                <w:sz w:val="24"/>
                <w:szCs w:val="24"/>
                <w:lang w:eastAsia="zh-CN"/>
              </w:rPr>
            </w:pPr>
          </w:p>
        </w:tc>
      </w:tr>
      <w:tr w14:paraId="31E2CE67">
        <w:tblPrEx>
          <w:tblCellMar>
            <w:top w:w="0" w:type="dxa"/>
            <w:left w:w="108" w:type="dxa"/>
            <w:bottom w:w="0" w:type="dxa"/>
            <w:right w:w="108" w:type="dxa"/>
          </w:tblCellMar>
        </w:tblPrEx>
        <w:trPr>
          <w:trHeight w:val="507" w:hRule="atLeast"/>
        </w:trPr>
        <w:tc>
          <w:tcPr>
            <w:tcW w:w="3108" w:type="dxa"/>
          </w:tcPr>
          <w:p w14:paraId="5936044E">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0740C46D">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3BA61254">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PMingLiU;Microsoft JhengHei">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Optimum;Times New Roman">
    <w:altName w:val="Liberation Mono"/>
    <w:panose1 w:val="00000000000000000000"/>
    <w:charset w:val="00"/>
    <w:family w:val="auto"/>
    <w:pitch w:val="default"/>
    <w:sig w:usb0="00000000" w:usb1="00000000" w:usb2="00000000" w:usb3="00000000" w:csb0="00000000" w:csb1="00000000"/>
  </w:font>
  <w:font w:name="Univers;Arial">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94CDF">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9F95C">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680E1">
    <w:pPr>
      <w:pStyle w:val="6"/>
      <w:jc w:val="center"/>
    </w:pPr>
    <w:r>
      <w:fldChar w:fldCharType="begin"/>
    </w:r>
    <w:r>
      <w:instrText xml:space="preserve"> PAGE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E771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C27CA">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7B3EC">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C8C50">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5002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2927444A"/>
    <w:rsid w:val="768F27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PMingLiU;Microsoft JhengHei"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Microsoft JhengHei"/>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PMingLiU;Microsoft JhengHei"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PMingLiU;Microsoft JhengHei"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6</Pages>
  <Words>2140</Words>
  <Characters>2619</Characters>
  <TotalTime>27</TotalTime>
  <ScaleCrop>false</ScaleCrop>
  <LinksUpToDate>false</LinksUpToDate>
  <CharactersWithSpaces>2625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2019-08-12T16:28:00Z</dcterms:created>
  <dc:creator>SW</dc:creator>
  <cp:lastModifiedBy>杨志</cp:lastModifiedBy>
  <cp:lastPrinted>2017-03-15T11:59:00Z</cp:lastPrinted>
  <dcterms:modified xsi:type="dcterms:W3CDTF">2026-06-11T13:51:43Z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41F7827CFC654CB18B37BC9815B351AF_12</vt:lpwstr>
  </property>
</Properties>
</file>