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6BE41">
      <w:pPr>
        <w:jc w:val="center"/>
        <w:rPr>
          <w:rFonts w:ascii="Arial Narrow" w:hAnsi="Arial Narrow" w:eastAsia="仿宋_GB2312" w:cs="Arial Narrow"/>
          <w:sz w:val="24"/>
          <w:szCs w:val="24"/>
          <w:lang w:eastAsia="zh-CN"/>
        </w:rPr>
      </w:pPr>
    </w:p>
    <w:p w14:paraId="6584678F">
      <w:pPr>
        <w:jc w:val="center"/>
        <w:rPr>
          <w:rFonts w:ascii="Arial Narrow" w:hAnsi="Arial Narrow" w:eastAsia="仿宋_GB2312" w:cs="Arial Narrow"/>
          <w:sz w:val="24"/>
          <w:szCs w:val="24"/>
          <w:lang w:eastAsia="zh-CN"/>
        </w:rPr>
      </w:pPr>
    </w:p>
    <w:p w14:paraId="1233A8FC">
      <w:pPr>
        <w:jc w:val="center"/>
        <w:rPr>
          <w:rFonts w:ascii="Arial Narrow" w:hAnsi="Arial Narrow" w:eastAsia="仿宋_GB2312" w:cs="Arial Narrow"/>
          <w:sz w:val="24"/>
          <w:szCs w:val="24"/>
          <w:lang w:eastAsia="zh-CN"/>
        </w:rPr>
      </w:pPr>
    </w:p>
    <w:p w14:paraId="714B8890">
      <w:pPr>
        <w:jc w:val="center"/>
        <w:rPr>
          <w:rFonts w:ascii="Arial Narrow" w:hAnsi="Arial Narrow" w:eastAsia="仿宋_GB2312" w:cs="Arial Narrow"/>
          <w:sz w:val="24"/>
          <w:szCs w:val="24"/>
          <w:lang w:eastAsia="zh-CN"/>
        </w:rPr>
      </w:pPr>
    </w:p>
    <w:p w14:paraId="404A466F">
      <w:pPr>
        <w:jc w:val="center"/>
        <w:rPr>
          <w:rFonts w:ascii="Arial Narrow" w:hAnsi="Arial Narrow" w:eastAsia="仿宋_GB2312" w:cs="Arial Narrow"/>
          <w:sz w:val="24"/>
        </w:rPr>
      </w:pPr>
    </w:p>
    <w:p w14:paraId="10BABBA1">
      <w:pPr>
        <w:jc w:val="center"/>
        <w:rPr>
          <w:rFonts w:ascii="Arial Narrow" w:hAnsi="Arial Narrow" w:eastAsia="仿宋_GB2312" w:cs="Arial Narrow"/>
          <w:sz w:val="24"/>
        </w:rPr>
      </w:pPr>
    </w:p>
    <w:p w14:paraId="5D87AAE1">
      <w:pPr>
        <w:jc w:val="center"/>
        <w:rPr>
          <w:rFonts w:ascii="Arial Narrow" w:hAnsi="Arial Narrow" w:eastAsia="仿宋_GB2312" w:cs="Arial Narrow"/>
          <w:sz w:val="24"/>
          <w:lang w:eastAsia="zh-CN"/>
        </w:rPr>
      </w:pPr>
    </w:p>
    <w:p w14:paraId="0A08DCA6">
      <w:pPr>
        <w:jc w:val="center"/>
        <w:rPr>
          <w:rFonts w:ascii="Arial Narrow" w:hAnsi="Arial Narrow" w:eastAsia="仿宋_GB2312" w:cs="Arial Narrow"/>
          <w:sz w:val="24"/>
          <w:lang w:eastAsia="zh-CN"/>
        </w:rPr>
      </w:pPr>
    </w:p>
    <w:p w14:paraId="3DD6B02D">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2BD1EE28">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0FA4705F">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48A60A31">
      <w:pPr>
        <w:jc w:val="center"/>
        <w:rPr>
          <w:rFonts w:ascii="Arial Narrow" w:hAnsi="Arial Narrow" w:eastAsia="仿宋_GB2312" w:cs="Arial Narrow"/>
          <w:b/>
          <w:sz w:val="44"/>
          <w:szCs w:val="44"/>
          <w:lang w:eastAsia="zh-CN"/>
        </w:rPr>
      </w:pPr>
    </w:p>
    <w:p w14:paraId="25E7BF88">
      <w:pPr>
        <w:jc w:val="center"/>
        <w:rPr>
          <w:rFonts w:ascii="Arial Narrow" w:hAnsi="Arial Narrow" w:eastAsia="仿宋_GB2312" w:cs="Arial Narrow"/>
          <w:b/>
          <w:sz w:val="44"/>
          <w:szCs w:val="44"/>
          <w:lang w:eastAsia="zh-CN"/>
        </w:rPr>
      </w:pPr>
    </w:p>
    <w:p w14:paraId="73B5AA1D">
      <w:pPr>
        <w:jc w:val="center"/>
        <w:rPr>
          <w:rFonts w:ascii="Arial Narrow" w:hAnsi="Arial Narrow" w:eastAsia="仿宋_GB2312" w:cs="Arial Narrow"/>
          <w:b/>
          <w:sz w:val="44"/>
          <w:szCs w:val="44"/>
          <w:lang w:eastAsia="zh-CN"/>
        </w:rPr>
      </w:pPr>
    </w:p>
    <w:p w14:paraId="0E4C3E9F">
      <w:pPr>
        <w:jc w:val="center"/>
        <w:rPr>
          <w:rFonts w:ascii="Arial Narrow" w:hAnsi="Arial Narrow" w:eastAsia="仿宋_GB2312" w:cs="Arial Narrow"/>
          <w:b/>
          <w:sz w:val="44"/>
          <w:szCs w:val="44"/>
          <w:lang w:eastAsia="zh-CN"/>
        </w:rPr>
      </w:pPr>
    </w:p>
    <w:p w14:paraId="5B46AB98">
      <w:pPr>
        <w:jc w:val="center"/>
        <w:rPr>
          <w:rFonts w:ascii="Arial Narrow" w:hAnsi="Arial Narrow" w:eastAsia="仿宋_GB2312" w:cs="Arial Narrow"/>
          <w:b/>
          <w:sz w:val="44"/>
          <w:szCs w:val="44"/>
          <w:lang w:eastAsia="zh-CN"/>
        </w:rPr>
      </w:pPr>
    </w:p>
    <w:p w14:paraId="41635126">
      <w:pPr>
        <w:jc w:val="center"/>
        <w:rPr>
          <w:rFonts w:ascii="Arial Narrow" w:hAnsi="Arial Narrow" w:eastAsia="仿宋_GB2312" w:cs="Arial Narrow"/>
          <w:b/>
          <w:sz w:val="44"/>
          <w:szCs w:val="44"/>
          <w:lang w:eastAsia="zh-CN"/>
        </w:rPr>
      </w:pPr>
    </w:p>
    <w:p w14:paraId="2C28738A">
      <w:pPr>
        <w:jc w:val="center"/>
        <w:rPr>
          <w:rFonts w:ascii="Arial Narrow" w:hAnsi="Arial Narrow" w:eastAsia="仿宋_GB2312" w:cs="Arial Narrow"/>
          <w:b/>
          <w:sz w:val="44"/>
          <w:szCs w:val="44"/>
          <w:lang w:eastAsia="zh-CN"/>
        </w:rPr>
      </w:pPr>
    </w:p>
    <w:p w14:paraId="19A05790">
      <w:pPr>
        <w:jc w:val="center"/>
        <w:rPr>
          <w:rFonts w:ascii="Arial Narrow" w:hAnsi="Arial Narrow" w:eastAsia="仿宋_GB2312" w:cs="Arial Narrow"/>
          <w:b/>
          <w:sz w:val="44"/>
          <w:szCs w:val="44"/>
          <w:lang w:eastAsia="zh-CN"/>
        </w:rPr>
      </w:pPr>
    </w:p>
    <w:p w14:paraId="70BBF6B7">
      <w:pPr>
        <w:jc w:val="center"/>
        <w:rPr>
          <w:rFonts w:ascii="Arial Narrow" w:hAnsi="Arial Narrow" w:eastAsia="仿宋_GB2312" w:cs="Arial Narrow"/>
          <w:b/>
          <w:sz w:val="44"/>
          <w:szCs w:val="44"/>
          <w:lang w:eastAsia="zh-CN"/>
        </w:rPr>
      </w:pPr>
    </w:p>
    <w:p w14:paraId="46593404">
      <w:pPr>
        <w:jc w:val="center"/>
        <w:rPr>
          <w:rFonts w:ascii="Arial Narrow" w:hAnsi="Arial Narrow" w:eastAsia="仿宋_GB2312" w:cs="Arial Narrow"/>
          <w:b/>
          <w:sz w:val="44"/>
          <w:szCs w:val="44"/>
          <w:lang w:eastAsia="zh-CN"/>
        </w:rPr>
      </w:pPr>
    </w:p>
    <w:p w14:paraId="3D61FC82">
      <w:pPr>
        <w:jc w:val="center"/>
        <w:rPr>
          <w:rFonts w:ascii="Arial Narrow" w:hAnsi="Arial Narrow" w:eastAsia="仿宋_GB2312" w:cs="Arial Narrow"/>
          <w:b/>
          <w:sz w:val="44"/>
          <w:szCs w:val="44"/>
          <w:lang w:eastAsia="zh-CN"/>
        </w:rPr>
      </w:pPr>
    </w:p>
    <w:p w14:paraId="07765017">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70E6994A">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3D89C239">
      <w:pPr>
        <w:jc w:val="center"/>
        <w:rPr>
          <w:rFonts w:hint="eastAsia" w:ascii="Arial Narrow" w:hAnsi="Arial Narrow" w:eastAsia="仿宋_GB2312" w:cs="Arial Narrow"/>
          <w:bCs/>
          <w:color w:val="0000FF"/>
          <w:sz w:val="24"/>
          <w:szCs w:val="44"/>
          <w:lang w:eastAsia="zh-CN"/>
        </w:rPr>
      </w:pPr>
    </w:p>
    <w:p w14:paraId="66EBA769">
      <w:pPr>
        <w:jc w:val="center"/>
        <w:rPr>
          <w:rFonts w:ascii="Arial Narrow" w:hAnsi="Arial Narrow" w:eastAsia="仿宋_GB2312" w:cs="Arial Narrow"/>
          <w:b/>
          <w:sz w:val="24"/>
          <w:szCs w:val="32"/>
          <w:lang w:eastAsia="zh-CN"/>
        </w:rPr>
      </w:pPr>
    </w:p>
    <w:p w14:paraId="75A13664">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129D739E">
        <w:trPr>
          <w:trHeight w:val="851" w:hRule="exact"/>
        </w:trPr>
        <w:tc>
          <w:tcPr>
            <w:tcW w:w="6687" w:type="dxa"/>
            <w:vAlign w:val="center"/>
          </w:tcPr>
          <w:p w14:paraId="0EA259BA">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5A321533">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6E89B579">
        <w:tblPrEx>
          <w:tblCellMar>
            <w:top w:w="0" w:type="dxa"/>
            <w:left w:w="108" w:type="dxa"/>
            <w:bottom w:w="0" w:type="dxa"/>
            <w:right w:w="108" w:type="dxa"/>
          </w:tblCellMar>
        </w:tblPrEx>
        <w:trPr>
          <w:trHeight w:val="851" w:hRule="exact"/>
        </w:trPr>
        <w:tc>
          <w:tcPr>
            <w:tcW w:w="6687" w:type="dxa"/>
            <w:vAlign w:val="center"/>
          </w:tcPr>
          <w:p w14:paraId="1D561226">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048DB69B">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5990A60D">
        <w:tblPrEx>
          <w:tblCellMar>
            <w:top w:w="0" w:type="dxa"/>
            <w:left w:w="108" w:type="dxa"/>
            <w:bottom w:w="0" w:type="dxa"/>
            <w:right w:w="108" w:type="dxa"/>
          </w:tblCellMar>
        </w:tblPrEx>
        <w:trPr>
          <w:trHeight w:val="851" w:hRule="exact"/>
        </w:trPr>
        <w:tc>
          <w:tcPr>
            <w:tcW w:w="6687" w:type="dxa"/>
            <w:vAlign w:val="center"/>
          </w:tcPr>
          <w:p w14:paraId="3712E09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78A0BB04">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32F0ABF2">
        <w:tblPrEx>
          <w:tblCellMar>
            <w:top w:w="0" w:type="dxa"/>
            <w:left w:w="108" w:type="dxa"/>
            <w:bottom w:w="0" w:type="dxa"/>
            <w:right w:w="108" w:type="dxa"/>
          </w:tblCellMar>
        </w:tblPrEx>
        <w:trPr>
          <w:trHeight w:val="851" w:hRule="exact"/>
        </w:trPr>
        <w:tc>
          <w:tcPr>
            <w:tcW w:w="6687" w:type="dxa"/>
            <w:vAlign w:val="center"/>
          </w:tcPr>
          <w:p w14:paraId="228AACC3">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2E6E1B39">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4E7EB8B1">
        <w:tblPrEx>
          <w:tblCellMar>
            <w:top w:w="0" w:type="dxa"/>
            <w:left w:w="108" w:type="dxa"/>
            <w:bottom w:w="0" w:type="dxa"/>
            <w:right w:w="108" w:type="dxa"/>
          </w:tblCellMar>
        </w:tblPrEx>
        <w:trPr>
          <w:trHeight w:val="851" w:hRule="exact"/>
        </w:trPr>
        <w:tc>
          <w:tcPr>
            <w:tcW w:w="6687" w:type="dxa"/>
            <w:vAlign w:val="center"/>
          </w:tcPr>
          <w:p w14:paraId="45CFD9A9">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170A3536">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50555C47">
        <w:tblPrEx>
          <w:tblCellMar>
            <w:top w:w="0" w:type="dxa"/>
            <w:left w:w="108" w:type="dxa"/>
            <w:bottom w:w="0" w:type="dxa"/>
            <w:right w:w="108" w:type="dxa"/>
          </w:tblCellMar>
        </w:tblPrEx>
        <w:trPr>
          <w:trHeight w:val="851" w:hRule="exact"/>
        </w:trPr>
        <w:tc>
          <w:tcPr>
            <w:tcW w:w="6687" w:type="dxa"/>
            <w:vAlign w:val="center"/>
          </w:tcPr>
          <w:p w14:paraId="37942703">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631520DA">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185D1527">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7C67F5BA">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6F420AB3">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6C3B6C2E">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104F363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6FC9EEB1">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0B779926">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2F3EAF6A">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97EF16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D1C6111">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6C3B6C2E">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104F363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6FC9EEB1">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0B779926">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2F3EAF6A">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97EF16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D1C6111">
                      <w:pPr>
                        <w:rPr>
                          <w:rFonts w:ascii="Arial Narrow" w:hAnsi="Arial Narrow" w:eastAsia="黑体;SimHei" w:cs="Arial Narrow"/>
                          <w:sz w:val="14"/>
                          <w:szCs w:val="14"/>
                        </w:rPr>
                      </w:pPr>
                    </w:p>
                  </w:txbxContent>
                </v:textbox>
              </v:shape>
            </w:pict>
          </mc:Fallback>
        </mc:AlternateContent>
      </w:r>
    </w:p>
    <w:p w14:paraId="3866D8DC">
      <w:pPr>
        <w:rPr>
          <w:rFonts w:ascii="Arial Narrow" w:hAnsi="Arial Narrow" w:eastAsia="仿宋_GB2312" w:cs="Arial Narrow"/>
          <w:sz w:val="24"/>
          <w:szCs w:val="24"/>
          <w:lang w:eastAsia="zh-CN"/>
        </w:rPr>
      </w:pPr>
    </w:p>
    <w:p w14:paraId="49AC7C66">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1F3BD46C">
      <w:pPr>
        <w:spacing w:line="340" w:lineRule="atLeast"/>
        <w:jc w:val="both"/>
        <w:rPr>
          <w:rFonts w:ascii="Arial Narrow" w:hAnsi="Arial Narrow" w:eastAsia="仿宋_GB2312" w:cs="Arial Narrow"/>
          <w:b/>
          <w:color w:val="0000FF"/>
          <w:sz w:val="24"/>
          <w:szCs w:val="24"/>
          <w:lang w:eastAsia="zh-CN"/>
        </w:rPr>
      </w:pPr>
    </w:p>
    <w:p w14:paraId="510C81D2">
      <w:pPr>
        <w:spacing w:line="340" w:lineRule="atLeast"/>
        <w:ind w:firstLine="420"/>
        <w:jc w:val="right"/>
        <w:rPr>
          <w:rFonts w:ascii="Arial Narrow" w:hAnsi="Arial Narrow" w:eastAsia="仿宋_GB2312" w:cs="Arial Narrow"/>
          <w:sz w:val="24"/>
          <w:szCs w:val="24"/>
          <w:lang w:eastAsia="zh-CN"/>
        </w:rPr>
      </w:pPr>
      <w:bookmarkStart w:id="1" w:name="_GoBack"/>
      <w:r>
        <w:rPr>
          <w:rFonts w:hint="default" w:ascii="Arial Narrow" w:hAnsi="Arial Narrow" w:eastAsia="仿宋_GB2312" w:cs="Arial Narrow"/>
          <w:spacing w:val="4"/>
          <w:sz w:val="24"/>
          <w:lang w:eastAsia="zh-CN"/>
        </w:rPr>
        <w:t>{{report_number}}</w:t>
      </w:r>
    </w:p>
    <w:bookmarkEnd w:id="1"/>
    <w:p w14:paraId="4003450E">
      <w:pPr>
        <w:spacing w:line="340" w:lineRule="atLeast"/>
        <w:rPr>
          <w:rFonts w:ascii="Arial Narrow" w:hAnsi="Arial Narrow" w:eastAsia="仿宋_GB2312" w:cs="Arial Narrow"/>
          <w:b/>
          <w:color w:val="FF0000"/>
          <w:sz w:val="24"/>
          <w:szCs w:val="24"/>
          <w:lang w:eastAsia="zh-CN"/>
        </w:rPr>
      </w:pPr>
    </w:p>
    <w:p w14:paraId="53F0E4B7">
      <w:pPr>
        <w:numPr>
          <w:ilvl w:val="0"/>
          <w:numId w:val="0"/>
        </w:numPr>
        <w:spacing w:before="120" w:after="0" w:line="300" w:lineRule="auto"/>
        <w:ind w:firstLine="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p>
    <w:p w14:paraId="3F72EEDF">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保留</w:t>
      </w:r>
      <w:r>
        <w:rPr>
          <w:rFonts w:hint="eastAsia" w:ascii="Arial Narrow" w:hAnsi="Arial Narrow" w:eastAsia="仿宋_GB2312" w:cs="Arial Narrow"/>
          <w:b/>
          <w:bCs/>
          <w:sz w:val="24"/>
          <w:szCs w:val="24"/>
        </w:rPr>
        <w:t>意见</w:t>
      </w:r>
    </w:p>
    <w:p w14:paraId="2323FE06">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4E8873D9">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除“形成保留意见的基础”部分所述事项产生的影响外，后附的财务报表在所有重大方面按照企业会计准则的规定编制，公允反映了{{company_short_name}}{{audit_period_end}}的财务状况以及{{audit_year}}年度的经营成果和现金流量。</w:t>
      </w:r>
    </w:p>
    <w:p w14:paraId="74CE1ECA">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二、形成保留意见的基础</w:t>
      </w:r>
    </w:p>
    <w:tbl>
      <w:tblPr>
        <w:tblStyle w:val="9"/>
        <w:tblW w:w="8335" w:type="dxa"/>
        <w:tblInd w:w="0" w:type="dxa"/>
        <w:tblLayout w:type="fixed"/>
        <w:tblCellMar>
          <w:top w:w="0" w:type="dxa"/>
          <w:left w:w="108" w:type="dxa"/>
          <w:bottom w:w="0" w:type="dxa"/>
          <w:right w:w="108" w:type="dxa"/>
        </w:tblCellMar>
      </w:tblPr>
      <w:tblGrid>
        <w:gridCol w:w="8335"/>
      </w:tblGrid>
      <w:tr w14:paraId="13EFC7E7">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73C7A444">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号》【适用于注册会计师对上市公司财务报表发表非标准审计意见，注册会计师在其他证券服务业务中发表非标准审计意见可参照本指引】：</w:t>
            </w:r>
          </w:p>
          <w:p w14:paraId="2B07B6ED">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如果无法量化财务影响，注册会计师应当在该部分说明这一情况。如果因无法获取充分、适当的审计证据而导致发表非无保留意见，注册会计师应当在“形成审计意见的基础”部分说明无法获取审计证据的原因。</w:t>
            </w:r>
          </w:p>
          <w:p w14:paraId="56937FC6">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p w14:paraId="2A32DCB9">
            <w:pPr>
              <w:widowControl w:val="0"/>
              <w:snapToGrid w:val="0"/>
              <w:spacing w:before="120" w:after="0" w:line="300" w:lineRule="auto"/>
              <w:ind w:left="0" w:leftChars="0" w:right="0" w:rightChars="0" w:firstLineChars="200"/>
              <w:jc w:val="both"/>
              <w:rPr>
                <w:rFonts w:hint="eastAsia"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存在“受限”的情况下，应在审计报告和非标准审计意见专项说明中充分披露以下信息：“受限”事项的形成过程及原因；“受限”事项对公司财务状况、经营成果和现金流量可能的影响金额，如不可行应解释不可行的原因；“受限”事项未能获取的审计证据内容，即应获取何种审计证据方可解决“受限”。</w:t>
            </w:r>
          </w:p>
        </w:tc>
      </w:tr>
    </w:tbl>
    <w:p w14:paraId="54DAF7FA">
      <w:pPr>
        <w:snapToGrid w:val="0"/>
        <w:spacing w:line="300" w:lineRule="auto"/>
        <w:ind w:left="0" w:leftChars="0" w:right="0" w:rightChars="0" w:firstLineChars="200"/>
        <w:jc w:val="both"/>
        <w:rPr>
          <w:rFonts w:ascii="Arial Narrow" w:hAnsi="Arial Narrow" w:eastAsia="仿宋_GB2312" w:cs="Arial Narrow"/>
          <w:b/>
          <w:bCs/>
          <w:color w:val="0000FF"/>
          <w:sz w:val="24"/>
          <w:szCs w:val="24"/>
          <w:lang w:eastAsia="zh-CN"/>
        </w:rPr>
      </w:pPr>
    </w:p>
    <w:p w14:paraId="4741258D">
      <w:pPr>
        <w:snapToGrid w:val="0"/>
        <w:spacing w:line="300" w:lineRule="auto"/>
        <w:ind w:left="0" w:leftChars="0" w:right="0" w:rightChars="0" w:firstLine="480" w:firstLineChars="200"/>
        <w:jc w:val="both"/>
        <w:rPr>
          <w:rFonts w:ascii="仿宋_GB2312" w:hAnsi="仿宋_GB2312" w:eastAsia="仿宋_GB2312"/>
          <w:bCs/>
          <w:color w:val="FF0000"/>
          <w:sz w:val="24"/>
          <w:szCs w:val="24"/>
          <w:lang w:val="en-GB"/>
        </w:rPr>
      </w:pPr>
      <w:r>
        <w:rPr>
          <w:rFonts w:ascii="仿宋_GB2312" w:hAnsi="仿宋_GB2312" w:eastAsia="仿宋_GB2312"/>
          <w:bCs/>
          <w:color w:val="FF0000"/>
          <w:sz w:val="24"/>
          <w:szCs w:val="24"/>
          <w:lang w:val="en-GB"/>
        </w:rPr>
        <w:t>{{company_short_name}}{{audit_period_end}}资产负债表中存货的列示金额为×元。{{company_short_name}}管理层（以下简称管理层）根据成本对存货进行计量，而没有根据成本与可变现净值孰低的原则进行计量，这不符合企业会计准则的规定。{{company_short_name}}的会计记录显示，如果管理层以成本与可变现净值孰低来计量存货，存货列示金额将减少×元。相应地，资产减值损失将增加×元，所得税、净利润和股东权益将分别减少×元、×元和×元。</w:t>
      </w:r>
    </w:p>
    <w:p w14:paraId="58FDA3C3">
      <w:pPr>
        <w:snapToGrid w:val="0"/>
        <w:spacing w:line="300" w:lineRule="auto"/>
        <w:ind w:left="0" w:leftChars="0" w:right="0" w:rightChars="0" w:firstLineChars="20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##NOTE:单体复核:以下涉及合并/集团审计，单体报告可能需删除或调整## 如财务报表附注×所述，{{company_short_name}}于{{audit_year}}年取得了境外XYZ公司30%的股权，因能够对XYZ公司施加重大影响，故采用权益法核算该项股权投资，于{{audit_year}}年度确认对XYZ公司的投资收益×元，该项股权投资于{{audit_period_end}}合并资产负债表上反映的账面价值为×元。由于我们未被允许接触XYZ公司的财务信息、管理层和执行XYZ公司审计的注册会计师，我们无法就该项股权投资的账面价值以及{{company_short_name}}确认的2020年度对XYZ公司的投资收益获取充分、适当的审计证据，也无法确定是否有必要对这些金额进行调整。</w:t>
      </w:r>
    </w:p>
    <w:p w14:paraId="140DEF9F">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company_short_name}}，并履行了职业道德方面的其他责任。我们相信，我们获取的审计证据是充分、适当的，为发表保留意见提供了基础。</w:t>
      </w:r>
      <w:bookmarkStart w:id="0" w:name="OLE_LINK1"/>
      <w:bookmarkEnd w:id="0"/>
    </w:p>
    <w:p w14:paraId="36FF0FF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eastAsia="等线;DengXian" w:cs="等线;DengXian"/>
          <w:b/>
          <w:bCs/>
          <w:sz w:val="24"/>
          <w:szCs w:val="24"/>
          <w:lang w:eastAsia="zh-CN"/>
        </w:rPr>
        <w:t>三</w:t>
      </w:r>
      <w:r>
        <w:rPr>
          <w:rFonts w:hint="eastAsia" w:ascii="Arial Narrow" w:hAnsi="Arial Narrow" w:eastAsia="仿宋_GB2312" w:cs="Arial Narrow"/>
          <w:b/>
          <w:bCs/>
          <w:sz w:val="24"/>
          <w:szCs w:val="24"/>
        </w:rPr>
        <w:t>、管理层和治理层对财务报表的责任</w:t>
      </w:r>
    </w:p>
    <w:p w14:paraId="2B7E73AB">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017F2FD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5865129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074D49F8">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eastAsia="等线;DengXian" w:cs="等线;DengXian"/>
          <w:b/>
          <w:bCs/>
          <w:sz w:val="24"/>
          <w:szCs w:val="24"/>
          <w:lang w:eastAsia="zh-CN"/>
        </w:rPr>
        <w:t>四</w:t>
      </w:r>
      <w:r>
        <w:rPr>
          <w:rFonts w:hint="eastAsia" w:ascii="Arial Narrow" w:hAnsi="Arial Narrow" w:eastAsia="仿宋_GB2312" w:cs="Arial Narrow"/>
          <w:b/>
          <w:bCs/>
          <w:sz w:val="24"/>
          <w:szCs w:val="24"/>
        </w:rPr>
        <w:t>、注册会计师对财务报表审计的责任</w:t>
      </w:r>
    </w:p>
    <w:p w14:paraId="7AE2CE7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91E3BC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1DB23CB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49734B2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65A1292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612ECD6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6C8FDFE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6675333E">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47C30C2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6A858D1B">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2A0EE8CE">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1521FACA">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7C2762DE">
      <w:pPr>
        <w:spacing w:before="120" w:after="0" w:line="300" w:lineRule="auto"/>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14" w:type="dxa"/>
        <w:tblInd w:w="108" w:type="dxa"/>
        <w:tblLayout w:type="fixed"/>
        <w:tblCellMar>
          <w:top w:w="0" w:type="dxa"/>
          <w:left w:w="108" w:type="dxa"/>
          <w:bottom w:w="0" w:type="dxa"/>
          <w:right w:w="108" w:type="dxa"/>
        </w:tblCellMar>
      </w:tblPr>
      <w:tblGrid>
        <w:gridCol w:w="3095"/>
        <w:gridCol w:w="3224"/>
        <w:gridCol w:w="2195"/>
      </w:tblGrid>
      <w:tr w14:paraId="4063026C">
        <w:tblPrEx>
          <w:tblCellMar>
            <w:top w:w="0" w:type="dxa"/>
            <w:left w:w="108" w:type="dxa"/>
            <w:bottom w:w="0" w:type="dxa"/>
            <w:right w:w="108" w:type="dxa"/>
          </w:tblCellMar>
        </w:tblPrEx>
        <w:trPr>
          <w:trHeight w:val="1629" w:hRule="atLeast"/>
        </w:trPr>
        <w:tc>
          <w:tcPr>
            <w:tcW w:w="3095" w:type="dxa"/>
          </w:tcPr>
          <w:p w14:paraId="599F3C5D">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07EE9605">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099C7620">
            <w:pPr>
              <w:spacing w:line="340" w:lineRule="atLeast"/>
              <w:rPr>
                <w:rFonts w:ascii="Arial Narrow" w:hAnsi="Arial Narrow" w:eastAsia="仿宋_GB2312" w:cs="Arial Narrow"/>
                <w:color w:val="FF0000"/>
                <w:sz w:val="24"/>
                <w:szCs w:val="24"/>
                <w:highlight w:val="cyan"/>
                <w:lang w:val="en-AU" w:eastAsia="zh-CN"/>
              </w:rPr>
            </w:pPr>
          </w:p>
          <w:p w14:paraId="149CF9D0">
            <w:pPr>
              <w:spacing w:line="340" w:lineRule="atLeast"/>
              <w:rPr>
                <w:rFonts w:ascii="Arial Narrow" w:hAnsi="Arial Narrow" w:eastAsia="仿宋_GB2312" w:cs="Arial Narrow"/>
                <w:color w:val="FF0000"/>
                <w:sz w:val="24"/>
                <w:szCs w:val="24"/>
                <w:highlight w:val="cyan"/>
                <w:lang w:val="en-AU" w:eastAsia="zh-CN"/>
              </w:rPr>
            </w:pPr>
          </w:p>
        </w:tc>
        <w:tc>
          <w:tcPr>
            <w:tcW w:w="3224" w:type="dxa"/>
          </w:tcPr>
          <w:p w14:paraId="6052420B">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1DA4F8E7">
            <w:pPr>
              <w:spacing w:line="340" w:lineRule="atLeast"/>
              <w:jc w:val="right"/>
              <w:rPr>
                <w:rFonts w:ascii="Arial Narrow" w:hAnsi="Arial Narrow" w:eastAsia="仿宋_GB2312" w:cs="Arial Narrow"/>
                <w:sz w:val="24"/>
                <w:szCs w:val="24"/>
                <w:lang w:eastAsia="zh-CN"/>
              </w:rPr>
            </w:pPr>
          </w:p>
          <w:p w14:paraId="7589FFE8">
            <w:pPr>
              <w:spacing w:line="340" w:lineRule="atLeast"/>
              <w:jc w:val="right"/>
              <w:rPr>
                <w:rFonts w:ascii="Arial Narrow" w:hAnsi="Arial Narrow" w:eastAsia="仿宋_GB2312" w:cs="Arial Narrow"/>
                <w:sz w:val="24"/>
                <w:szCs w:val="24"/>
                <w:lang w:val="en-AU" w:eastAsia="zh-CN"/>
              </w:rPr>
            </w:pPr>
          </w:p>
          <w:p w14:paraId="623ACA93">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21043101">
            <w:pPr>
              <w:spacing w:line="340" w:lineRule="atLeast"/>
              <w:jc w:val="right"/>
              <w:rPr>
                <w:rFonts w:ascii="Arial Narrow" w:hAnsi="Arial Narrow" w:eastAsia="仿宋_GB2312" w:cs="Arial Narrow"/>
                <w:color w:val="0000FF"/>
                <w:sz w:val="24"/>
                <w:szCs w:val="24"/>
                <w:lang w:eastAsia="zh-CN"/>
              </w:rPr>
            </w:pPr>
          </w:p>
          <w:p w14:paraId="154572BF">
            <w:pPr>
              <w:spacing w:line="340" w:lineRule="atLeast"/>
              <w:jc w:val="right"/>
              <w:rPr>
                <w:rFonts w:ascii="Arial Narrow" w:hAnsi="Arial Narrow" w:eastAsia="仿宋_GB2312" w:cs="Arial Narrow"/>
                <w:color w:val="0000FF"/>
                <w:sz w:val="24"/>
                <w:szCs w:val="24"/>
                <w:lang w:eastAsia="zh-CN"/>
              </w:rPr>
            </w:pPr>
          </w:p>
        </w:tc>
        <w:tc>
          <w:tcPr>
            <w:tcW w:w="2195" w:type="dxa"/>
          </w:tcPr>
          <w:p w14:paraId="66B15A72">
            <w:pPr>
              <w:snapToGrid w:val="0"/>
              <w:spacing w:line="340" w:lineRule="atLeast"/>
              <w:rPr>
                <w:rFonts w:ascii="Arial Narrow" w:hAnsi="Arial Narrow" w:eastAsia="仿宋_GB2312" w:cs="Arial Narrow"/>
                <w:color w:val="FF0000"/>
                <w:sz w:val="24"/>
                <w:szCs w:val="24"/>
                <w:lang w:eastAsia="zh-CN"/>
              </w:rPr>
            </w:pPr>
          </w:p>
          <w:p w14:paraId="712BBB8B">
            <w:pPr>
              <w:spacing w:line="200" w:lineRule="atLeast"/>
              <w:rPr>
                <w:rFonts w:ascii="Arial Narrow" w:hAnsi="Arial Narrow" w:eastAsia="仿宋_GB2312" w:cs="Arial Narrow"/>
                <w:color w:val="FF0000"/>
                <w:sz w:val="24"/>
                <w:szCs w:val="24"/>
                <w:lang w:eastAsia="zh-CN"/>
              </w:rPr>
            </w:pPr>
          </w:p>
          <w:p w14:paraId="6DF7717C">
            <w:pPr>
              <w:spacing w:line="200" w:lineRule="atLeast"/>
              <w:rPr>
                <w:rFonts w:ascii="Arial Narrow" w:hAnsi="Arial Narrow" w:eastAsia="仿宋_GB2312" w:cs="Arial Narrow"/>
                <w:sz w:val="24"/>
                <w:szCs w:val="24"/>
                <w:lang w:eastAsia="zh-CN"/>
              </w:rPr>
            </w:pPr>
          </w:p>
          <w:p w14:paraId="5994779E">
            <w:pPr>
              <w:spacing w:line="200" w:lineRule="atLeast"/>
              <w:rPr>
                <w:rFonts w:ascii="Arial Narrow" w:hAnsi="Arial Narrow" w:eastAsia="仿宋_GB2312" w:cs="Arial Narrow"/>
                <w:sz w:val="24"/>
                <w:szCs w:val="24"/>
                <w:lang w:eastAsia="zh-CN"/>
              </w:rPr>
            </w:pPr>
          </w:p>
          <w:p w14:paraId="1B1ADE05">
            <w:pPr>
              <w:spacing w:line="200" w:lineRule="atLeast"/>
              <w:rPr>
                <w:rFonts w:ascii="Arial Narrow" w:hAnsi="Arial Narrow" w:eastAsia="仿宋_GB2312" w:cs="Arial Narrow"/>
                <w:color w:val="FF0000"/>
                <w:sz w:val="24"/>
                <w:szCs w:val="24"/>
                <w:lang w:eastAsia="zh-CN"/>
              </w:rPr>
            </w:pPr>
          </w:p>
        </w:tc>
      </w:tr>
      <w:tr w14:paraId="1D43945E">
        <w:tblPrEx>
          <w:tblCellMar>
            <w:top w:w="0" w:type="dxa"/>
            <w:left w:w="108" w:type="dxa"/>
            <w:bottom w:w="0" w:type="dxa"/>
            <w:right w:w="108" w:type="dxa"/>
          </w:tblCellMar>
        </w:tblPrEx>
        <w:trPr>
          <w:trHeight w:val="633" w:hRule="atLeast"/>
        </w:trPr>
        <w:tc>
          <w:tcPr>
            <w:tcW w:w="3095" w:type="dxa"/>
          </w:tcPr>
          <w:p w14:paraId="70ACECCD">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19" w:type="dxa"/>
            <w:gridSpan w:val="2"/>
          </w:tcPr>
          <w:p w14:paraId="6F654D37">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65417EE9">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等线;DengXian">
    <w:altName w:val="Liberation Mono"/>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17133">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8826F">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79325">
    <w:pPr>
      <w:pStyle w:val="6"/>
      <w:jc w:val="center"/>
    </w:pPr>
    <w:r>
      <w:fldChar w:fldCharType="begin"/>
    </w:r>
    <w:r>
      <w:instrText xml:space="preserve"> PAGE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079E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498CF">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6E03C">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A9F80">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DD18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10EA5CA2"/>
    <w:rsid w:val="27F976C9"/>
    <w:rsid w:val="5F7848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6</Pages>
  <Words>2324</Words>
  <Characters>2910</Characters>
  <TotalTime>36</TotalTime>
  <ScaleCrop>false</ScaleCrop>
  <LinksUpToDate>false</LinksUpToDate>
  <CharactersWithSpaces>2916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2019-08-12T16:26:00Z</dcterms:created>
  <dc:creator>SW</dc:creator>
  <cp:lastModifiedBy>杨志</cp:lastModifiedBy>
  <cp:lastPrinted>2017-03-15T11:59:00Z</cp:lastPrinted>
  <dcterms:modified xsi:type="dcterms:W3CDTF">2026-06-11T13:53:20Z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E100FFEBEA4C421BA412917A6B2F415C_12</vt:lpwstr>
  </property>
</Properties>
</file>