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1456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869"/>
        <w:gridCol w:w="2352"/>
        <w:gridCol w:w="1980"/>
        <w:gridCol w:w="1656"/>
        <w:gridCol w:w="1908"/>
        <w:gridCol w:w="2800"/>
      </w:tblGrid>
      <w:tr w14:paraId="3B5FE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14565" w:type="dxa"/>
            <w:gridSpan w:val="6"/>
            <w:vMerge w:val="restart"/>
            <w:tcBorders>
              <w:top w:val="nil"/>
              <w:left w:val="nil"/>
              <w:bottom w:val="nil"/>
              <w:right w:val="nil"/>
            </w:tcBorders>
            <w:shd w:val="clear" w:color="auto" w:fill="FFFFFF"/>
            <w:noWrap/>
            <w:vAlign w:val="center"/>
          </w:tcPr>
          <w:p w14:paraId="73383ECC">
            <w:pPr>
              <w:keepNext w:val="0"/>
              <w:keepLines w:val="0"/>
              <w:widowControl/>
              <w:suppressLineNumbers w:val="0"/>
              <w:jc w:val="center"/>
              <w:textAlignment w:val="center"/>
              <w:rPr>
                <w:rFonts w:ascii="Arial Narrow" w:hAnsi="Arial Narrow" w:eastAsia="Arial Narrow" w:cs="Arial Narrow"/>
                <w:b/>
                <w:bCs/>
                <w:i w:val="0"/>
                <w:iCs w:val="0"/>
                <w:color w:val="000000"/>
                <w:sz w:val="30"/>
                <w:szCs w:val="30"/>
                <w:u w:val="none"/>
              </w:rPr>
            </w:pPr>
            <w:bookmarkStart w:id="3" w:name="_GoBack"/>
            <w:bookmarkEnd w:id="3"/>
            <w:r>
              <w:rPr>
                <w:rFonts w:hint="default" w:ascii="Arial Narrow" w:hAnsi="Arial Narrow" w:eastAsia="Arial Narrow" w:cs="Arial Narrow"/>
                <w:b/>
                <w:bCs/>
                <w:i w:val="0"/>
                <w:iCs w:val="0"/>
                <w:color w:val="000000"/>
                <w:kern w:val="0"/>
                <w:sz w:val="30"/>
                <w:szCs w:val="30"/>
                <w:u w:val="none"/>
                <w:lang w:val="en-US" w:eastAsia="zh-CN" w:bidi="ar"/>
              </w:rPr>
              <w:t>IT</w:t>
            </w:r>
            <w:r>
              <w:rPr>
                <w:rStyle w:val="55"/>
                <w:lang w:val="en-US" w:eastAsia="zh-CN" w:bidi="ar"/>
              </w:rPr>
              <w:t>复杂性情况表</w:t>
            </w:r>
          </w:p>
        </w:tc>
      </w:tr>
      <w:tr w14:paraId="5ABBD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4565" w:type="dxa"/>
            <w:gridSpan w:val="6"/>
            <w:vMerge w:val="continue"/>
            <w:tcBorders>
              <w:top w:val="nil"/>
              <w:left w:val="nil"/>
              <w:bottom w:val="nil"/>
              <w:right w:val="nil"/>
            </w:tcBorders>
            <w:shd w:val="clear" w:color="auto" w:fill="FFFFFF"/>
            <w:noWrap/>
            <w:vAlign w:val="center"/>
          </w:tcPr>
          <w:p w14:paraId="5D59D980">
            <w:pPr>
              <w:jc w:val="center"/>
              <w:rPr>
                <w:rFonts w:hint="default" w:ascii="Arial Narrow" w:hAnsi="Arial Narrow" w:eastAsia="Arial Narrow" w:cs="Arial Narrow"/>
                <w:b/>
                <w:bCs/>
                <w:i w:val="0"/>
                <w:iCs w:val="0"/>
                <w:color w:val="000000"/>
                <w:sz w:val="30"/>
                <w:szCs w:val="30"/>
                <w:u w:val="none"/>
              </w:rPr>
            </w:pPr>
          </w:p>
        </w:tc>
      </w:tr>
      <w:tr w14:paraId="244C3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3869" w:type="dxa"/>
            <w:tcBorders>
              <w:top w:val="nil"/>
              <w:left w:val="nil"/>
              <w:bottom w:val="nil"/>
              <w:right w:val="nil"/>
            </w:tcBorders>
            <w:shd w:val="clear" w:color="auto" w:fill="FFFFFF"/>
            <w:noWrap/>
            <w:vAlign w:val="center"/>
          </w:tcPr>
          <w:p w14:paraId="2DA78A9C">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客户名称：</w:t>
            </w:r>
          </w:p>
        </w:tc>
        <w:tc>
          <w:tcPr>
            <w:tcW w:w="2352" w:type="dxa"/>
            <w:tcBorders>
              <w:top w:val="nil"/>
              <w:left w:val="nil"/>
              <w:bottom w:val="nil"/>
              <w:right w:val="nil"/>
            </w:tcBorders>
            <w:shd w:val="clear" w:color="auto" w:fill="FFFFFF"/>
            <w:noWrap/>
            <w:vAlign w:val="center"/>
          </w:tcPr>
          <w:p w14:paraId="379D33B5">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编制人：</w:t>
            </w:r>
          </w:p>
        </w:tc>
        <w:tc>
          <w:tcPr>
            <w:tcW w:w="1980" w:type="dxa"/>
            <w:tcBorders>
              <w:top w:val="nil"/>
              <w:left w:val="nil"/>
              <w:bottom w:val="nil"/>
              <w:right w:val="nil"/>
            </w:tcBorders>
            <w:shd w:val="clear" w:color="auto" w:fill="FFFFFF"/>
            <w:noWrap/>
            <w:vAlign w:val="center"/>
          </w:tcPr>
          <w:p w14:paraId="67549124">
            <w:pPr>
              <w:jc w:val="left"/>
              <w:rPr>
                <w:rFonts w:hint="default" w:ascii="Arial Narrow" w:hAnsi="Arial Narrow" w:eastAsia="宋体" w:cs="Arial Narrow"/>
                <w:i w:val="0"/>
                <w:iCs w:val="0"/>
                <w:color w:val="000000"/>
                <w:sz w:val="20"/>
                <w:szCs w:val="20"/>
                <w:u w:val="none"/>
              </w:rPr>
            </w:pPr>
          </w:p>
        </w:tc>
        <w:tc>
          <w:tcPr>
            <w:tcW w:w="1656" w:type="dxa"/>
            <w:tcBorders>
              <w:top w:val="nil"/>
              <w:left w:val="nil"/>
              <w:bottom w:val="nil"/>
              <w:right w:val="nil"/>
            </w:tcBorders>
            <w:shd w:val="clear" w:color="auto" w:fill="FFFFFF"/>
            <w:noWrap/>
            <w:vAlign w:val="center"/>
          </w:tcPr>
          <w:p w14:paraId="2564AEDD">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日期：</w:t>
            </w:r>
          </w:p>
        </w:tc>
        <w:tc>
          <w:tcPr>
            <w:tcW w:w="1908" w:type="dxa"/>
            <w:tcBorders>
              <w:top w:val="nil"/>
              <w:left w:val="nil"/>
              <w:bottom w:val="nil"/>
              <w:right w:val="nil"/>
            </w:tcBorders>
            <w:shd w:val="clear" w:color="auto" w:fill="FFFFFF"/>
            <w:noWrap/>
            <w:vAlign w:val="center"/>
          </w:tcPr>
          <w:p w14:paraId="72262241">
            <w:pPr>
              <w:jc w:val="left"/>
              <w:rPr>
                <w:rFonts w:hint="default" w:ascii="Arial Narrow" w:hAnsi="Arial Narrow" w:eastAsia="宋体" w:cs="Arial Narrow"/>
                <w:i w:val="0"/>
                <w:iCs w:val="0"/>
                <w:color w:val="000000"/>
                <w:sz w:val="20"/>
                <w:szCs w:val="20"/>
                <w:u w:val="none"/>
              </w:rPr>
            </w:pPr>
          </w:p>
        </w:tc>
        <w:tc>
          <w:tcPr>
            <w:tcW w:w="2800" w:type="dxa"/>
            <w:tcBorders>
              <w:top w:val="nil"/>
              <w:left w:val="nil"/>
              <w:bottom w:val="nil"/>
              <w:right w:val="nil"/>
            </w:tcBorders>
            <w:shd w:val="clear" w:color="auto" w:fill="FFFFFF"/>
            <w:noWrap/>
            <w:vAlign w:val="center"/>
          </w:tcPr>
          <w:p w14:paraId="422B9938">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索引号：</w:t>
            </w:r>
            <w:r>
              <w:rPr>
                <w:rStyle w:val="56"/>
                <w:rFonts w:hint="default" w:ascii="Arial Narrow" w:hAnsi="Arial Narrow" w:eastAsia="宋体" w:cs="Arial Narrow"/>
                <w:sz w:val="20"/>
                <w:szCs w:val="20"/>
                <w:lang w:val="en-US" w:eastAsia="zh-CN" w:bidi="ar"/>
              </w:rPr>
              <w:t>B60-2-1</w:t>
            </w:r>
          </w:p>
        </w:tc>
      </w:tr>
      <w:tr w14:paraId="270AD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3869" w:type="dxa"/>
            <w:tcBorders>
              <w:top w:val="nil"/>
              <w:left w:val="nil"/>
              <w:bottom w:val="nil"/>
              <w:right w:val="nil"/>
            </w:tcBorders>
            <w:shd w:val="clear" w:color="auto" w:fill="FFFFFF"/>
            <w:noWrap/>
            <w:vAlign w:val="center"/>
          </w:tcPr>
          <w:p w14:paraId="41939798">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会计期间：</w:t>
            </w:r>
          </w:p>
        </w:tc>
        <w:tc>
          <w:tcPr>
            <w:tcW w:w="2352" w:type="dxa"/>
            <w:tcBorders>
              <w:top w:val="nil"/>
              <w:left w:val="nil"/>
              <w:bottom w:val="nil"/>
              <w:right w:val="nil"/>
            </w:tcBorders>
            <w:shd w:val="clear" w:color="auto" w:fill="FFFFFF"/>
            <w:noWrap/>
            <w:vAlign w:val="center"/>
          </w:tcPr>
          <w:p w14:paraId="5B4B9EE2">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项目合伙人复核：</w:t>
            </w:r>
          </w:p>
        </w:tc>
        <w:tc>
          <w:tcPr>
            <w:tcW w:w="1980" w:type="dxa"/>
            <w:tcBorders>
              <w:top w:val="nil"/>
              <w:left w:val="nil"/>
              <w:bottom w:val="nil"/>
              <w:right w:val="nil"/>
            </w:tcBorders>
            <w:shd w:val="clear" w:color="auto" w:fill="FFFFFF"/>
            <w:noWrap/>
            <w:vAlign w:val="center"/>
          </w:tcPr>
          <w:p w14:paraId="7EFFEE2A">
            <w:pPr>
              <w:jc w:val="left"/>
              <w:rPr>
                <w:rFonts w:hint="default" w:ascii="Arial Narrow" w:hAnsi="Arial Narrow" w:eastAsia="宋体" w:cs="Arial Narrow"/>
                <w:i w:val="0"/>
                <w:iCs w:val="0"/>
                <w:color w:val="000000"/>
                <w:sz w:val="20"/>
                <w:szCs w:val="20"/>
                <w:u w:val="none"/>
              </w:rPr>
            </w:pPr>
          </w:p>
        </w:tc>
        <w:tc>
          <w:tcPr>
            <w:tcW w:w="1656" w:type="dxa"/>
            <w:tcBorders>
              <w:top w:val="nil"/>
              <w:left w:val="nil"/>
              <w:bottom w:val="nil"/>
              <w:right w:val="nil"/>
            </w:tcBorders>
            <w:shd w:val="clear" w:color="auto" w:fill="FFFFFF"/>
            <w:noWrap/>
            <w:vAlign w:val="center"/>
          </w:tcPr>
          <w:p w14:paraId="424FECD2">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日期：</w:t>
            </w:r>
          </w:p>
        </w:tc>
        <w:tc>
          <w:tcPr>
            <w:tcW w:w="1908" w:type="dxa"/>
            <w:tcBorders>
              <w:top w:val="nil"/>
              <w:left w:val="nil"/>
              <w:bottom w:val="nil"/>
              <w:right w:val="nil"/>
            </w:tcBorders>
            <w:shd w:val="clear" w:color="auto" w:fill="FFFFFF"/>
            <w:noWrap/>
            <w:vAlign w:val="center"/>
          </w:tcPr>
          <w:p w14:paraId="1924876B">
            <w:pPr>
              <w:jc w:val="left"/>
              <w:rPr>
                <w:rFonts w:hint="default" w:ascii="Arial Narrow" w:hAnsi="Arial Narrow" w:eastAsia="宋体" w:cs="Arial Narrow"/>
                <w:i w:val="0"/>
                <w:iCs w:val="0"/>
                <w:color w:val="000000"/>
                <w:sz w:val="20"/>
                <w:szCs w:val="20"/>
                <w:u w:val="none"/>
              </w:rPr>
            </w:pPr>
          </w:p>
        </w:tc>
        <w:tc>
          <w:tcPr>
            <w:tcW w:w="2800" w:type="dxa"/>
            <w:tcBorders>
              <w:top w:val="nil"/>
              <w:left w:val="nil"/>
              <w:bottom w:val="nil"/>
              <w:right w:val="nil"/>
            </w:tcBorders>
            <w:shd w:val="clear" w:color="auto" w:fill="FFFFFF"/>
            <w:noWrap/>
            <w:vAlign w:val="center"/>
          </w:tcPr>
          <w:p w14:paraId="55882039">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页</w:t>
            </w:r>
            <w:r>
              <w:rPr>
                <w:rStyle w:val="56"/>
                <w:rFonts w:hint="default" w:ascii="Arial Narrow" w:hAnsi="Arial Narrow" w:eastAsia="宋体" w:cs="Arial Narrow"/>
                <w:sz w:val="20"/>
                <w:szCs w:val="20"/>
                <w:lang w:val="en-US" w:eastAsia="zh-CN" w:bidi="ar"/>
              </w:rPr>
              <w:t xml:space="preserve">  </w:t>
            </w:r>
            <w:r>
              <w:rPr>
                <w:rStyle w:val="57"/>
                <w:rFonts w:hint="default" w:ascii="Arial Narrow" w:hAnsi="Arial Narrow" w:eastAsia="宋体" w:cs="Arial Narrow"/>
                <w:sz w:val="20"/>
                <w:szCs w:val="20"/>
                <w:lang w:val="en-US" w:eastAsia="zh-CN" w:bidi="ar"/>
              </w:rPr>
              <w:t>次：</w:t>
            </w:r>
          </w:p>
        </w:tc>
      </w:tr>
      <w:tr w14:paraId="411E8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trPr>
        <w:tc>
          <w:tcPr>
            <w:tcW w:w="3869" w:type="dxa"/>
            <w:tcBorders>
              <w:top w:val="nil"/>
              <w:left w:val="nil"/>
              <w:bottom w:val="nil"/>
              <w:right w:val="nil"/>
            </w:tcBorders>
            <w:shd w:val="clear" w:color="auto" w:fill="FFFFFF"/>
            <w:noWrap/>
            <w:vAlign w:val="center"/>
          </w:tcPr>
          <w:p w14:paraId="3A7957C4">
            <w:pPr>
              <w:jc w:val="left"/>
              <w:rPr>
                <w:rFonts w:hint="default" w:ascii="Arial Narrow" w:hAnsi="Arial Narrow" w:eastAsia="宋体" w:cs="Arial Narrow"/>
                <w:i w:val="0"/>
                <w:iCs w:val="0"/>
                <w:color w:val="000000"/>
                <w:sz w:val="20"/>
                <w:szCs w:val="20"/>
                <w:u w:val="none"/>
              </w:rPr>
            </w:pPr>
          </w:p>
        </w:tc>
        <w:tc>
          <w:tcPr>
            <w:tcW w:w="2352" w:type="dxa"/>
            <w:tcBorders>
              <w:top w:val="nil"/>
              <w:left w:val="nil"/>
              <w:bottom w:val="nil"/>
              <w:right w:val="nil"/>
            </w:tcBorders>
            <w:shd w:val="clear" w:color="auto" w:fill="FFFFFF"/>
            <w:noWrap/>
            <w:vAlign w:val="center"/>
          </w:tcPr>
          <w:p w14:paraId="44492FBA">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IT</w:t>
            </w:r>
            <w:r>
              <w:rPr>
                <w:rStyle w:val="57"/>
                <w:rFonts w:hint="default" w:ascii="Arial Narrow" w:hAnsi="Arial Narrow" w:eastAsia="宋体" w:cs="Arial Narrow"/>
                <w:sz w:val="20"/>
                <w:szCs w:val="20"/>
                <w:lang w:val="en-US" w:eastAsia="zh-CN" w:bidi="ar"/>
              </w:rPr>
              <w:t>复核：</w:t>
            </w:r>
          </w:p>
        </w:tc>
        <w:tc>
          <w:tcPr>
            <w:tcW w:w="1980" w:type="dxa"/>
            <w:tcBorders>
              <w:top w:val="nil"/>
              <w:left w:val="nil"/>
              <w:bottom w:val="nil"/>
              <w:right w:val="nil"/>
            </w:tcBorders>
            <w:shd w:val="clear" w:color="auto" w:fill="FFFFFF"/>
            <w:noWrap/>
            <w:vAlign w:val="center"/>
          </w:tcPr>
          <w:p w14:paraId="03834C37">
            <w:pPr>
              <w:jc w:val="left"/>
              <w:rPr>
                <w:rFonts w:hint="default" w:ascii="Arial Narrow" w:hAnsi="Arial Narrow" w:eastAsia="宋体" w:cs="Arial Narrow"/>
                <w:i w:val="0"/>
                <w:iCs w:val="0"/>
                <w:color w:val="000000"/>
                <w:sz w:val="20"/>
                <w:szCs w:val="20"/>
                <w:u w:val="none"/>
              </w:rPr>
            </w:pPr>
          </w:p>
        </w:tc>
        <w:tc>
          <w:tcPr>
            <w:tcW w:w="1656" w:type="dxa"/>
            <w:tcBorders>
              <w:top w:val="nil"/>
              <w:left w:val="nil"/>
              <w:bottom w:val="nil"/>
              <w:right w:val="nil"/>
            </w:tcBorders>
            <w:shd w:val="clear" w:color="auto" w:fill="FFFFFF"/>
            <w:noWrap/>
            <w:vAlign w:val="center"/>
          </w:tcPr>
          <w:p w14:paraId="46C42C4B">
            <w:pPr>
              <w:keepNext w:val="0"/>
              <w:keepLines w:val="0"/>
              <w:widowControl/>
              <w:suppressLineNumbers w:val="0"/>
              <w:jc w:val="left"/>
              <w:textAlignment w:val="center"/>
              <w:rPr>
                <w:rFonts w:hint="default" w:ascii="Arial Narrow" w:hAnsi="Arial Narrow" w:eastAsia="宋体" w:cs="Arial Narrow"/>
                <w:i w:val="0"/>
                <w:iCs w:val="0"/>
                <w:color w:val="000000"/>
                <w:sz w:val="20"/>
                <w:szCs w:val="20"/>
                <w:u w:val="none"/>
              </w:rPr>
            </w:pPr>
            <w:r>
              <w:rPr>
                <w:rFonts w:hint="default" w:ascii="Arial Narrow" w:hAnsi="Arial Narrow" w:eastAsia="宋体" w:cs="Arial Narrow"/>
                <w:i w:val="0"/>
                <w:iCs w:val="0"/>
                <w:color w:val="000000"/>
                <w:kern w:val="0"/>
                <w:sz w:val="20"/>
                <w:szCs w:val="20"/>
                <w:u w:val="none"/>
                <w:lang w:val="en-US" w:eastAsia="zh-CN" w:bidi="ar"/>
              </w:rPr>
              <w:t>日期：</w:t>
            </w:r>
          </w:p>
        </w:tc>
        <w:tc>
          <w:tcPr>
            <w:tcW w:w="1908" w:type="dxa"/>
            <w:tcBorders>
              <w:top w:val="nil"/>
              <w:left w:val="nil"/>
              <w:bottom w:val="nil"/>
              <w:right w:val="nil"/>
            </w:tcBorders>
            <w:shd w:val="clear" w:color="auto" w:fill="FFFFFF"/>
            <w:noWrap/>
            <w:vAlign w:val="center"/>
          </w:tcPr>
          <w:p w14:paraId="2B0CB7CD">
            <w:pPr>
              <w:jc w:val="left"/>
              <w:rPr>
                <w:rFonts w:hint="default" w:ascii="Arial Narrow" w:hAnsi="Arial Narrow" w:eastAsia="宋体" w:cs="Arial Narrow"/>
                <w:i w:val="0"/>
                <w:iCs w:val="0"/>
                <w:color w:val="000000"/>
                <w:sz w:val="20"/>
                <w:szCs w:val="20"/>
                <w:u w:val="none"/>
              </w:rPr>
            </w:pPr>
          </w:p>
        </w:tc>
        <w:tc>
          <w:tcPr>
            <w:tcW w:w="2800" w:type="dxa"/>
            <w:tcBorders>
              <w:top w:val="nil"/>
              <w:left w:val="nil"/>
              <w:bottom w:val="nil"/>
              <w:right w:val="nil"/>
            </w:tcBorders>
            <w:shd w:val="clear" w:color="auto" w:fill="FFFFFF"/>
            <w:noWrap/>
            <w:vAlign w:val="center"/>
          </w:tcPr>
          <w:p w14:paraId="0C046B72">
            <w:pPr>
              <w:jc w:val="left"/>
              <w:rPr>
                <w:rFonts w:hint="default" w:ascii="Arial Narrow" w:hAnsi="Arial Narrow" w:eastAsia="宋体" w:cs="Arial Narrow"/>
                <w:i w:val="0"/>
                <w:iCs w:val="0"/>
                <w:color w:val="000000"/>
                <w:sz w:val="20"/>
                <w:szCs w:val="20"/>
                <w:u w:val="none"/>
              </w:rPr>
            </w:pPr>
          </w:p>
        </w:tc>
      </w:tr>
      <w:tr w14:paraId="4EE45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28F4C22B">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【填写本底稿前请详细阅读《审计指引第</w:t>
            </w:r>
            <w:r>
              <w:rPr>
                <w:rStyle w:val="58"/>
                <w:rFonts w:hint="default" w:ascii="Arial Narrow" w:hAnsi="Arial Narrow" w:eastAsia="宋体" w:cs="Arial Narrow"/>
                <w:sz w:val="20"/>
                <w:szCs w:val="20"/>
                <w:lang w:val="en-US" w:eastAsia="zh-CN" w:bidi="ar"/>
              </w:rPr>
              <w:t>42</w:t>
            </w:r>
            <w:r>
              <w:rPr>
                <w:rStyle w:val="59"/>
                <w:rFonts w:hint="default" w:ascii="Arial Narrow" w:hAnsi="Arial Narrow" w:eastAsia="宋体" w:cs="Arial Narrow"/>
                <w:sz w:val="20"/>
                <w:szCs w:val="20"/>
                <w:lang w:val="en-US" w:eastAsia="zh-CN" w:bidi="ar"/>
              </w:rPr>
              <w:t>号</w:t>
            </w:r>
            <w:r>
              <w:rPr>
                <w:rStyle w:val="58"/>
                <w:rFonts w:hint="default" w:ascii="Arial Narrow" w:hAnsi="Arial Narrow" w:eastAsia="宋体" w:cs="Arial Narrow"/>
                <w:sz w:val="20"/>
                <w:szCs w:val="20"/>
                <w:lang w:val="en-US" w:eastAsia="zh-CN" w:bidi="ar"/>
              </w:rPr>
              <w:t>-</w:t>
            </w:r>
            <w:r>
              <w:rPr>
                <w:rStyle w:val="59"/>
                <w:rFonts w:hint="default" w:ascii="Arial Narrow" w:hAnsi="Arial Narrow" w:eastAsia="宋体" w:cs="Arial Narrow"/>
                <w:sz w:val="20"/>
                <w:szCs w:val="20"/>
                <w:lang w:val="en-US" w:eastAsia="zh-CN" w:bidi="ar"/>
              </w:rPr>
              <w:t>信息系统审计（</w:t>
            </w:r>
            <w:r>
              <w:rPr>
                <w:rStyle w:val="58"/>
                <w:rFonts w:hint="default" w:ascii="Arial Narrow" w:hAnsi="Arial Narrow" w:eastAsia="宋体" w:cs="Arial Narrow"/>
                <w:sz w:val="20"/>
                <w:szCs w:val="20"/>
                <w:lang w:val="en-US" w:eastAsia="zh-CN" w:bidi="ar"/>
              </w:rPr>
              <w:t>2024</w:t>
            </w:r>
            <w:r>
              <w:rPr>
                <w:rStyle w:val="59"/>
                <w:rFonts w:hint="default" w:ascii="Arial Narrow" w:hAnsi="Arial Narrow" w:eastAsia="宋体" w:cs="Arial Narrow"/>
                <w:sz w:val="20"/>
                <w:szCs w:val="20"/>
                <w:lang w:val="en-US" w:eastAsia="zh-CN" w:bidi="ar"/>
              </w:rPr>
              <w:t>年修订）》及《业务解答提示（</w:t>
            </w:r>
            <w:r>
              <w:rPr>
                <w:rStyle w:val="58"/>
                <w:rFonts w:hint="default" w:ascii="Arial Narrow" w:hAnsi="Arial Narrow" w:eastAsia="宋体" w:cs="Arial Narrow"/>
                <w:sz w:val="20"/>
                <w:szCs w:val="20"/>
                <w:lang w:val="en-US" w:eastAsia="zh-CN" w:bidi="ar"/>
              </w:rPr>
              <w:t>2024.03</w:t>
            </w:r>
            <w:r>
              <w:rPr>
                <w:rStyle w:val="59"/>
                <w:rFonts w:hint="default" w:ascii="Arial Narrow" w:hAnsi="Arial Narrow" w:eastAsia="宋体" w:cs="Arial Narrow"/>
                <w:sz w:val="20"/>
                <w:szCs w:val="20"/>
                <w:lang w:val="en-US" w:eastAsia="zh-CN" w:bidi="ar"/>
              </w:rPr>
              <w:t xml:space="preserve">）：关于业务执行中 </w:t>
            </w:r>
            <w:r>
              <w:rPr>
                <w:rStyle w:val="58"/>
                <w:rFonts w:hint="default" w:ascii="Arial Narrow" w:hAnsi="Arial Narrow" w:eastAsia="宋体" w:cs="Arial Narrow"/>
                <w:sz w:val="20"/>
                <w:szCs w:val="20"/>
                <w:lang w:val="en-US" w:eastAsia="zh-CN" w:bidi="ar"/>
              </w:rPr>
              <w:t xml:space="preserve">IT </w:t>
            </w:r>
            <w:r>
              <w:rPr>
                <w:rStyle w:val="59"/>
                <w:rFonts w:hint="default" w:ascii="Arial Narrow" w:hAnsi="Arial Narrow" w:eastAsia="宋体" w:cs="Arial Narrow"/>
                <w:sz w:val="20"/>
                <w:szCs w:val="20"/>
                <w:lang w:val="en-US" w:eastAsia="zh-CN" w:bidi="ar"/>
              </w:rPr>
              <w:t>审计工作的通知》】</w:t>
            </w:r>
          </w:p>
        </w:tc>
      </w:tr>
      <w:tr w14:paraId="000D6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2BA03A9B">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步骤：</w:t>
            </w:r>
          </w:p>
        </w:tc>
      </w:tr>
      <w:tr w14:paraId="75CC2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7B6C8739">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1.</w:t>
            </w:r>
            <w:r>
              <w:rPr>
                <w:rStyle w:val="59"/>
                <w:rFonts w:hint="default" w:ascii="Arial Narrow" w:hAnsi="Arial Narrow" w:eastAsia="宋体" w:cs="Arial Narrow"/>
                <w:sz w:val="20"/>
                <w:szCs w:val="20"/>
                <w:lang w:val="en-US" w:eastAsia="zh-CN" w:bidi="ar"/>
              </w:rPr>
              <w:t>访谈适当的客户，获得企业信息系统的基本信息</w:t>
            </w:r>
            <w:r>
              <w:rPr>
                <w:rStyle w:val="58"/>
                <w:rFonts w:hint="default" w:ascii="Arial Narrow" w:hAnsi="Arial Narrow" w:eastAsia="宋体" w:cs="Arial Narrow"/>
                <w:sz w:val="20"/>
                <w:szCs w:val="20"/>
                <w:lang w:val="en-US" w:eastAsia="zh-CN" w:bidi="ar"/>
              </w:rPr>
              <w:t>/IT profile</w:t>
            </w:r>
            <w:r>
              <w:rPr>
                <w:rStyle w:val="59"/>
                <w:rFonts w:hint="default" w:ascii="Arial Narrow" w:hAnsi="Arial Narrow" w:eastAsia="宋体" w:cs="Arial Narrow"/>
                <w:sz w:val="20"/>
                <w:szCs w:val="20"/>
                <w:lang w:val="en-US" w:eastAsia="zh-CN" w:bidi="ar"/>
              </w:rPr>
              <w:t>；</w:t>
            </w:r>
          </w:p>
        </w:tc>
      </w:tr>
      <w:tr w14:paraId="29F92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7F67676C">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2.</w:t>
            </w:r>
            <w:r>
              <w:rPr>
                <w:rStyle w:val="59"/>
                <w:rFonts w:hint="default" w:ascii="Arial Narrow" w:hAnsi="Arial Narrow" w:eastAsia="宋体" w:cs="Arial Narrow"/>
                <w:sz w:val="20"/>
                <w:szCs w:val="20"/>
                <w:lang w:val="en-US" w:eastAsia="zh-CN" w:bidi="ar"/>
              </w:rPr>
              <w:t>询问企业信息系统管理人员，了解各应用系统架构及其情况；</w:t>
            </w:r>
          </w:p>
        </w:tc>
      </w:tr>
      <w:tr w14:paraId="5AB41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4565" w:type="dxa"/>
            <w:gridSpan w:val="6"/>
            <w:tcBorders>
              <w:top w:val="nil"/>
              <w:left w:val="nil"/>
              <w:bottom w:val="nil"/>
              <w:right w:val="nil"/>
            </w:tcBorders>
            <w:shd w:val="clear" w:color="auto" w:fill="FFFFFF"/>
            <w:noWrap/>
            <w:vAlign w:val="center"/>
          </w:tcPr>
          <w:p w14:paraId="09D070B1">
            <w:pPr>
              <w:keepNext w:val="0"/>
              <w:keepLines w:val="0"/>
              <w:widowControl/>
              <w:suppressLineNumbers w:val="0"/>
              <w:jc w:val="left"/>
              <w:textAlignment w:val="center"/>
              <w:rPr>
                <w:rFonts w:hint="default" w:ascii="Arial Narrow" w:hAnsi="Arial Narrow" w:eastAsia="宋体" w:cs="Arial Narrow"/>
                <w:i w:val="0"/>
                <w:iCs w:val="0"/>
                <w:color w:val="0000FF"/>
                <w:sz w:val="20"/>
                <w:szCs w:val="20"/>
                <w:u w:val="none"/>
              </w:rPr>
            </w:pPr>
            <w:r>
              <w:rPr>
                <w:rFonts w:hint="default" w:ascii="Arial Narrow" w:hAnsi="Arial Narrow" w:eastAsia="宋体" w:cs="Arial Narrow"/>
                <w:i w:val="0"/>
                <w:iCs w:val="0"/>
                <w:color w:val="0000FF"/>
                <w:kern w:val="0"/>
                <w:sz w:val="20"/>
                <w:szCs w:val="20"/>
                <w:u w:val="none"/>
                <w:lang w:val="en-US" w:eastAsia="zh-CN" w:bidi="ar"/>
              </w:rPr>
              <w:t>3.</w:t>
            </w:r>
            <w:r>
              <w:rPr>
                <w:rStyle w:val="59"/>
                <w:rFonts w:hint="default" w:ascii="Arial Narrow" w:hAnsi="Arial Narrow" w:eastAsia="宋体" w:cs="Arial Narrow"/>
                <w:sz w:val="20"/>
                <w:szCs w:val="20"/>
                <w:lang w:val="en-US" w:eastAsia="zh-CN" w:bidi="ar"/>
              </w:rPr>
              <w:t>根据上述信息完成以下表格：</w:t>
            </w:r>
          </w:p>
        </w:tc>
      </w:tr>
    </w:tbl>
    <w:p w14:paraId="783FC575">
      <w:pPr>
        <w:rPr>
          <w:rFonts w:hint="default" w:ascii="Arial Narrow" w:hAnsi="Arial Narrow" w:eastAsia="宋体" w:cs="Arial Narrow"/>
          <w:sz w:val="20"/>
          <w:szCs w:val="20"/>
        </w:rPr>
      </w:pPr>
    </w:p>
    <w:p w14:paraId="56971108">
      <w:pPr>
        <w:rPr>
          <w:rFonts w:hint="default" w:ascii="Arial Narrow" w:hAnsi="Arial Narrow" w:eastAsia="宋体" w:cs="Arial Narrow"/>
          <w:b/>
          <w:bCs/>
          <w:sz w:val="20"/>
          <w:szCs w:val="20"/>
        </w:rPr>
      </w:pPr>
      <w:bookmarkStart w:id="0" w:name="_Hlk179380768"/>
      <w:r>
        <w:rPr>
          <w:rFonts w:hint="default" w:ascii="Arial Narrow" w:hAnsi="Arial Narrow" w:eastAsia="宋体" w:cs="Arial Narrow"/>
          <w:b/>
          <w:bCs/>
          <w:sz w:val="20"/>
          <w:szCs w:val="20"/>
        </w:rPr>
        <w:t>（一）是否适用IT审计的判断</w:t>
      </w:r>
    </w:p>
    <w:p>
      <w:r>
        <w:rPr>
          <w:color w:val="0000FF"/>
          <w:sz w:val="21"/>
        </w:rPr>
        <w:t>【勾稽】结论须与 B60 第三章（六）IT 适用勾选一致；适用则同步 B22A-4-1。</w:t>
      </w:r>
    </w:p>
    <w:bookmarkEnd w:id="0"/>
    <w:tbl>
      <w:tblPr>
        <w:tblStyle w:val="22"/>
        <w:tblW w:w="4860" w:type="pct"/>
        <w:tblInd w:w="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0"/>
        <w:gridCol w:w="4806"/>
      </w:tblGrid>
      <w:tr w14:paraId="447A5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3353" w:type="pct"/>
            <w:tcBorders>
              <w:top w:val="dotted" w:color="auto" w:sz="4" w:space="0"/>
              <w:left w:val="dotted" w:color="auto" w:sz="4" w:space="0"/>
              <w:bottom w:val="dotted" w:color="auto" w:sz="4" w:space="0"/>
              <w:right w:val="dotted" w:color="auto" w:sz="4" w:space="0"/>
            </w:tcBorders>
            <w:shd w:val="clear" w:color="auto" w:fill="E4DFEC"/>
            <w:vAlign w:val="center"/>
          </w:tcPr>
          <w:p w14:paraId="7160FB99">
            <w:pPr>
              <w:widowControl/>
              <w:jc w:val="center"/>
              <w:rPr>
                <w:rFonts w:hint="default" w:ascii="Arial Narrow" w:hAnsi="Arial Narrow" w:eastAsia="宋体" w:cs="Arial Narrow"/>
                <w:b/>
                <w:bCs/>
                <w:color w:val="auto"/>
                <w:sz w:val="20"/>
                <w:szCs w:val="20"/>
              </w:rPr>
            </w:pPr>
            <w:r>
              <w:rPr>
                <w:rFonts w:hint="default" w:ascii="Arial Narrow" w:hAnsi="Arial Narrow" w:eastAsia="宋体" w:cs="Arial Narrow"/>
                <w:b/>
                <w:bCs/>
                <w:color w:val="auto"/>
                <w:sz w:val="20"/>
                <w:szCs w:val="20"/>
              </w:rPr>
              <w:t>情况或事项</w:t>
            </w:r>
          </w:p>
        </w:tc>
        <w:tc>
          <w:tcPr>
            <w:tcW w:w="1646" w:type="pct"/>
            <w:tcBorders>
              <w:top w:val="dotted" w:color="auto" w:sz="4" w:space="0"/>
              <w:left w:val="dotted" w:color="auto" w:sz="4" w:space="0"/>
              <w:bottom w:val="dotted" w:color="auto" w:sz="4" w:space="0"/>
              <w:right w:val="dotted" w:color="auto" w:sz="4" w:space="0"/>
            </w:tcBorders>
            <w:shd w:val="clear" w:color="auto" w:fill="E4DFEC"/>
            <w:vAlign w:val="center"/>
          </w:tcPr>
          <w:p w14:paraId="30A10855">
            <w:pPr>
              <w:widowControl/>
              <w:jc w:val="center"/>
              <w:rPr>
                <w:rFonts w:hint="default" w:ascii="Arial Narrow" w:hAnsi="Arial Narrow" w:eastAsia="宋体" w:cs="Arial Narrow"/>
                <w:b/>
                <w:bCs/>
                <w:color w:val="auto"/>
                <w:sz w:val="20"/>
                <w:szCs w:val="20"/>
              </w:rPr>
            </w:pPr>
            <w:r>
              <w:rPr>
                <w:rFonts w:hint="default" w:ascii="Arial Narrow" w:hAnsi="Arial Narrow" w:eastAsia="宋体" w:cs="Arial Narrow"/>
                <w:b/>
                <w:bCs/>
                <w:color w:val="auto"/>
                <w:sz w:val="20"/>
                <w:szCs w:val="20"/>
              </w:rPr>
              <w:t>是否适用</w:t>
            </w:r>
          </w:p>
        </w:tc>
      </w:tr>
      <w:tr w14:paraId="430AC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25A61FF4">
            <w:pPr>
              <w:widowControl/>
              <w:rPr>
                <w:rFonts w:hint="default" w:ascii="Arial Narrow" w:hAnsi="Arial Narrow" w:eastAsia="宋体" w:cs="Arial Narrow"/>
                <w:b/>
                <w:bCs/>
                <w:sz w:val="20"/>
                <w:szCs w:val="20"/>
              </w:rPr>
            </w:pPr>
            <w:r>
              <w:rPr>
                <w:rFonts w:hint="default" w:ascii="Arial Narrow" w:hAnsi="Arial Narrow" w:eastAsia="宋体" w:cs="Arial Narrow"/>
                <w:b/>
                <w:bCs/>
                <w:sz w:val="20"/>
                <w:szCs w:val="20"/>
              </w:rPr>
              <w:t>一、必须执行IT审计的审计业务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7124A276">
            <w:pPr>
              <w:widowControl/>
              <w:rPr>
                <w:rFonts w:hint="default" w:ascii="Arial Narrow" w:hAnsi="Arial Narrow" w:eastAsia="宋体" w:cs="Arial Narrow"/>
                <w:b/>
                <w:bCs/>
                <w:sz w:val="20"/>
                <w:szCs w:val="20"/>
              </w:rPr>
            </w:pPr>
            <w:r>
              <w:rPr>
                <w:rFonts w:hint="default" w:ascii="Arial Narrow" w:hAnsi="Arial Narrow" w:eastAsia="宋体" w:cs="Arial Narrow"/>
                <w:b/>
                <w:bCs/>
                <w:sz w:val="20"/>
                <w:szCs w:val="20"/>
              </w:rPr>
              <w:t>　</w:t>
            </w:r>
          </w:p>
        </w:tc>
      </w:tr>
      <w:tr w14:paraId="03F9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0EFE8912">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1、IPO公司、上市公司整合审计业务。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55DD2BC3">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1942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126154B6">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2、复杂金融企业的财务报表审计业务，包括：</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（1）未上市及非整合审计的银行、保险公司、证券公司等；</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（2）合并财务报表中来自银行、保险公司、证券公司等复杂金额业子公司的营业收入占比或毛利占比超过30%的审计业务，针对该金融业子公司的组成部分审计工作。</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3AFB72A7">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7290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39F7B1F7">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3、互联网企业的财务报表审计业务（且分类为A类或B类业务），包括：</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（1）报告期任意一期通过互联网取得的营业收入占比或毛利占比超过30%；</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（2）主要经营活动并非直接通过互联网开展，但其客户主要通过互联网销售发行人产品或服务，且该类业务营业收入占比或毛利占比超过30%；</w:t>
            </w:r>
            <w:r>
              <w:rPr>
                <w:rFonts w:hint="default" w:ascii="Arial Narrow" w:hAnsi="Arial Narrow" w:eastAsia="宋体" w:cs="Arial Narrow"/>
                <w:sz w:val="20"/>
                <w:szCs w:val="20"/>
              </w:rPr>
              <w:br w:type="textWrapping"/>
            </w:r>
            <w:r>
              <w:rPr>
                <w:rFonts w:hint="default" w:ascii="Arial Narrow" w:hAnsi="Arial Narrow" w:eastAsia="宋体" w:cs="Arial Narrow"/>
                <w:sz w:val="20"/>
                <w:szCs w:val="20"/>
              </w:rPr>
              <w:t>（3）虽未达到前述（1）、（2）的标准，但合并报表中来自互联网业务的净利润超过50%或该业务利润导致合并净利润由亏损变为盈利。</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6E732BEA">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01852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2162C41B">
            <w:pPr>
              <w:widowControl/>
              <w:rPr>
                <w:rFonts w:hint="default" w:ascii="Arial Narrow" w:hAnsi="Arial Narrow" w:eastAsia="宋体" w:cs="Arial Narrow"/>
                <w:b/>
                <w:bCs/>
                <w:sz w:val="20"/>
                <w:szCs w:val="20"/>
              </w:rPr>
            </w:pPr>
            <w:r>
              <w:rPr>
                <w:rFonts w:hint="default" w:ascii="Arial Narrow" w:hAnsi="Arial Narrow" w:eastAsia="宋体" w:cs="Arial Narrow"/>
                <w:b/>
                <w:bCs/>
                <w:sz w:val="20"/>
                <w:szCs w:val="20"/>
              </w:rPr>
              <w:t>二、被审计单位信息系统复杂的下列审计业务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6509F2AF">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597B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6C388267">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1、发行债券、新三板公司（包括挂牌）、拟重大资产重组进入上市公司的标的资产和基础设施公募REITs的财务报表审计业务。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4EEF9158">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7E53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77795F0F">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2、非本所上市公司客户的重要子公司财务报表审计业务。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0640BE62">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3920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71B7793C">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3、重要国际业务。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26B2D63B">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4102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2A5216A1">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4、B类业务中被审计单位为超市、酒店、零售等连锁经营类企业的财务报表审计业务。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2A3AF435">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r w14:paraId="37884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353" w:type="pct"/>
            <w:tcBorders>
              <w:top w:val="dotted" w:color="auto" w:sz="4" w:space="0"/>
              <w:left w:val="dotted" w:color="auto" w:sz="4" w:space="0"/>
              <w:bottom w:val="dotted" w:color="auto" w:sz="4" w:space="0"/>
              <w:right w:val="dotted" w:color="auto" w:sz="4" w:space="0"/>
            </w:tcBorders>
            <w:shd w:val="clear" w:color="auto" w:fill="auto"/>
            <w:vAlign w:val="center"/>
          </w:tcPr>
          <w:p w14:paraId="232C7A17">
            <w:pPr>
              <w:widowControl/>
              <w:rPr>
                <w:rFonts w:hint="default" w:ascii="Arial Narrow" w:hAnsi="Arial Narrow" w:eastAsia="宋体" w:cs="Arial Narrow"/>
                <w:b/>
                <w:bCs/>
                <w:sz w:val="20"/>
                <w:szCs w:val="20"/>
              </w:rPr>
            </w:pPr>
            <w:r>
              <w:rPr>
                <w:rFonts w:hint="default" w:ascii="Arial Narrow" w:hAnsi="Arial Narrow" w:eastAsia="宋体" w:cs="Arial Narrow"/>
                <w:b/>
                <w:bCs/>
                <w:sz w:val="20"/>
                <w:szCs w:val="20"/>
              </w:rPr>
              <w:t>三、不属于上述一和二所述情形，但项目合伙人或项目外复核人员（如有）认为必要进行IT审计的其他审计业务</w:t>
            </w:r>
          </w:p>
        </w:tc>
        <w:tc>
          <w:tcPr>
            <w:tcW w:w="1646" w:type="pct"/>
            <w:tcBorders>
              <w:top w:val="dotted" w:color="auto" w:sz="4" w:space="0"/>
              <w:left w:val="dotted" w:color="auto" w:sz="4" w:space="0"/>
              <w:bottom w:val="dotted" w:color="auto" w:sz="4" w:space="0"/>
              <w:right w:val="dotted" w:color="auto" w:sz="4" w:space="0"/>
            </w:tcBorders>
            <w:shd w:val="clear" w:color="auto" w:fill="auto"/>
            <w:vAlign w:val="center"/>
          </w:tcPr>
          <w:p w14:paraId="7C5491FA">
            <w:pPr>
              <w:widowControl/>
              <w:rPr>
                <w:rFonts w:hint="default" w:ascii="Arial Narrow" w:hAnsi="Arial Narrow" w:eastAsia="宋体" w:cs="Arial Narrow"/>
                <w:sz w:val="20"/>
                <w:szCs w:val="20"/>
              </w:rPr>
            </w:pPr>
            <w:r>
              <w:rPr>
                <w:rFonts w:hint="default" w:ascii="Arial Narrow" w:hAnsi="Arial Narrow" w:eastAsia="宋体" w:cs="Arial Narrow"/>
                <w:sz w:val="20"/>
                <w:szCs w:val="20"/>
              </w:rPr>
              <w:t>　</w:t>
            </w:r>
          </w:p>
        </w:tc>
      </w:tr>
    </w:tbl>
    <w:p w14:paraId="0C54046C">
      <w:pPr>
        <w:rPr>
          <w:rFonts w:hint="default" w:ascii="Arial Narrow" w:hAnsi="Arial Narrow" w:eastAsia="宋体" w:cs="Arial Narrow"/>
          <w:color w:val="0000FF"/>
          <w:sz w:val="20"/>
          <w:szCs w:val="20"/>
        </w:rPr>
      </w:pPr>
      <w:r>
        <w:rPr>
          <w:rFonts w:hint="default" w:ascii="Arial Narrow" w:hAnsi="Arial Narrow" w:eastAsia="宋体" w:cs="Arial Narrow"/>
          <w:color w:val="0000FF"/>
          <w:sz w:val="20"/>
          <w:szCs w:val="20"/>
        </w:rPr>
        <w:t>【第三项“必要进行IT审计的其他审计业务”的判断详见《审计指引第42号-信息系统审计（2024年修订）》，判断过程请填写&lt;B22A-4-1 IT概要&gt;。】</w:t>
      </w:r>
    </w:p>
    <w:p w14:paraId="6F342B8B">
      <w:pPr>
        <w:rPr>
          <w:rFonts w:hint="default" w:ascii="Arial Narrow" w:hAnsi="Arial Narrow" w:eastAsia="宋体" w:cs="Arial Narrow"/>
          <w:color w:val="0000FF"/>
          <w:sz w:val="20"/>
          <w:szCs w:val="20"/>
        </w:rPr>
      </w:pPr>
      <w:r>
        <w:rPr>
          <w:rFonts w:hint="default" w:ascii="Arial Narrow" w:hAnsi="Arial Narrow" w:eastAsia="宋体" w:cs="Arial Narrow"/>
          <w:color w:val="0000FF"/>
          <w:sz w:val="20"/>
          <w:szCs w:val="20"/>
        </w:rPr>
        <w:t>【上表中任何情况或事项判断为“是”的审计项目，继续填写&lt;B22A-4-1 IT概要&gt;及下面的（二）。】</w:t>
      </w:r>
    </w:p>
    <w:p w14:paraId="1988579E">
      <w:pPr>
        <w:rPr>
          <w:rFonts w:hint="default" w:ascii="Arial Narrow" w:hAnsi="Arial Narrow" w:eastAsia="宋体" w:cs="Arial Narrow"/>
          <w:sz w:val="20"/>
          <w:szCs w:val="20"/>
        </w:rPr>
      </w:pPr>
    </w:p>
    <w:p w14:paraId="1E960518">
      <w:pPr>
        <w:rPr>
          <w:rFonts w:hint="default" w:ascii="Arial Narrow" w:hAnsi="Arial Narrow" w:eastAsia="宋体" w:cs="Arial Narrow"/>
          <w:b/>
          <w:bCs/>
          <w:sz w:val="20"/>
          <w:szCs w:val="20"/>
        </w:rPr>
      </w:pPr>
      <w:bookmarkStart w:id="1" w:name="_Hlk179383069"/>
      <w:r>
        <w:rPr>
          <w:rFonts w:hint="default" w:ascii="Arial Narrow" w:hAnsi="Arial Narrow" w:eastAsia="宋体" w:cs="Arial Narrow"/>
          <w:b/>
          <w:bCs/>
          <w:sz w:val="20"/>
          <w:szCs w:val="20"/>
        </w:rPr>
        <w:t>（二）IT审计测试范围</w:t>
      </w:r>
      <w:bookmarkEnd w:id="1"/>
    </w:p>
    <w:p w14:paraId="7C4E2223">
      <w:pPr>
        <w:rPr>
          <w:rFonts w:hint="default" w:ascii="Arial Narrow" w:hAnsi="Arial Narrow" w:eastAsia="宋体" w:cs="Arial Narrow"/>
          <w:color w:val="0000FF"/>
          <w:sz w:val="20"/>
          <w:szCs w:val="20"/>
        </w:rPr>
      </w:pPr>
      <w:r>
        <w:rPr>
          <w:rFonts w:hint="default" w:ascii="Arial Narrow" w:hAnsi="Arial Narrow" w:eastAsia="宋体" w:cs="Arial Narrow"/>
          <w:color w:val="0000FF"/>
          <w:sz w:val="20"/>
          <w:szCs w:val="20"/>
        </w:rPr>
        <w:t>【需要测试的系统范围应主要根据对财务报表的影响确定。除业务系统和财务系统之外，一般应包括与资金、清算、库存管理和成本分摊等相关的应用。如果财务软件和业务系统之间有自动接口，还需要测试接口的数据传输是否准确。如果费用报销和职工薪酬相关的风险不重大，注册会计师认为可以通过实质性程序获取充分适当的审计证据，OA系统和人力资源系统有可能不需要纳入测试范围。】</w:t>
      </w:r>
    </w:p>
    <w:p w14:paraId="08392EF8">
      <w:pPr>
        <w:rPr>
          <w:rFonts w:hint="default" w:ascii="Arial Narrow" w:hAnsi="Arial Narrow" w:eastAsia="宋体" w:cs="Arial Narrow"/>
          <w:color w:val="0000FF"/>
          <w:sz w:val="20"/>
          <w:szCs w:val="20"/>
        </w:rPr>
      </w:pPr>
      <w:r>
        <w:rPr>
          <w:rFonts w:hint="default" w:ascii="Arial Narrow" w:hAnsi="Arial Narrow" w:eastAsia="宋体" w:cs="Arial Narrow"/>
          <w:color w:val="0000FF"/>
          <w:sz w:val="20"/>
          <w:szCs w:val="20"/>
        </w:rPr>
        <w:t>【判断过程请填写&lt;B22A-4-1 IT概要&gt;，以下表格为汇总内容，应与</w:t>
      </w:r>
      <w:bookmarkStart w:id="2" w:name="_Hlk179383089"/>
      <w:r>
        <w:rPr>
          <w:rFonts w:hint="default" w:ascii="Arial Narrow" w:hAnsi="Arial Narrow" w:eastAsia="宋体" w:cs="Arial Narrow"/>
          <w:color w:val="0000FF"/>
          <w:sz w:val="20"/>
          <w:szCs w:val="20"/>
        </w:rPr>
        <w:t>&lt;B22A-4-1 IT概要&gt;</w:t>
      </w:r>
      <w:bookmarkEnd w:id="2"/>
      <w:r>
        <w:rPr>
          <w:rFonts w:hint="default" w:ascii="Arial Narrow" w:hAnsi="Arial Narrow" w:eastAsia="宋体" w:cs="Arial Narrow"/>
          <w:color w:val="0000FF"/>
          <w:sz w:val="20"/>
          <w:szCs w:val="20"/>
        </w:rPr>
        <w:t>保持一致，提交文档时应同步提交&lt;B22A-4-1 IT概要&gt;。】</w:t>
      </w:r>
    </w:p>
    <w:tbl>
      <w:tblPr>
        <w:tblStyle w:val="22"/>
        <w:tblW w:w="14575" w:type="dxa"/>
        <w:tblInd w:w="113" w:type="dxa"/>
        <w:tblLayout w:type="fixed"/>
        <w:tblCellMar>
          <w:top w:w="0" w:type="dxa"/>
          <w:left w:w="108" w:type="dxa"/>
          <w:bottom w:w="0" w:type="dxa"/>
          <w:right w:w="108" w:type="dxa"/>
        </w:tblCellMar>
      </w:tblPr>
      <w:tblGrid>
        <w:gridCol w:w="1072"/>
        <w:gridCol w:w="3239"/>
        <w:gridCol w:w="3239"/>
        <w:gridCol w:w="3239"/>
        <w:gridCol w:w="3786"/>
      </w:tblGrid>
      <w:tr w14:paraId="14A61B5B">
        <w:tblPrEx>
          <w:tblCellMar>
            <w:top w:w="0" w:type="dxa"/>
            <w:left w:w="108" w:type="dxa"/>
            <w:bottom w:w="0" w:type="dxa"/>
            <w:right w:w="108" w:type="dxa"/>
          </w:tblCellMar>
        </w:tblPrEx>
        <w:trPr>
          <w:trHeight w:val="312" w:hRule="atLeast"/>
        </w:trPr>
        <w:tc>
          <w:tcPr>
            <w:tcW w:w="1072"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7A8ADA20">
            <w:pPr>
              <w:widowControl/>
              <w:jc w:val="center"/>
              <w:rPr>
                <w:rFonts w:hint="default" w:ascii="Arial Narrow" w:hAnsi="Arial Narrow" w:eastAsia="宋体" w:cs="Arial Narrow"/>
                <w:b/>
                <w:bCs/>
                <w:color w:val="auto"/>
                <w:sz w:val="20"/>
                <w:szCs w:val="20"/>
              </w:rPr>
            </w:pPr>
            <w:r>
              <w:rPr>
                <w:rFonts w:hint="default" w:ascii="Arial Narrow" w:hAnsi="Arial Narrow" w:eastAsia="宋体" w:cs="Arial Narrow"/>
                <w:b/>
                <w:bCs/>
                <w:color w:val="auto"/>
                <w:sz w:val="20"/>
                <w:szCs w:val="20"/>
              </w:rPr>
              <w:t>编号</w:t>
            </w:r>
          </w:p>
        </w:tc>
        <w:tc>
          <w:tcPr>
            <w:tcW w:w="3239"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3BDF08D8">
            <w:pPr>
              <w:widowControl/>
              <w:jc w:val="center"/>
              <w:rPr>
                <w:rFonts w:hint="default" w:ascii="Arial Narrow" w:hAnsi="Arial Narrow" w:eastAsia="宋体" w:cs="Arial Narrow"/>
                <w:b/>
                <w:bCs/>
                <w:color w:val="auto"/>
                <w:kern w:val="0"/>
                <w:sz w:val="20"/>
                <w:szCs w:val="20"/>
              </w:rPr>
            </w:pPr>
            <w:r>
              <w:rPr>
                <w:rFonts w:hint="default" w:ascii="Arial Narrow" w:hAnsi="Arial Narrow" w:eastAsia="宋体" w:cs="Arial Narrow"/>
                <w:b/>
                <w:bCs/>
                <w:color w:val="auto"/>
                <w:kern w:val="0"/>
                <w:sz w:val="20"/>
                <w:szCs w:val="20"/>
              </w:rPr>
              <w:t>IT应用程序或基础设施</w:t>
            </w:r>
          </w:p>
        </w:tc>
        <w:tc>
          <w:tcPr>
            <w:tcW w:w="3239"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76630CD3">
            <w:pPr>
              <w:widowControl/>
              <w:jc w:val="center"/>
              <w:rPr>
                <w:rFonts w:hint="default" w:ascii="Arial Narrow" w:hAnsi="Arial Narrow" w:eastAsia="宋体" w:cs="Arial Narrow"/>
                <w:b/>
                <w:bCs/>
                <w:color w:val="auto"/>
                <w:kern w:val="0"/>
                <w:sz w:val="20"/>
                <w:szCs w:val="20"/>
                <w:highlight w:val="none"/>
              </w:rPr>
            </w:pPr>
            <w:r>
              <w:rPr>
                <w:rFonts w:hint="default" w:ascii="Arial Narrow" w:hAnsi="Arial Narrow" w:eastAsia="宋体" w:cs="Arial Narrow"/>
                <w:b/>
                <w:bCs/>
                <w:color w:val="auto"/>
                <w:kern w:val="0"/>
                <w:sz w:val="20"/>
                <w:szCs w:val="20"/>
                <w:highlight w:val="none"/>
              </w:rPr>
              <w:t>涉及的重大业务流程</w:t>
            </w:r>
          </w:p>
        </w:tc>
        <w:tc>
          <w:tcPr>
            <w:tcW w:w="3239"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50EFE9FF">
            <w:pPr>
              <w:widowControl/>
              <w:jc w:val="center"/>
              <w:rPr>
                <w:rFonts w:hint="default" w:ascii="Arial Narrow" w:hAnsi="Arial Narrow" w:eastAsia="宋体" w:cs="Arial Narrow"/>
                <w:b/>
                <w:bCs/>
                <w:color w:val="auto"/>
                <w:kern w:val="0"/>
                <w:sz w:val="20"/>
                <w:szCs w:val="20"/>
              </w:rPr>
            </w:pPr>
            <w:r>
              <w:rPr>
                <w:rFonts w:hint="default" w:ascii="Arial Narrow" w:hAnsi="Arial Narrow" w:eastAsia="宋体" w:cs="Arial Narrow"/>
                <w:b/>
                <w:bCs/>
                <w:color w:val="auto"/>
                <w:kern w:val="0"/>
                <w:sz w:val="20"/>
                <w:szCs w:val="20"/>
              </w:rPr>
              <w:t>复杂性</w:t>
            </w:r>
          </w:p>
        </w:tc>
        <w:tc>
          <w:tcPr>
            <w:tcW w:w="3786" w:type="dxa"/>
            <w:vMerge w:val="restart"/>
            <w:tcBorders>
              <w:top w:val="dotted" w:color="auto" w:sz="4" w:space="0"/>
              <w:left w:val="dotted" w:color="auto" w:sz="4" w:space="0"/>
              <w:bottom w:val="dotted" w:color="auto" w:sz="4" w:space="0"/>
              <w:right w:val="dotted" w:color="auto" w:sz="4" w:space="0"/>
            </w:tcBorders>
            <w:shd w:val="clear" w:color="auto" w:fill="E4DFEC"/>
            <w:vAlign w:val="center"/>
          </w:tcPr>
          <w:p w14:paraId="1EF0B27B">
            <w:pPr>
              <w:widowControl/>
              <w:jc w:val="center"/>
              <w:rPr>
                <w:rFonts w:hint="default" w:ascii="Arial Narrow" w:hAnsi="Arial Narrow" w:eastAsia="宋体" w:cs="Arial Narrow"/>
                <w:b/>
                <w:bCs/>
                <w:color w:val="auto"/>
                <w:kern w:val="0"/>
                <w:sz w:val="20"/>
                <w:szCs w:val="20"/>
              </w:rPr>
            </w:pPr>
            <w:r>
              <w:rPr>
                <w:rFonts w:hint="default" w:ascii="Arial Narrow" w:hAnsi="Arial Narrow" w:eastAsia="宋体" w:cs="Arial Narrow"/>
                <w:b/>
                <w:bCs/>
                <w:color w:val="auto"/>
                <w:kern w:val="0"/>
                <w:sz w:val="20"/>
                <w:szCs w:val="20"/>
              </w:rPr>
              <w:t>备注</w:t>
            </w:r>
          </w:p>
        </w:tc>
      </w:tr>
      <w:tr w14:paraId="0B71EE3E">
        <w:tblPrEx>
          <w:tblCellMar>
            <w:top w:w="0" w:type="dxa"/>
            <w:left w:w="108" w:type="dxa"/>
            <w:bottom w:w="0" w:type="dxa"/>
            <w:right w:w="108" w:type="dxa"/>
          </w:tblCellMar>
        </w:tblPrEx>
        <w:trPr>
          <w:trHeight w:val="312" w:hRule="atLeast"/>
        </w:trPr>
        <w:tc>
          <w:tcPr>
            <w:tcW w:w="1072"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63D39009">
            <w:pPr>
              <w:widowControl/>
              <w:jc w:val="left"/>
              <w:rPr>
                <w:rFonts w:hint="default" w:ascii="Arial Narrow" w:hAnsi="Arial Narrow" w:eastAsia="宋体" w:cs="Arial Narrow"/>
                <w:b/>
                <w:bCs/>
                <w:color w:val="000000"/>
                <w:kern w:val="0"/>
                <w:sz w:val="20"/>
                <w:szCs w:val="20"/>
              </w:rPr>
            </w:pPr>
          </w:p>
        </w:tc>
        <w:tc>
          <w:tcPr>
            <w:tcW w:w="3239"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46498EDF">
            <w:pPr>
              <w:widowControl/>
              <w:jc w:val="left"/>
              <w:rPr>
                <w:rFonts w:hint="default" w:ascii="Arial Narrow" w:hAnsi="Arial Narrow" w:eastAsia="宋体" w:cs="Arial Narrow"/>
                <w:b/>
                <w:bCs/>
                <w:color w:val="000000"/>
                <w:kern w:val="0"/>
                <w:sz w:val="20"/>
                <w:szCs w:val="20"/>
              </w:rPr>
            </w:pPr>
          </w:p>
        </w:tc>
        <w:tc>
          <w:tcPr>
            <w:tcW w:w="3239"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0EFAE68B">
            <w:pPr>
              <w:widowControl/>
              <w:jc w:val="left"/>
              <w:rPr>
                <w:rFonts w:hint="default" w:ascii="Arial Narrow" w:hAnsi="Arial Narrow" w:eastAsia="宋体" w:cs="Arial Narrow"/>
                <w:b/>
                <w:bCs/>
                <w:color w:val="000000"/>
                <w:kern w:val="0"/>
                <w:sz w:val="20"/>
                <w:szCs w:val="20"/>
                <w:highlight w:val="none"/>
              </w:rPr>
            </w:pPr>
          </w:p>
        </w:tc>
        <w:tc>
          <w:tcPr>
            <w:tcW w:w="3239"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4A6B1AB1">
            <w:pPr>
              <w:widowControl/>
              <w:jc w:val="left"/>
              <w:rPr>
                <w:rFonts w:hint="default" w:ascii="Arial Narrow" w:hAnsi="Arial Narrow" w:eastAsia="宋体" w:cs="Arial Narrow"/>
                <w:b/>
                <w:bCs/>
                <w:color w:val="000000"/>
                <w:kern w:val="0"/>
                <w:sz w:val="20"/>
                <w:szCs w:val="20"/>
              </w:rPr>
            </w:pPr>
          </w:p>
        </w:tc>
        <w:tc>
          <w:tcPr>
            <w:tcW w:w="3786" w:type="dxa"/>
            <w:vMerge w:val="continue"/>
            <w:tcBorders>
              <w:top w:val="dotted" w:color="auto" w:sz="4" w:space="0"/>
              <w:left w:val="dotted" w:color="auto" w:sz="4" w:space="0"/>
              <w:bottom w:val="dotted" w:color="auto" w:sz="4" w:space="0"/>
              <w:right w:val="dotted" w:color="auto" w:sz="4" w:space="0"/>
            </w:tcBorders>
            <w:shd w:val="clear" w:color="auto" w:fill="E4DFEC"/>
            <w:vAlign w:val="center"/>
          </w:tcPr>
          <w:p w14:paraId="09EBDAFC">
            <w:pPr>
              <w:widowControl/>
              <w:jc w:val="left"/>
              <w:rPr>
                <w:rFonts w:hint="default" w:ascii="Arial Narrow" w:hAnsi="Arial Narrow" w:eastAsia="宋体" w:cs="Arial Narrow"/>
                <w:b/>
                <w:bCs/>
                <w:color w:val="000000"/>
                <w:kern w:val="0"/>
                <w:sz w:val="20"/>
                <w:szCs w:val="20"/>
              </w:rPr>
            </w:pPr>
          </w:p>
        </w:tc>
      </w:tr>
      <w:tr w14:paraId="38E5905A">
        <w:tblPrEx>
          <w:tblCellMar>
            <w:top w:w="0" w:type="dxa"/>
            <w:left w:w="108" w:type="dxa"/>
            <w:bottom w:w="0" w:type="dxa"/>
            <w:right w:w="108" w:type="dxa"/>
          </w:tblCellMar>
        </w:tblPrEx>
        <w:trPr>
          <w:trHeight w:val="397" w:hRule="atLeast"/>
        </w:trPr>
        <w:tc>
          <w:tcPr>
            <w:tcW w:w="1072" w:type="dxa"/>
            <w:tcBorders>
              <w:top w:val="dotted" w:color="auto" w:sz="4" w:space="0"/>
              <w:left w:val="dotted" w:color="auto" w:sz="4" w:space="0"/>
              <w:bottom w:val="dotted" w:color="auto" w:sz="4" w:space="0"/>
              <w:right w:val="dotted" w:color="auto" w:sz="4" w:space="0"/>
            </w:tcBorders>
            <w:shd w:val="clear" w:color="auto" w:fill="auto"/>
            <w:noWrap/>
            <w:vAlign w:val="center"/>
          </w:tcPr>
          <w:p w14:paraId="2CCD6E3B">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1</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600A9FA1">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129AC74C">
            <w:pPr>
              <w:widowControl/>
              <w:jc w:val="left"/>
              <w:rPr>
                <w:rFonts w:hint="default" w:ascii="Arial Narrow" w:hAnsi="Arial Narrow" w:eastAsia="宋体" w:cs="Arial Narrow"/>
                <w:color w:val="000000"/>
                <w:kern w:val="0"/>
                <w:sz w:val="20"/>
                <w:szCs w:val="20"/>
                <w:highlight w:val="none"/>
              </w:rPr>
            </w:pPr>
            <w:r>
              <w:rPr>
                <w:rFonts w:hint="default" w:ascii="Arial Narrow" w:hAnsi="Arial Narrow" w:eastAsia="宋体" w:cs="Arial Narrow"/>
                <w:color w:val="000000"/>
                <w:kern w:val="0"/>
                <w:sz w:val="20"/>
                <w:szCs w:val="20"/>
                <w:highlight w:val="none"/>
              </w:rPr>
              <w:t>　</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56DC5FFC">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c>
          <w:tcPr>
            <w:tcW w:w="3786" w:type="dxa"/>
            <w:tcBorders>
              <w:top w:val="dotted" w:color="auto" w:sz="4" w:space="0"/>
              <w:left w:val="dotted" w:color="auto" w:sz="4" w:space="0"/>
              <w:bottom w:val="dotted" w:color="auto" w:sz="4" w:space="0"/>
              <w:right w:val="dotted" w:color="auto" w:sz="4" w:space="0"/>
            </w:tcBorders>
            <w:shd w:val="clear" w:color="auto" w:fill="auto"/>
            <w:noWrap/>
            <w:vAlign w:val="center"/>
          </w:tcPr>
          <w:p w14:paraId="5F5B3B49">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r>
      <w:tr w14:paraId="5EE0FBE4">
        <w:tblPrEx>
          <w:tblCellMar>
            <w:top w:w="0" w:type="dxa"/>
            <w:left w:w="108" w:type="dxa"/>
            <w:bottom w:w="0" w:type="dxa"/>
            <w:right w:w="108" w:type="dxa"/>
          </w:tblCellMar>
        </w:tblPrEx>
        <w:trPr>
          <w:trHeight w:val="397" w:hRule="atLeast"/>
        </w:trPr>
        <w:tc>
          <w:tcPr>
            <w:tcW w:w="1072" w:type="dxa"/>
            <w:tcBorders>
              <w:top w:val="dotted" w:color="auto" w:sz="4" w:space="0"/>
              <w:left w:val="dotted" w:color="auto" w:sz="4" w:space="0"/>
              <w:bottom w:val="dotted" w:color="auto" w:sz="4" w:space="0"/>
              <w:right w:val="dotted" w:color="auto" w:sz="4" w:space="0"/>
            </w:tcBorders>
            <w:shd w:val="clear" w:color="auto" w:fill="auto"/>
            <w:noWrap/>
            <w:vAlign w:val="center"/>
          </w:tcPr>
          <w:p w14:paraId="59DFAE53">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2</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752F99FD">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3E337812">
            <w:pPr>
              <w:widowControl/>
              <w:jc w:val="left"/>
              <w:rPr>
                <w:rFonts w:hint="default" w:ascii="Arial Narrow" w:hAnsi="Arial Narrow" w:eastAsia="宋体" w:cs="Arial Narrow"/>
                <w:color w:val="000000"/>
                <w:kern w:val="0"/>
                <w:sz w:val="20"/>
                <w:szCs w:val="20"/>
                <w:highlight w:val="none"/>
              </w:rPr>
            </w:pPr>
            <w:r>
              <w:rPr>
                <w:rFonts w:hint="default" w:ascii="Arial Narrow" w:hAnsi="Arial Narrow" w:eastAsia="宋体" w:cs="Arial Narrow"/>
                <w:color w:val="000000"/>
                <w:kern w:val="0"/>
                <w:sz w:val="20"/>
                <w:szCs w:val="20"/>
                <w:highlight w:val="none"/>
              </w:rPr>
              <w:t>　</w:t>
            </w:r>
          </w:p>
        </w:tc>
        <w:tc>
          <w:tcPr>
            <w:tcW w:w="3239" w:type="dxa"/>
            <w:tcBorders>
              <w:top w:val="dotted" w:color="auto" w:sz="4" w:space="0"/>
              <w:left w:val="dotted" w:color="auto" w:sz="4" w:space="0"/>
              <w:bottom w:val="dotted" w:color="auto" w:sz="4" w:space="0"/>
              <w:right w:val="dotted" w:color="auto" w:sz="4" w:space="0"/>
            </w:tcBorders>
            <w:shd w:val="clear" w:color="auto" w:fill="auto"/>
            <w:noWrap/>
            <w:vAlign w:val="center"/>
          </w:tcPr>
          <w:p w14:paraId="57921970">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c>
          <w:tcPr>
            <w:tcW w:w="3786" w:type="dxa"/>
            <w:tcBorders>
              <w:top w:val="dotted" w:color="auto" w:sz="4" w:space="0"/>
              <w:left w:val="dotted" w:color="auto" w:sz="4" w:space="0"/>
              <w:bottom w:val="dotted" w:color="auto" w:sz="4" w:space="0"/>
              <w:right w:val="dotted" w:color="auto" w:sz="4" w:space="0"/>
            </w:tcBorders>
            <w:shd w:val="clear" w:color="auto" w:fill="auto"/>
            <w:noWrap/>
            <w:vAlign w:val="center"/>
          </w:tcPr>
          <w:p w14:paraId="1AE6C1CB">
            <w:pPr>
              <w:widowControl/>
              <w:jc w:val="left"/>
              <w:rPr>
                <w:rFonts w:hint="default" w:ascii="Arial Narrow" w:hAnsi="Arial Narrow" w:eastAsia="宋体" w:cs="Arial Narrow"/>
                <w:color w:val="000000"/>
                <w:kern w:val="0"/>
                <w:sz w:val="20"/>
                <w:szCs w:val="20"/>
              </w:rPr>
            </w:pPr>
            <w:r>
              <w:rPr>
                <w:rFonts w:hint="default" w:ascii="Arial Narrow" w:hAnsi="Arial Narrow" w:eastAsia="宋体" w:cs="Arial Narrow"/>
                <w:color w:val="000000"/>
                <w:kern w:val="0"/>
                <w:sz w:val="20"/>
                <w:szCs w:val="20"/>
              </w:rPr>
              <w:t>　</w:t>
            </w:r>
          </w:p>
        </w:tc>
      </w:tr>
    </w:tbl>
    <w:p w14:paraId="02840765">
      <w:pPr>
        <w:widowControl/>
        <w:jc w:val="left"/>
        <w:rPr>
          <w:rFonts w:hint="default" w:ascii="Arial Narrow" w:hAnsi="Arial Narrow" w:eastAsia="宋体" w:cs="Arial Narrow"/>
          <w:b/>
          <w:bCs/>
          <w:sz w:val="20"/>
          <w:szCs w:val="20"/>
        </w:rPr>
      </w:pPr>
    </w:p>
    <w:p w14:paraId="1E1C6FC8">
      <w:pPr>
        <w:widowControl/>
        <w:jc w:val="left"/>
        <w:rPr>
          <w:rFonts w:hint="default" w:ascii="Arial Narrow" w:hAnsi="Arial Narrow" w:eastAsia="宋体" w:cs="Arial Narrow"/>
          <w:b/>
          <w:bCs/>
          <w:sz w:val="20"/>
          <w:szCs w:val="20"/>
        </w:rPr>
      </w:pPr>
      <w:r>
        <w:rPr>
          <w:rFonts w:hint="default" w:ascii="Arial Narrow" w:hAnsi="Arial Narrow" w:eastAsia="宋体" w:cs="Arial Narrow"/>
          <w:b/>
          <w:bCs/>
          <w:sz w:val="20"/>
          <w:szCs w:val="20"/>
        </w:rPr>
        <w:br w:type="page"/>
      </w:r>
    </w:p>
    <w:p w14:paraId="43915651">
      <w:pPr>
        <w:widowControl/>
        <w:jc w:val="left"/>
        <w:rPr>
          <w:rFonts w:hint="default" w:ascii="Arial Narrow" w:hAnsi="Arial Narrow" w:eastAsia="宋体" w:cs="Arial Narrow"/>
          <w:b/>
          <w:bCs/>
          <w:sz w:val="20"/>
          <w:szCs w:val="20"/>
        </w:rPr>
      </w:pPr>
      <w:r>
        <w:rPr>
          <w:rFonts w:hint="default" w:ascii="Arial Narrow" w:hAnsi="Arial Narrow" w:eastAsia="宋体" w:cs="Arial Narrow"/>
          <w:b/>
          <w:bCs/>
          <w:sz w:val="20"/>
          <w:szCs w:val="20"/>
        </w:rPr>
        <w:t>参考：信息技术环境的典型特征示例</w:t>
      </w:r>
    </w:p>
    <w:tbl>
      <w:tblPr>
        <w:tblStyle w:val="22"/>
        <w:tblW w:w="4921" w:type="pct"/>
        <w:tblInd w:w="6"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autofit"/>
        <w:tblCellMar>
          <w:top w:w="0" w:type="dxa"/>
          <w:left w:w="0" w:type="dxa"/>
          <w:bottom w:w="0" w:type="dxa"/>
          <w:right w:w="0" w:type="dxa"/>
        </w:tblCellMar>
      </w:tblPr>
      <w:tblGrid>
        <w:gridCol w:w="4394"/>
        <w:gridCol w:w="3003"/>
        <w:gridCol w:w="3231"/>
        <w:gridCol w:w="3954"/>
      </w:tblGrid>
      <w:tr w14:paraId="558BB05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6" w:hRule="atLeast"/>
          <w:tblHeader/>
        </w:trPr>
        <w:tc>
          <w:tcPr>
            <w:tcW w:w="14584" w:type="dxa"/>
            <w:gridSpan w:val="4"/>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377318D0">
            <w:pPr>
              <w:pStyle w:val="54"/>
              <w:snapToGrid w:val="0"/>
              <w:jc w:val="center"/>
              <w:rPr>
                <w:rFonts w:hint="default" w:ascii="Arial Narrow" w:hAnsi="Arial Narrow" w:eastAsia="宋体" w:cs="Arial Narrow"/>
                <w:b/>
                <w:bCs/>
                <w:color w:val="auto"/>
                <w:sz w:val="20"/>
                <w:szCs w:val="20"/>
                <w:lang w:val="zh-CN"/>
              </w:rPr>
            </w:pPr>
            <w:r>
              <w:rPr>
                <w:rFonts w:hint="default" w:ascii="Arial Narrow" w:hAnsi="Arial Narrow" w:eastAsia="宋体" w:cs="Arial Narrow"/>
                <w:b/>
                <w:bCs/>
                <w:color w:val="auto"/>
                <w:sz w:val="20"/>
                <w:szCs w:val="20"/>
                <w:lang w:val="zh-CN"/>
              </w:rPr>
              <w:t>典型特征示例</w:t>
            </w:r>
          </w:p>
        </w:tc>
      </w:tr>
      <w:tr w14:paraId="4A98E18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blHeader/>
        </w:trPr>
        <w:tc>
          <w:tcPr>
            <w:tcW w:w="4395" w:type="dxa"/>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6AF9C097">
            <w:pPr>
              <w:pStyle w:val="54"/>
              <w:snapToGrid w:val="0"/>
              <w:rPr>
                <w:rFonts w:hint="default" w:ascii="Arial Narrow" w:hAnsi="Arial Narrow" w:eastAsia="宋体" w:cs="Arial Narrow"/>
                <w:b/>
                <w:bCs/>
                <w:color w:val="auto"/>
                <w:sz w:val="20"/>
                <w:szCs w:val="20"/>
                <w:lang w:val="zh-CN"/>
              </w:rPr>
            </w:pPr>
          </w:p>
        </w:tc>
        <w:tc>
          <w:tcPr>
            <w:tcW w:w="3003" w:type="dxa"/>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0A5E54C6">
            <w:pPr>
              <w:pStyle w:val="54"/>
              <w:snapToGrid w:val="0"/>
              <w:jc w:val="center"/>
              <w:rPr>
                <w:rFonts w:hint="default" w:ascii="Arial Narrow" w:hAnsi="Arial Narrow" w:eastAsia="宋体" w:cs="Arial Narrow"/>
                <w:b/>
                <w:bCs/>
                <w:color w:val="auto"/>
                <w:sz w:val="20"/>
                <w:szCs w:val="20"/>
                <w:lang w:val="zh-CN"/>
              </w:rPr>
            </w:pPr>
            <w:r>
              <w:rPr>
                <w:rFonts w:hint="default" w:ascii="Arial Narrow" w:hAnsi="Arial Narrow" w:eastAsia="宋体" w:cs="Arial Narrow"/>
                <w:b/>
                <w:bCs/>
                <w:color w:val="auto"/>
                <w:sz w:val="20"/>
                <w:szCs w:val="20"/>
                <w:lang w:val="zh-CN"/>
              </w:rPr>
              <w:t>不复杂的商业软件</w:t>
            </w:r>
          </w:p>
        </w:tc>
        <w:tc>
          <w:tcPr>
            <w:tcW w:w="3231" w:type="dxa"/>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5FE6E367">
            <w:pPr>
              <w:pStyle w:val="54"/>
              <w:snapToGrid w:val="0"/>
              <w:jc w:val="center"/>
              <w:rPr>
                <w:rFonts w:hint="default" w:ascii="Arial Narrow" w:hAnsi="Arial Narrow" w:eastAsia="宋体" w:cs="Arial Narrow"/>
                <w:b/>
                <w:bCs/>
                <w:color w:val="auto"/>
                <w:sz w:val="20"/>
                <w:szCs w:val="20"/>
                <w:lang w:val="zh-CN"/>
              </w:rPr>
            </w:pPr>
            <w:r>
              <w:rPr>
                <w:rFonts w:hint="default" w:ascii="Arial Narrow" w:hAnsi="Arial Narrow" w:eastAsia="宋体" w:cs="Arial Narrow"/>
                <w:b/>
                <w:bCs/>
                <w:color w:val="auto"/>
                <w:sz w:val="20"/>
                <w:szCs w:val="20"/>
                <w:lang w:val="zh-CN"/>
              </w:rPr>
              <w:t>中型和中等复杂程度的商业软件或信息技术应用程序</w:t>
            </w:r>
          </w:p>
        </w:tc>
        <w:tc>
          <w:tcPr>
            <w:tcW w:w="3955" w:type="dxa"/>
            <w:tcBorders>
              <w:top w:val="dotted" w:color="000000" w:sz="4" w:space="0"/>
              <w:left w:val="dotted" w:color="000000" w:sz="4" w:space="0"/>
              <w:bottom w:val="dotted" w:color="000000" w:sz="4" w:space="0"/>
              <w:right w:val="dotted" w:color="000000" w:sz="4" w:space="0"/>
            </w:tcBorders>
            <w:shd w:val="clear" w:color="auto" w:fill="E4DFEC"/>
            <w:tcMar>
              <w:top w:w="8" w:type="dxa"/>
              <w:left w:w="8" w:type="dxa"/>
              <w:bottom w:w="8" w:type="dxa"/>
              <w:right w:w="8" w:type="dxa"/>
            </w:tcMar>
            <w:vAlign w:val="center"/>
          </w:tcPr>
          <w:p w14:paraId="37AEDE74">
            <w:pPr>
              <w:pStyle w:val="54"/>
              <w:snapToGrid w:val="0"/>
              <w:jc w:val="center"/>
              <w:rPr>
                <w:rFonts w:hint="default" w:ascii="Arial Narrow" w:hAnsi="Arial Narrow" w:eastAsia="宋体" w:cs="Arial Narrow"/>
                <w:b/>
                <w:bCs/>
                <w:color w:val="auto"/>
                <w:sz w:val="20"/>
                <w:szCs w:val="20"/>
                <w:lang w:val="zh-CN"/>
              </w:rPr>
            </w:pPr>
            <w:r>
              <w:rPr>
                <w:rFonts w:hint="default" w:ascii="Arial Narrow" w:hAnsi="Arial Narrow" w:eastAsia="宋体" w:cs="Arial Narrow"/>
                <w:b/>
                <w:bCs/>
                <w:color w:val="auto"/>
                <w:sz w:val="20"/>
                <w:szCs w:val="20"/>
                <w:lang w:val="zh-CN"/>
              </w:rPr>
              <w:t>大型或复杂的信息技术应用程序(如企业资源计划系统，即ERP)</w:t>
            </w:r>
          </w:p>
        </w:tc>
      </w:tr>
      <w:tr w14:paraId="3252CE9B">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7" w:hRule="atLeast"/>
        </w:trPr>
        <w:tc>
          <w:tcPr>
            <w:tcW w:w="14584" w:type="dxa"/>
            <w:gridSpan w:val="4"/>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610ECA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b/>
                <w:bCs/>
                <w:sz w:val="20"/>
                <w:szCs w:val="20"/>
                <w:lang w:val="zh-CN"/>
              </w:rPr>
              <w:t xml:space="preserve">与自动化程度和数据的使用相关的事项： </w:t>
            </w:r>
          </w:p>
        </w:tc>
      </w:tr>
      <w:tr w14:paraId="14591E76">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DCCDC4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处理程序的自动化程度，以及程序的复杂程度，包括是否存在高度自动化的无纸化处理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72BBD67">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不适用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40DECF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不适用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54788D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广泛且经常运用复杂的自动化程序 </w:t>
            </w:r>
          </w:p>
        </w:tc>
      </w:tr>
      <w:tr w14:paraId="6E7E7547">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9F2487E">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被审计单位在处理信息时对系统生成的报告的依赖程度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ED3E962">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简单的自动化报告生成逻辑生成的标准报表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2AD25C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简单的自动化报告生成逻辑生成的定制化报表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78E05B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复杂的自动化报告生成逻辑生成的报表、报告生成工具生成的报表 </w:t>
            </w:r>
          </w:p>
        </w:tc>
      </w:tr>
      <w:tr w14:paraId="11DF8099">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466144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如何输入数据（即人工输入、客户或供应商输入或文件加载）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B251926">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人工输入数据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9429E79">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少量的数据输入或简单的接口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BC64F5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大量的数据输入或复杂的接口 </w:t>
            </w:r>
          </w:p>
        </w:tc>
      </w:tr>
      <w:tr w14:paraId="5AB3AF2B">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65530F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信息技术如何通过系统接口适当促成应用程序、数据库或信息技术环境的其他方面之间与内外部的连通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D4372B4">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无自动化接口(仅支持人工输入）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F944579">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少量的数据输入或简单的接口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63A03E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大量的数据输入或复杂的接口 </w:t>
            </w:r>
          </w:p>
        </w:tc>
      </w:tr>
      <w:tr w14:paraId="513AB5DC">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A53FC0F">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通过信息系统处理的数字形式的数据的规模和复杂程度，包括会计记录或其他信息是否以数字形式存储以及数据存储的位置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2F9937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可以人工验证的少量数据或简单数据，数据存储在本地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B9AB85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少量的数据或简单数据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99E83FF">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大量的数据或复杂数据、数据仓库、使用内部或外部的信息技术服务提供商（如第三方存储或托管数据） </w:t>
            </w:r>
          </w:p>
        </w:tc>
      </w:tr>
      <w:tr w14:paraId="755F688A">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7" w:hRule="atLeast"/>
        </w:trPr>
        <w:tc>
          <w:tcPr>
            <w:tcW w:w="14584" w:type="dxa"/>
            <w:gridSpan w:val="4"/>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45FAC3C">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b/>
                <w:bCs/>
                <w:sz w:val="20"/>
                <w:szCs w:val="20"/>
                <w:lang w:val="zh-CN"/>
              </w:rPr>
              <w:t xml:space="preserve">与信息技术应用程序和信息技术基础设施相关的事项： </w:t>
            </w:r>
          </w:p>
        </w:tc>
      </w:tr>
      <w:tr w14:paraId="2E915202">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83A61C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应用程序的类型（例如，非定制或有限定制的商业应用程序、外购并定制或自行开发的高度定制或高度集成的应用程序）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2C6F66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非定制或有限定制的外购应用程序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5E87E3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非定制或有限定制的外购应用程序或简单的旧版或低端ERP应用程序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33F4D9E">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定制开发的应用程序或具有重大定制功能的更复杂的ERP </w:t>
            </w:r>
          </w:p>
        </w:tc>
      </w:tr>
      <w:tr w14:paraId="70BF6673">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803E5A2">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信息技术应用程序性质的复杂程度以及相关信息技术基础设施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88D263B">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小型、简单的笔记本电脑或基于客户端服务器的解决方案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A008FFC">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成熟稳定的主机、小型或简单的客户端服务器、软件运营云服务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2A07543">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复杂的主机、大型或复杂的客户端服务器、面向网络的服务云基础设施 </w:t>
            </w:r>
          </w:p>
        </w:tc>
      </w:tr>
      <w:tr w14:paraId="007B9419">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9CA452E">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是否由第三方托管或外包信息技术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FCCFC3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如果外包信息技术，提供商具有胜任能力、成熟并经过验证（例如，云服务提供商）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5F458E4">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如果外包信息技术，提供商具有胜任能力、成熟并经过验证（例如，云服务提供商）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A03024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具有胜任能力、成熟并经过验证的供应商只给部分应用程序提供服务，其他应用程序的提供商处在全新或初创阶段 </w:t>
            </w:r>
          </w:p>
        </w:tc>
      </w:tr>
      <w:tr w14:paraId="5A8AFECF">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7"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FED33F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被审计单位是否使用影响财务报告的新兴技术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9EE422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未使用新兴技术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46C877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在某些应用程序中有限使用新兴技术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2964969">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跨平台混合使用新兴技术 </w:t>
            </w:r>
          </w:p>
        </w:tc>
      </w:tr>
      <w:tr w14:paraId="369158D9">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97" w:hRule="atLeast"/>
        </w:trPr>
        <w:tc>
          <w:tcPr>
            <w:tcW w:w="14584" w:type="dxa"/>
            <w:gridSpan w:val="4"/>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15E37DA">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b/>
                <w:bCs/>
                <w:sz w:val="20"/>
                <w:szCs w:val="20"/>
                <w:lang w:val="zh-CN"/>
              </w:rPr>
              <w:t xml:space="preserve">与信息技术流程相关的事项： </w:t>
            </w:r>
          </w:p>
        </w:tc>
      </w:tr>
      <w:tr w14:paraId="24027773">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10A4E9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参与维护信息技术环境的人员（负责信息技术环境安全和变化的信息技术支持人员的数量和技术水平）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375642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极少量具有有限信息技术知识的人员处理供应商升级和管理访问权限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98EE9BB">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有限数量的具有信息技术技能或专门从事信息技术工作的人员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AA9829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专门的信息技术部门，具有专业技能（包括编程技能）的人员 </w:t>
            </w:r>
          </w:p>
        </w:tc>
      </w:tr>
      <w:tr w14:paraId="052A63E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DAD45E8">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管理访问权限的流程的复杂程度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B5F819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由具有管理权限的单个员工管理访问权限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9FA589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由具有管理权限的很少数量的员工管理访问权限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42471B2">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由信息技术部门管理访问权限的复杂流程 </w:t>
            </w:r>
          </w:p>
        </w:tc>
      </w:tr>
      <w:tr w14:paraId="571F49D7">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46483FA8">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信息技术环境安全的复杂程度，包括信息技术应用程序、数据库和信息技术环境的其他方面易受网络风险影响的程度，特别是交易基于网络或涉及外部接口的情况</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CBEF196">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简单的本地访问，没有互联网端成分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446F45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具有简单的、基于安全性角色的一些面向互联网应用</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1196AB4">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具有互联网访问权限和复杂安全模型的多个平台 </w:t>
            </w:r>
          </w:p>
        </w:tc>
      </w:tr>
      <w:tr w14:paraId="745776D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66609DC3">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是否对信息处理的方式进行了程序修改，以及在本期修改的程度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39127D2">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未安装源代码的商业软件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2B15EEF">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未安装源代码的部分商业软件和进行了少量简单修改的其他成熟应用程序，传统的系统开发生命周期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3993C0C7">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新的或大量的亦或复杂的修改，每年存在多个开发周期 </w:t>
            </w:r>
          </w:p>
        </w:tc>
      </w:tr>
      <w:tr w14:paraId="5B3BB861">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5A773387">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信息技术环境的变化程度（例如，信息技术环境的新方面，或信息技术应用程序或相关信息技术基础设施的重大修改）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A00B403">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变化仅限于商业软件的版本升级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7806952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变化包括商业软件升级、ERP版本升级或旧版功能增强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F93FC1D">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新的或大量的或复杂的变化，每年存在多个开发周期，对ERP进行了大量定制 </w:t>
            </w:r>
          </w:p>
        </w:tc>
      </w:tr>
      <w:tr w14:paraId="58C4CB5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0" w:hRule="atLeast"/>
        </w:trPr>
        <w:tc>
          <w:tcPr>
            <w:tcW w:w="439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1D1D44E5">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本期是否进行了重大数据转换，如果是，更改的性质和重大程度，以及数据转换的方式 </w:t>
            </w:r>
          </w:p>
        </w:tc>
        <w:tc>
          <w:tcPr>
            <w:tcW w:w="3003"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6E8CF00">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供应商提供的软件升级，没有用于升级的数据转换功能 </w:t>
            </w:r>
          </w:p>
        </w:tc>
        <w:tc>
          <w:tcPr>
            <w:tcW w:w="3231"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2C59E341">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商业软件应用程序的小型版本升级，仅转换有限的数据 </w:t>
            </w:r>
          </w:p>
        </w:tc>
        <w:tc>
          <w:tcPr>
            <w:tcW w:w="3955" w:type="dxa"/>
            <w:tcBorders>
              <w:top w:val="dotted" w:color="000000" w:sz="4" w:space="0"/>
              <w:left w:val="dotted" w:color="000000" w:sz="4" w:space="0"/>
              <w:bottom w:val="dotted" w:color="000000" w:sz="4" w:space="0"/>
              <w:right w:val="dotted" w:color="000000" w:sz="4" w:space="0"/>
            </w:tcBorders>
            <w:shd w:val="clear" w:color="auto" w:fill="auto"/>
            <w:tcMar>
              <w:top w:w="8" w:type="dxa"/>
              <w:left w:w="8" w:type="dxa"/>
              <w:bottom w:w="8" w:type="dxa"/>
              <w:right w:w="8" w:type="dxa"/>
            </w:tcMar>
            <w:vAlign w:val="center"/>
          </w:tcPr>
          <w:p w14:paraId="0F700D8E">
            <w:pPr>
              <w:pStyle w:val="54"/>
              <w:snapToGrid w:val="0"/>
              <w:rPr>
                <w:rFonts w:hint="default" w:ascii="Arial Narrow" w:hAnsi="Arial Narrow" w:eastAsia="宋体" w:cs="Arial Narrow"/>
                <w:sz w:val="20"/>
                <w:szCs w:val="20"/>
                <w:lang w:val="zh-CN"/>
              </w:rPr>
            </w:pPr>
            <w:r>
              <w:rPr>
                <w:rFonts w:hint="default" w:ascii="Arial Narrow" w:hAnsi="Arial Narrow" w:eastAsia="宋体" w:cs="Arial Narrow"/>
                <w:sz w:val="20"/>
                <w:szCs w:val="20"/>
                <w:lang w:val="zh-CN"/>
              </w:rPr>
              <w:t xml:space="preserve">重大版本升级，新版本发布，平台变更 </w:t>
            </w:r>
          </w:p>
        </w:tc>
      </w:tr>
    </w:tbl>
    <w:p w14:paraId="6F785B03">
      <w:pPr>
        <w:rPr>
          <w:rFonts w:hint="eastAsia"/>
        </w:rPr>
      </w:pPr>
    </w:p>
    <w:sectPr>
      <w:headerReference r:id="rId4" w:type="first"/>
      <w:footerReference r:id="rId6" w:type="first"/>
      <w:headerReference r:id="rId3" w:type="default"/>
      <w:footerReference r:id="rId5" w:type="default"/>
      <w:pgSz w:w="16840" w:h="11900" w:orient="landscape"/>
      <w:pgMar w:top="1077" w:right="1020" w:bottom="1077" w:left="1020" w:header="454" w:footer="454" w:gutter="0"/>
      <w:pgBorders>
        <w:top w:val="none" w:sz="0" w:space="0"/>
        <w:left w:val="none" w:sz="0" w:space="0"/>
        <w:bottom w:val="none" w:sz="0" w:space="0"/>
        <w:right w:val="none" w:sz="0" w:space="0"/>
      </w:pgBorders>
      <w:cols w:space="0" w:num="1"/>
      <w:titlePg/>
      <w:rtlGutter w:val="0"/>
      <w:docGrid w:type="lines" w:linePitch="33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1"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8538820"/>
      <w:docPartObj>
        <w:docPartGallery w:val="autotext"/>
      </w:docPartObj>
    </w:sdtPr>
    <w:sdtEndPr>
      <w:rPr>
        <w:sz w:val="20"/>
        <w:szCs w:val="20"/>
      </w:rPr>
    </w:sdtEndPr>
    <w:sdtContent>
      <w:p w14:paraId="37CAF093">
        <w:pPr>
          <w:pStyle w:val="13"/>
          <w:jc w:val="center"/>
          <w:rPr>
            <w:rFonts w:hint="eastAsia"/>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lang w:val="zh-CN"/>
          </w:rPr>
          <w:t>3</w:t>
        </w:r>
        <w:r>
          <w:rPr>
            <w:sz w:val="20"/>
            <w:szCs w:val="20"/>
          </w:rPr>
          <w:fldChar w:fldCharType="end"/>
        </w:r>
      </w:p>
    </w:sdtContent>
  </w:sdt>
  <w:p w14:paraId="7F7C19B4">
    <w:pPr>
      <w:pStyle w:val="13"/>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9963328"/>
      <w:docPartObj>
        <w:docPartGallery w:val="autotext"/>
      </w:docPartObj>
    </w:sdtPr>
    <w:sdtEndPr>
      <w:rPr>
        <w:sz w:val="20"/>
        <w:szCs w:val="20"/>
      </w:rPr>
    </w:sdtEndPr>
    <w:sdtContent>
      <w:p w14:paraId="1193CEE8">
        <w:pPr>
          <w:pStyle w:val="13"/>
          <w:jc w:val="center"/>
          <w:rPr>
            <w:rFonts w:hint="eastAsia"/>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E3B66">
    <w:pPr>
      <w:pStyle w:val="14"/>
      <w:jc w:val="right"/>
      <w:rPr>
        <w:rFonts w:hint="default"/>
        <w:lang w:val="en-US"/>
      </w:rPr>
    </w:pPr>
    <w:r>
      <w:rPr>
        <w:rFonts w:hint="eastAsia" w:eastAsia="宋体"/>
        <w:lang w:val="en-US" w:eastAsia="zh-CN"/>
      </w:rPr>
      <w:t xml:space="preserve">  </w:t>
    </w:r>
    <w:r>
      <w:rPr>
        <w:rFonts w:hint="eastAsia"/>
      </w:rPr>
      <w:t>索引号：</w:t>
    </w:r>
    <w:r>
      <w:rPr>
        <w:rFonts w:hint="eastAsia"/>
        <w:lang w:val="en-US" w:eastAsia="zh-CN"/>
      </w:rPr>
      <w:t>B60-2-1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EB29B">
    <w:pPr>
      <w:pStyle w:val="14"/>
      <w:jc w:val="right"/>
      <w:rPr>
        <w:rFonts w:hint="eastAsia"/>
      </w:rPr>
    </w:pPr>
    <w:r>
      <w:rPr>
        <w:rFonts w:hint="eastAsia" w:eastAsia="宋体"/>
        <w:lang w:val="en-US" w:eastAsia="zh-CN"/>
      </w:rPr>
      <w:t xml:space="preserve">  </w:t>
    </w:r>
    <w:r>
      <w:rPr>
        <w:rFonts w:hint="eastAsia"/>
      </w:rPr>
      <w:t>索引号：</w:t>
    </w:r>
    <w:r>
      <w:rPr>
        <w:rFonts w:hint="eastAsia"/>
        <w:lang w:val="en-US" w:eastAsia="zh-CN"/>
      </w:rPr>
      <w:t>B60-2-1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HorizontalSpacing w:val="120"/>
  <w:drawingGridVerticalSpacing w:val="168"/>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4D"/>
    <w:rsid w:val="000023E0"/>
    <w:rsid w:val="00002FB7"/>
    <w:rsid w:val="000065BA"/>
    <w:rsid w:val="000127B8"/>
    <w:rsid w:val="000143C0"/>
    <w:rsid w:val="00033D55"/>
    <w:rsid w:val="000353F3"/>
    <w:rsid w:val="0003691B"/>
    <w:rsid w:val="00036ED4"/>
    <w:rsid w:val="00041DA7"/>
    <w:rsid w:val="00044302"/>
    <w:rsid w:val="00045F06"/>
    <w:rsid w:val="00047EE7"/>
    <w:rsid w:val="00050447"/>
    <w:rsid w:val="00054E9E"/>
    <w:rsid w:val="0006662E"/>
    <w:rsid w:val="000701F4"/>
    <w:rsid w:val="00070BED"/>
    <w:rsid w:val="0007202A"/>
    <w:rsid w:val="0007707B"/>
    <w:rsid w:val="0008061B"/>
    <w:rsid w:val="00084F73"/>
    <w:rsid w:val="000905D2"/>
    <w:rsid w:val="000910EB"/>
    <w:rsid w:val="000A44A9"/>
    <w:rsid w:val="000B54E6"/>
    <w:rsid w:val="000B775D"/>
    <w:rsid w:val="000C2BFF"/>
    <w:rsid w:val="000C3DD4"/>
    <w:rsid w:val="000C752E"/>
    <w:rsid w:val="000D4D9A"/>
    <w:rsid w:val="000D691C"/>
    <w:rsid w:val="000D7B80"/>
    <w:rsid w:val="0012092A"/>
    <w:rsid w:val="001214CC"/>
    <w:rsid w:val="00131066"/>
    <w:rsid w:val="00154BE7"/>
    <w:rsid w:val="00154D41"/>
    <w:rsid w:val="00160755"/>
    <w:rsid w:val="00166E19"/>
    <w:rsid w:val="00176D61"/>
    <w:rsid w:val="00180E97"/>
    <w:rsid w:val="00182B30"/>
    <w:rsid w:val="00183D4B"/>
    <w:rsid w:val="00186145"/>
    <w:rsid w:val="00191158"/>
    <w:rsid w:val="00192179"/>
    <w:rsid w:val="00192DEF"/>
    <w:rsid w:val="00193506"/>
    <w:rsid w:val="001A1B37"/>
    <w:rsid w:val="001A1ED8"/>
    <w:rsid w:val="001A6C3E"/>
    <w:rsid w:val="001B0AE1"/>
    <w:rsid w:val="001B39B4"/>
    <w:rsid w:val="001B477D"/>
    <w:rsid w:val="001B530F"/>
    <w:rsid w:val="001B6664"/>
    <w:rsid w:val="001B7B98"/>
    <w:rsid w:val="001C43CD"/>
    <w:rsid w:val="001D20DE"/>
    <w:rsid w:val="001D3F91"/>
    <w:rsid w:val="001E44FD"/>
    <w:rsid w:val="001E4886"/>
    <w:rsid w:val="001F1ADA"/>
    <w:rsid w:val="001F33B9"/>
    <w:rsid w:val="0020037C"/>
    <w:rsid w:val="00214CA7"/>
    <w:rsid w:val="00222A14"/>
    <w:rsid w:val="00224E8F"/>
    <w:rsid w:val="00230CDE"/>
    <w:rsid w:val="002329BE"/>
    <w:rsid w:val="00233E27"/>
    <w:rsid w:val="002400BA"/>
    <w:rsid w:val="00240224"/>
    <w:rsid w:val="00240DD4"/>
    <w:rsid w:val="002419B7"/>
    <w:rsid w:val="00242447"/>
    <w:rsid w:val="00260B0E"/>
    <w:rsid w:val="00263CF5"/>
    <w:rsid w:val="002643F8"/>
    <w:rsid w:val="00280EFE"/>
    <w:rsid w:val="00291659"/>
    <w:rsid w:val="00292351"/>
    <w:rsid w:val="002930B3"/>
    <w:rsid w:val="002A037D"/>
    <w:rsid w:val="002A2C95"/>
    <w:rsid w:val="002B0923"/>
    <w:rsid w:val="002B4BAC"/>
    <w:rsid w:val="002C012B"/>
    <w:rsid w:val="002C0442"/>
    <w:rsid w:val="002C5C5D"/>
    <w:rsid w:val="002F3894"/>
    <w:rsid w:val="002F77DB"/>
    <w:rsid w:val="00307DFA"/>
    <w:rsid w:val="00307E3B"/>
    <w:rsid w:val="00313D6E"/>
    <w:rsid w:val="003167A7"/>
    <w:rsid w:val="0032121D"/>
    <w:rsid w:val="003273D9"/>
    <w:rsid w:val="003312A5"/>
    <w:rsid w:val="00335B10"/>
    <w:rsid w:val="00336FF6"/>
    <w:rsid w:val="00340108"/>
    <w:rsid w:val="00346374"/>
    <w:rsid w:val="00350672"/>
    <w:rsid w:val="003540CE"/>
    <w:rsid w:val="00355BB7"/>
    <w:rsid w:val="00364E23"/>
    <w:rsid w:val="00367C00"/>
    <w:rsid w:val="00367C7A"/>
    <w:rsid w:val="00376DB9"/>
    <w:rsid w:val="00380751"/>
    <w:rsid w:val="00385440"/>
    <w:rsid w:val="00397131"/>
    <w:rsid w:val="003A2D01"/>
    <w:rsid w:val="003A6C84"/>
    <w:rsid w:val="003C0722"/>
    <w:rsid w:val="003C40A2"/>
    <w:rsid w:val="003C5BA0"/>
    <w:rsid w:val="003C7096"/>
    <w:rsid w:val="003E0A69"/>
    <w:rsid w:val="003E37A9"/>
    <w:rsid w:val="003E42E3"/>
    <w:rsid w:val="003E5A28"/>
    <w:rsid w:val="003E62E7"/>
    <w:rsid w:val="003F225D"/>
    <w:rsid w:val="003F68D8"/>
    <w:rsid w:val="00401EEE"/>
    <w:rsid w:val="0042149E"/>
    <w:rsid w:val="00422FFD"/>
    <w:rsid w:val="00425057"/>
    <w:rsid w:val="00427850"/>
    <w:rsid w:val="00432930"/>
    <w:rsid w:val="00435991"/>
    <w:rsid w:val="00441C00"/>
    <w:rsid w:val="004428E0"/>
    <w:rsid w:val="004430B4"/>
    <w:rsid w:val="004435A1"/>
    <w:rsid w:val="00444734"/>
    <w:rsid w:val="004448FD"/>
    <w:rsid w:val="0044684F"/>
    <w:rsid w:val="0045098B"/>
    <w:rsid w:val="004528B3"/>
    <w:rsid w:val="00453868"/>
    <w:rsid w:val="004542AE"/>
    <w:rsid w:val="0045454A"/>
    <w:rsid w:val="004551F5"/>
    <w:rsid w:val="00465516"/>
    <w:rsid w:val="00465A67"/>
    <w:rsid w:val="0047029C"/>
    <w:rsid w:val="0047279F"/>
    <w:rsid w:val="0047313F"/>
    <w:rsid w:val="00485770"/>
    <w:rsid w:val="00487A5A"/>
    <w:rsid w:val="004909FD"/>
    <w:rsid w:val="00491F5F"/>
    <w:rsid w:val="004968AB"/>
    <w:rsid w:val="00496B1A"/>
    <w:rsid w:val="004A0D45"/>
    <w:rsid w:val="004A1769"/>
    <w:rsid w:val="004A41B6"/>
    <w:rsid w:val="004B1428"/>
    <w:rsid w:val="004B72EF"/>
    <w:rsid w:val="004C5C61"/>
    <w:rsid w:val="004F248D"/>
    <w:rsid w:val="004F775D"/>
    <w:rsid w:val="004F7F1F"/>
    <w:rsid w:val="00510930"/>
    <w:rsid w:val="00512898"/>
    <w:rsid w:val="00516206"/>
    <w:rsid w:val="0051776B"/>
    <w:rsid w:val="005271A4"/>
    <w:rsid w:val="0054139E"/>
    <w:rsid w:val="005476C5"/>
    <w:rsid w:val="00550DAD"/>
    <w:rsid w:val="00551EA0"/>
    <w:rsid w:val="00562BF3"/>
    <w:rsid w:val="005660DF"/>
    <w:rsid w:val="0057067A"/>
    <w:rsid w:val="00573DFD"/>
    <w:rsid w:val="00574446"/>
    <w:rsid w:val="00580265"/>
    <w:rsid w:val="00582599"/>
    <w:rsid w:val="00592870"/>
    <w:rsid w:val="00593275"/>
    <w:rsid w:val="005A45DD"/>
    <w:rsid w:val="005B1228"/>
    <w:rsid w:val="005B45BE"/>
    <w:rsid w:val="005C2033"/>
    <w:rsid w:val="005C32D1"/>
    <w:rsid w:val="005C4FBD"/>
    <w:rsid w:val="005D07B2"/>
    <w:rsid w:val="005E1E5A"/>
    <w:rsid w:val="005E3450"/>
    <w:rsid w:val="005E3C05"/>
    <w:rsid w:val="005F6E09"/>
    <w:rsid w:val="00600494"/>
    <w:rsid w:val="00603965"/>
    <w:rsid w:val="00603BD0"/>
    <w:rsid w:val="0060619D"/>
    <w:rsid w:val="00613D78"/>
    <w:rsid w:val="0061575E"/>
    <w:rsid w:val="006207C4"/>
    <w:rsid w:val="00622F12"/>
    <w:rsid w:val="00626BE8"/>
    <w:rsid w:val="006310CE"/>
    <w:rsid w:val="0063379A"/>
    <w:rsid w:val="00637DC3"/>
    <w:rsid w:val="00644267"/>
    <w:rsid w:val="0064533C"/>
    <w:rsid w:val="00647A73"/>
    <w:rsid w:val="00650237"/>
    <w:rsid w:val="0065316D"/>
    <w:rsid w:val="006617FC"/>
    <w:rsid w:val="00665E70"/>
    <w:rsid w:val="006671D6"/>
    <w:rsid w:val="006707F5"/>
    <w:rsid w:val="00670B65"/>
    <w:rsid w:val="00677081"/>
    <w:rsid w:val="0067778E"/>
    <w:rsid w:val="0068111E"/>
    <w:rsid w:val="00685A36"/>
    <w:rsid w:val="006A0B72"/>
    <w:rsid w:val="006A2E02"/>
    <w:rsid w:val="006A5C82"/>
    <w:rsid w:val="006B0361"/>
    <w:rsid w:val="006B046F"/>
    <w:rsid w:val="006B0AB9"/>
    <w:rsid w:val="006B61BB"/>
    <w:rsid w:val="006C7E5A"/>
    <w:rsid w:val="006E0B5A"/>
    <w:rsid w:val="006E76A2"/>
    <w:rsid w:val="007039B2"/>
    <w:rsid w:val="0070568B"/>
    <w:rsid w:val="007136A2"/>
    <w:rsid w:val="00713992"/>
    <w:rsid w:val="00713CC4"/>
    <w:rsid w:val="007154D8"/>
    <w:rsid w:val="007220A5"/>
    <w:rsid w:val="007231FF"/>
    <w:rsid w:val="00724DCC"/>
    <w:rsid w:val="007263C1"/>
    <w:rsid w:val="00734677"/>
    <w:rsid w:val="00743A35"/>
    <w:rsid w:val="00744EEE"/>
    <w:rsid w:val="0075319E"/>
    <w:rsid w:val="00761283"/>
    <w:rsid w:val="0076427F"/>
    <w:rsid w:val="0077249D"/>
    <w:rsid w:val="00775B7D"/>
    <w:rsid w:val="00780A9C"/>
    <w:rsid w:val="00786F10"/>
    <w:rsid w:val="00787E7B"/>
    <w:rsid w:val="00795132"/>
    <w:rsid w:val="00795C61"/>
    <w:rsid w:val="00796032"/>
    <w:rsid w:val="007A20A3"/>
    <w:rsid w:val="007A5856"/>
    <w:rsid w:val="007A5965"/>
    <w:rsid w:val="007A7F72"/>
    <w:rsid w:val="007C4F3B"/>
    <w:rsid w:val="007D0650"/>
    <w:rsid w:val="007D0D92"/>
    <w:rsid w:val="007D5AD1"/>
    <w:rsid w:val="007D6F37"/>
    <w:rsid w:val="007E25D4"/>
    <w:rsid w:val="007F4620"/>
    <w:rsid w:val="007F68D9"/>
    <w:rsid w:val="007F6C18"/>
    <w:rsid w:val="00802E86"/>
    <w:rsid w:val="0080560E"/>
    <w:rsid w:val="00805BAE"/>
    <w:rsid w:val="00820D9A"/>
    <w:rsid w:val="008313EA"/>
    <w:rsid w:val="00832B15"/>
    <w:rsid w:val="00832C42"/>
    <w:rsid w:val="0083667B"/>
    <w:rsid w:val="008429B0"/>
    <w:rsid w:val="00847439"/>
    <w:rsid w:val="0085229D"/>
    <w:rsid w:val="00853BBD"/>
    <w:rsid w:val="00854A92"/>
    <w:rsid w:val="00855E4B"/>
    <w:rsid w:val="00872F38"/>
    <w:rsid w:val="00873327"/>
    <w:rsid w:val="0087659B"/>
    <w:rsid w:val="008822A9"/>
    <w:rsid w:val="008A34D3"/>
    <w:rsid w:val="008C31C7"/>
    <w:rsid w:val="008C4ACB"/>
    <w:rsid w:val="008C5FD6"/>
    <w:rsid w:val="008E0807"/>
    <w:rsid w:val="008E3D06"/>
    <w:rsid w:val="008E7653"/>
    <w:rsid w:val="008F1E01"/>
    <w:rsid w:val="008F2E46"/>
    <w:rsid w:val="008F34AD"/>
    <w:rsid w:val="008F6104"/>
    <w:rsid w:val="0090772C"/>
    <w:rsid w:val="00912145"/>
    <w:rsid w:val="009144D3"/>
    <w:rsid w:val="0091507B"/>
    <w:rsid w:val="0091524A"/>
    <w:rsid w:val="0092114A"/>
    <w:rsid w:val="0092163C"/>
    <w:rsid w:val="0092227D"/>
    <w:rsid w:val="00936EAF"/>
    <w:rsid w:val="00941AC2"/>
    <w:rsid w:val="00942CD2"/>
    <w:rsid w:val="009459BC"/>
    <w:rsid w:val="009518E5"/>
    <w:rsid w:val="0095476B"/>
    <w:rsid w:val="00954D16"/>
    <w:rsid w:val="009571E8"/>
    <w:rsid w:val="009648E9"/>
    <w:rsid w:val="00964CC0"/>
    <w:rsid w:val="00973B94"/>
    <w:rsid w:val="009824B7"/>
    <w:rsid w:val="00984BB7"/>
    <w:rsid w:val="00986930"/>
    <w:rsid w:val="00991E21"/>
    <w:rsid w:val="009948F4"/>
    <w:rsid w:val="009A171B"/>
    <w:rsid w:val="009A4DEE"/>
    <w:rsid w:val="009B3A16"/>
    <w:rsid w:val="009B75DD"/>
    <w:rsid w:val="009C4DDE"/>
    <w:rsid w:val="009C6AD6"/>
    <w:rsid w:val="009C6E4D"/>
    <w:rsid w:val="009D48C8"/>
    <w:rsid w:val="009E06AB"/>
    <w:rsid w:val="009E0D0B"/>
    <w:rsid w:val="009E67A2"/>
    <w:rsid w:val="009F10B5"/>
    <w:rsid w:val="009F470F"/>
    <w:rsid w:val="009F4730"/>
    <w:rsid w:val="009F5377"/>
    <w:rsid w:val="00A04E80"/>
    <w:rsid w:val="00A0776E"/>
    <w:rsid w:val="00A24EB7"/>
    <w:rsid w:val="00A25B6B"/>
    <w:rsid w:val="00A2621B"/>
    <w:rsid w:val="00A30A00"/>
    <w:rsid w:val="00A31960"/>
    <w:rsid w:val="00A34F43"/>
    <w:rsid w:val="00A374CB"/>
    <w:rsid w:val="00A41819"/>
    <w:rsid w:val="00A444C0"/>
    <w:rsid w:val="00A45DCC"/>
    <w:rsid w:val="00A50B8A"/>
    <w:rsid w:val="00A53F3C"/>
    <w:rsid w:val="00A5507F"/>
    <w:rsid w:val="00A600F0"/>
    <w:rsid w:val="00A62DE6"/>
    <w:rsid w:val="00A65174"/>
    <w:rsid w:val="00A6709E"/>
    <w:rsid w:val="00A71EAB"/>
    <w:rsid w:val="00A732A0"/>
    <w:rsid w:val="00A7447E"/>
    <w:rsid w:val="00A74FD8"/>
    <w:rsid w:val="00A771DB"/>
    <w:rsid w:val="00A853DF"/>
    <w:rsid w:val="00A875CA"/>
    <w:rsid w:val="00A90D1C"/>
    <w:rsid w:val="00AA1A70"/>
    <w:rsid w:val="00AA48F2"/>
    <w:rsid w:val="00AB0895"/>
    <w:rsid w:val="00AB242F"/>
    <w:rsid w:val="00AB46BE"/>
    <w:rsid w:val="00AC63BA"/>
    <w:rsid w:val="00AC668A"/>
    <w:rsid w:val="00AD1594"/>
    <w:rsid w:val="00AD248C"/>
    <w:rsid w:val="00AD26B6"/>
    <w:rsid w:val="00AD6FAE"/>
    <w:rsid w:val="00AE2568"/>
    <w:rsid w:val="00AE5BD7"/>
    <w:rsid w:val="00AF1B70"/>
    <w:rsid w:val="00AF5B64"/>
    <w:rsid w:val="00B00986"/>
    <w:rsid w:val="00B1091F"/>
    <w:rsid w:val="00B16EDB"/>
    <w:rsid w:val="00B24F71"/>
    <w:rsid w:val="00B36FF4"/>
    <w:rsid w:val="00B44B87"/>
    <w:rsid w:val="00B62EC5"/>
    <w:rsid w:val="00B640B4"/>
    <w:rsid w:val="00B6553D"/>
    <w:rsid w:val="00B67C71"/>
    <w:rsid w:val="00B711CE"/>
    <w:rsid w:val="00B73A1A"/>
    <w:rsid w:val="00B75727"/>
    <w:rsid w:val="00B758C5"/>
    <w:rsid w:val="00B818C1"/>
    <w:rsid w:val="00B83B74"/>
    <w:rsid w:val="00B904A1"/>
    <w:rsid w:val="00B923BF"/>
    <w:rsid w:val="00B96E71"/>
    <w:rsid w:val="00BA2311"/>
    <w:rsid w:val="00BA53AC"/>
    <w:rsid w:val="00BA5760"/>
    <w:rsid w:val="00BA59E4"/>
    <w:rsid w:val="00BA6EB9"/>
    <w:rsid w:val="00BB35A6"/>
    <w:rsid w:val="00BB6653"/>
    <w:rsid w:val="00BC3FD4"/>
    <w:rsid w:val="00BC6941"/>
    <w:rsid w:val="00BE185A"/>
    <w:rsid w:val="00BE7EB1"/>
    <w:rsid w:val="00BF46DC"/>
    <w:rsid w:val="00BF66C9"/>
    <w:rsid w:val="00BF6B6D"/>
    <w:rsid w:val="00C058F9"/>
    <w:rsid w:val="00C15415"/>
    <w:rsid w:val="00C16D62"/>
    <w:rsid w:val="00C2084E"/>
    <w:rsid w:val="00C23D2C"/>
    <w:rsid w:val="00C26692"/>
    <w:rsid w:val="00C419D9"/>
    <w:rsid w:val="00C44102"/>
    <w:rsid w:val="00C56BB6"/>
    <w:rsid w:val="00C60DB4"/>
    <w:rsid w:val="00C61B5C"/>
    <w:rsid w:val="00C64312"/>
    <w:rsid w:val="00C73AA7"/>
    <w:rsid w:val="00C84ADA"/>
    <w:rsid w:val="00C85047"/>
    <w:rsid w:val="00C855F1"/>
    <w:rsid w:val="00C87BC5"/>
    <w:rsid w:val="00C968CC"/>
    <w:rsid w:val="00CA2EB5"/>
    <w:rsid w:val="00CB1904"/>
    <w:rsid w:val="00CB493B"/>
    <w:rsid w:val="00CB7DA7"/>
    <w:rsid w:val="00CC7408"/>
    <w:rsid w:val="00CC7FA9"/>
    <w:rsid w:val="00CE33CC"/>
    <w:rsid w:val="00CE4DAD"/>
    <w:rsid w:val="00CE5498"/>
    <w:rsid w:val="00CF1342"/>
    <w:rsid w:val="00D11144"/>
    <w:rsid w:val="00D12A3C"/>
    <w:rsid w:val="00D14A41"/>
    <w:rsid w:val="00D17017"/>
    <w:rsid w:val="00D22149"/>
    <w:rsid w:val="00D23F54"/>
    <w:rsid w:val="00D27CAD"/>
    <w:rsid w:val="00D33909"/>
    <w:rsid w:val="00D346EF"/>
    <w:rsid w:val="00D4429A"/>
    <w:rsid w:val="00D51692"/>
    <w:rsid w:val="00D62964"/>
    <w:rsid w:val="00D75242"/>
    <w:rsid w:val="00D776CE"/>
    <w:rsid w:val="00D82B97"/>
    <w:rsid w:val="00D83FAC"/>
    <w:rsid w:val="00D84617"/>
    <w:rsid w:val="00D85100"/>
    <w:rsid w:val="00D85D36"/>
    <w:rsid w:val="00D868D7"/>
    <w:rsid w:val="00D901AC"/>
    <w:rsid w:val="00D9276E"/>
    <w:rsid w:val="00D955E8"/>
    <w:rsid w:val="00D9707A"/>
    <w:rsid w:val="00DA2B25"/>
    <w:rsid w:val="00DA49CC"/>
    <w:rsid w:val="00DA540F"/>
    <w:rsid w:val="00DB18A3"/>
    <w:rsid w:val="00DB4480"/>
    <w:rsid w:val="00DC3E6B"/>
    <w:rsid w:val="00DC6846"/>
    <w:rsid w:val="00DD09FC"/>
    <w:rsid w:val="00DD29FD"/>
    <w:rsid w:val="00DD61B5"/>
    <w:rsid w:val="00DD6DA7"/>
    <w:rsid w:val="00DE0679"/>
    <w:rsid w:val="00DE6078"/>
    <w:rsid w:val="00E03414"/>
    <w:rsid w:val="00E10A28"/>
    <w:rsid w:val="00E12E0B"/>
    <w:rsid w:val="00E13218"/>
    <w:rsid w:val="00E14C76"/>
    <w:rsid w:val="00E1583F"/>
    <w:rsid w:val="00E15C5A"/>
    <w:rsid w:val="00E23774"/>
    <w:rsid w:val="00E24E97"/>
    <w:rsid w:val="00E25F9C"/>
    <w:rsid w:val="00E26938"/>
    <w:rsid w:val="00E325E7"/>
    <w:rsid w:val="00E334B5"/>
    <w:rsid w:val="00E34B3A"/>
    <w:rsid w:val="00E36A77"/>
    <w:rsid w:val="00E42BC3"/>
    <w:rsid w:val="00E43F48"/>
    <w:rsid w:val="00E46422"/>
    <w:rsid w:val="00E50E08"/>
    <w:rsid w:val="00E549EB"/>
    <w:rsid w:val="00E576DD"/>
    <w:rsid w:val="00E6054F"/>
    <w:rsid w:val="00E65B9C"/>
    <w:rsid w:val="00E74EFB"/>
    <w:rsid w:val="00E823D3"/>
    <w:rsid w:val="00E84C35"/>
    <w:rsid w:val="00E96CC2"/>
    <w:rsid w:val="00E96FA4"/>
    <w:rsid w:val="00EA01EA"/>
    <w:rsid w:val="00EA36FF"/>
    <w:rsid w:val="00EA6DB6"/>
    <w:rsid w:val="00EA7925"/>
    <w:rsid w:val="00EB1764"/>
    <w:rsid w:val="00EB198D"/>
    <w:rsid w:val="00EB2E4D"/>
    <w:rsid w:val="00EB55B0"/>
    <w:rsid w:val="00EC0A56"/>
    <w:rsid w:val="00EE1B68"/>
    <w:rsid w:val="00EE5438"/>
    <w:rsid w:val="00EE798C"/>
    <w:rsid w:val="00EF426A"/>
    <w:rsid w:val="00EF54D2"/>
    <w:rsid w:val="00EF56EA"/>
    <w:rsid w:val="00EF6384"/>
    <w:rsid w:val="00F01038"/>
    <w:rsid w:val="00F01DAA"/>
    <w:rsid w:val="00F11C29"/>
    <w:rsid w:val="00F12D8C"/>
    <w:rsid w:val="00F16052"/>
    <w:rsid w:val="00F161B2"/>
    <w:rsid w:val="00F21159"/>
    <w:rsid w:val="00F228D7"/>
    <w:rsid w:val="00F24C13"/>
    <w:rsid w:val="00F24F5B"/>
    <w:rsid w:val="00F254DD"/>
    <w:rsid w:val="00F32960"/>
    <w:rsid w:val="00F34554"/>
    <w:rsid w:val="00F35925"/>
    <w:rsid w:val="00F50D29"/>
    <w:rsid w:val="00F51304"/>
    <w:rsid w:val="00F60122"/>
    <w:rsid w:val="00F6133B"/>
    <w:rsid w:val="00F67F62"/>
    <w:rsid w:val="00F75038"/>
    <w:rsid w:val="00F82DD1"/>
    <w:rsid w:val="00F83AA9"/>
    <w:rsid w:val="00F915DB"/>
    <w:rsid w:val="00F9437F"/>
    <w:rsid w:val="00FA3017"/>
    <w:rsid w:val="00FA35E9"/>
    <w:rsid w:val="00FA475B"/>
    <w:rsid w:val="00FA7AA3"/>
    <w:rsid w:val="00FB124C"/>
    <w:rsid w:val="00FB41F7"/>
    <w:rsid w:val="00FB5F47"/>
    <w:rsid w:val="00FC18C4"/>
    <w:rsid w:val="00FD05BE"/>
    <w:rsid w:val="00FD4B17"/>
    <w:rsid w:val="00FE1AC3"/>
    <w:rsid w:val="00FE4D68"/>
    <w:rsid w:val="00FE5E8E"/>
    <w:rsid w:val="00FE69A5"/>
    <w:rsid w:val="00FF0419"/>
    <w:rsid w:val="00FF0D58"/>
    <w:rsid w:val="00FF3091"/>
    <w:rsid w:val="00FF7C2D"/>
    <w:rsid w:val="075616A8"/>
    <w:rsid w:val="0ED75ADA"/>
    <w:rsid w:val="0FB37B2A"/>
    <w:rsid w:val="1DC9196F"/>
    <w:rsid w:val="29CD3CA3"/>
    <w:rsid w:val="34141DBF"/>
    <w:rsid w:val="4DBA00CD"/>
    <w:rsid w:val="639A6D1D"/>
    <w:rsid w:val="76DA248A"/>
    <w:rsid w:val="7C3915A8"/>
    <w:rsid w:val="7F52341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unhideWhenUsed/>
    <w:qFormat/>
    <w:uiPriority w:val="9"/>
    <w:pPr>
      <w:keepNext/>
      <w:keepLines/>
      <w:spacing w:before="260" w:after="260" w:line="415" w:lineRule="auto"/>
      <w:outlineLvl w:val="1"/>
    </w:pPr>
    <w:rPr>
      <w:rFonts w:eastAsia="仿宋_GB2312" w:asciiTheme="majorHAnsi" w:hAnsiTheme="majorHAnsi" w:cstheme="majorBidi"/>
      <w:b/>
      <w:bCs/>
      <w:szCs w:val="32"/>
    </w:rPr>
  </w:style>
  <w:style w:type="paragraph" w:styleId="4">
    <w:name w:val="heading 3"/>
    <w:basedOn w:val="1"/>
    <w:next w:val="1"/>
    <w:link w:val="32"/>
    <w:unhideWhenUsed/>
    <w:qFormat/>
    <w:uiPriority w:val="9"/>
    <w:pPr>
      <w:keepNext/>
      <w:keepLines/>
      <w:spacing w:before="260" w:after="260" w:line="415" w:lineRule="auto"/>
      <w:ind w:firstLine="200" w:firstLineChars="200"/>
      <w:outlineLvl w:val="2"/>
    </w:pPr>
    <w:rPr>
      <w:rFonts w:eastAsia="仿宋_GB2312"/>
      <w:b/>
      <w:bCs/>
      <w:szCs w:val="32"/>
    </w:rPr>
  </w:style>
  <w:style w:type="paragraph" w:styleId="5">
    <w:name w:val="heading 4"/>
    <w:basedOn w:val="1"/>
    <w:next w:val="1"/>
    <w:link w:val="3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200"/>
      <w:jc w:val="left"/>
    </w:pPr>
    <w:rPr>
      <w:rFonts w:eastAsiaTheme="minorHAnsi"/>
      <w:sz w:val="20"/>
      <w:szCs w:val="20"/>
    </w:rPr>
  </w:style>
  <w:style w:type="paragraph" w:styleId="7">
    <w:name w:val="annotation text"/>
    <w:basedOn w:val="1"/>
    <w:link w:val="40"/>
    <w:unhideWhenUsed/>
    <w:qFormat/>
    <w:uiPriority w:val="99"/>
    <w:pPr>
      <w:jc w:val="left"/>
    </w:pPr>
  </w:style>
  <w:style w:type="paragraph" w:styleId="8">
    <w:name w:val="Body Text"/>
    <w:basedOn w:val="1"/>
    <w:link w:val="44"/>
    <w:qFormat/>
    <w:uiPriority w:val="0"/>
    <w:pPr>
      <w:widowControl/>
      <w:spacing w:after="240" w:line="260" w:lineRule="exact"/>
      <w:jc w:val="left"/>
    </w:pPr>
    <w:rPr>
      <w:rFonts w:ascii="Times New Roman" w:hAnsi="Times New Roman" w:eastAsia="宋体" w:cs="Times New Roman"/>
      <w:kern w:val="0"/>
      <w:sz w:val="22"/>
      <w:szCs w:val="20"/>
      <w:lang w:eastAsia="en-US"/>
    </w:rPr>
  </w:style>
  <w:style w:type="paragraph" w:styleId="9">
    <w:name w:val="toc 5"/>
    <w:basedOn w:val="1"/>
    <w:next w:val="1"/>
    <w:autoRedefine/>
    <w:unhideWhenUsed/>
    <w:qFormat/>
    <w:uiPriority w:val="39"/>
    <w:pPr>
      <w:ind w:left="720"/>
      <w:jc w:val="left"/>
    </w:pPr>
    <w:rPr>
      <w:rFonts w:eastAsiaTheme="minorHAnsi"/>
      <w:sz w:val="20"/>
      <w:szCs w:val="20"/>
    </w:rPr>
  </w:style>
  <w:style w:type="paragraph" w:styleId="10">
    <w:name w:val="toc 3"/>
    <w:basedOn w:val="1"/>
    <w:next w:val="1"/>
    <w:autoRedefine/>
    <w:unhideWhenUsed/>
    <w:qFormat/>
    <w:uiPriority w:val="39"/>
    <w:pPr>
      <w:ind w:left="240"/>
      <w:jc w:val="left"/>
    </w:pPr>
    <w:rPr>
      <w:rFonts w:eastAsiaTheme="minorHAnsi"/>
      <w:sz w:val="20"/>
      <w:szCs w:val="20"/>
    </w:rPr>
  </w:style>
  <w:style w:type="paragraph" w:styleId="11">
    <w:name w:val="toc 8"/>
    <w:basedOn w:val="1"/>
    <w:next w:val="1"/>
    <w:autoRedefine/>
    <w:unhideWhenUsed/>
    <w:qFormat/>
    <w:uiPriority w:val="39"/>
    <w:pPr>
      <w:ind w:left="1440"/>
      <w:jc w:val="left"/>
    </w:pPr>
    <w:rPr>
      <w:rFonts w:eastAsiaTheme="minorHAnsi"/>
      <w:sz w:val="20"/>
      <w:szCs w:val="20"/>
    </w:rPr>
  </w:style>
  <w:style w:type="paragraph" w:styleId="12">
    <w:name w:val="Balloon Text"/>
    <w:basedOn w:val="1"/>
    <w:link w:val="33"/>
    <w:semiHidden/>
    <w:unhideWhenUsed/>
    <w:qFormat/>
    <w:uiPriority w:val="99"/>
    <w:rPr>
      <w:sz w:val="18"/>
      <w:szCs w:val="18"/>
    </w:rPr>
  </w:style>
  <w:style w:type="paragraph" w:styleId="13">
    <w:name w:val="footer"/>
    <w:basedOn w:val="1"/>
    <w:link w:val="39"/>
    <w:unhideWhenUsed/>
    <w:qFormat/>
    <w:uiPriority w:val="99"/>
    <w:pPr>
      <w:tabs>
        <w:tab w:val="center" w:pos="4153"/>
        <w:tab w:val="right" w:pos="8306"/>
      </w:tabs>
      <w:snapToGrid w:val="0"/>
      <w:jc w:val="left"/>
    </w:pPr>
    <w:rPr>
      <w:sz w:val="18"/>
      <w:szCs w:val="18"/>
    </w:rPr>
  </w:style>
  <w:style w:type="paragraph" w:styleId="14">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spacing w:before="360"/>
      <w:jc w:val="left"/>
    </w:pPr>
    <w:rPr>
      <w:rFonts w:asciiTheme="majorHAnsi" w:eastAsiaTheme="majorHAnsi"/>
      <w:b/>
      <w:bCs/>
      <w:caps/>
    </w:rPr>
  </w:style>
  <w:style w:type="paragraph" w:styleId="16">
    <w:name w:val="toc 4"/>
    <w:basedOn w:val="1"/>
    <w:next w:val="1"/>
    <w:autoRedefine/>
    <w:unhideWhenUsed/>
    <w:qFormat/>
    <w:uiPriority w:val="39"/>
    <w:pPr>
      <w:ind w:left="480"/>
      <w:jc w:val="left"/>
    </w:pPr>
    <w:rPr>
      <w:rFonts w:eastAsiaTheme="minorHAnsi"/>
      <w:sz w:val="20"/>
      <w:szCs w:val="20"/>
    </w:rPr>
  </w:style>
  <w:style w:type="paragraph" w:styleId="17">
    <w:name w:val="toc 6"/>
    <w:basedOn w:val="1"/>
    <w:next w:val="1"/>
    <w:autoRedefine/>
    <w:unhideWhenUsed/>
    <w:qFormat/>
    <w:uiPriority w:val="39"/>
    <w:pPr>
      <w:ind w:left="960"/>
      <w:jc w:val="left"/>
    </w:pPr>
    <w:rPr>
      <w:rFonts w:eastAsiaTheme="minorHAnsi"/>
      <w:sz w:val="20"/>
      <w:szCs w:val="20"/>
    </w:rPr>
  </w:style>
  <w:style w:type="paragraph" w:styleId="18">
    <w:name w:val="toc 2"/>
    <w:basedOn w:val="1"/>
    <w:next w:val="1"/>
    <w:autoRedefine/>
    <w:unhideWhenUsed/>
    <w:qFormat/>
    <w:uiPriority w:val="39"/>
    <w:pPr>
      <w:spacing w:before="240"/>
      <w:jc w:val="left"/>
    </w:pPr>
    <w:rPr>
      <w:rFonts w:eastAsiaTheme="minorHAnsi"/>
      <w:b/>
      <w:bCs/>
      <w:sz w:val="20"/>
      <w:szCs w:val="20"/>
    </w:rPr>
  </w:style>
  <w:style w:type="paragraph" w:styleId="19">
    <w:name w:val="toc 9"/>
    <w:basedOn w:val="1"/>
    <w:next w:val="1"/>
    <w:autoRedefine/>
    <w:unhideWhenUsed/>
    <w:qFormat/>
    <w:uiPriority w:val="39"/>
    <w:pPr>
      <w:ind w:left="1680"/>
      <w:jc w:val="left"/>
    </w:pPr>
    <w:rPr>
      <w:rFonts w:eastAsiaTheme="minorHAnsi"/>
      <w:sz w:val="20"/>
      <w:szCs w:val="20"/>
    </w:rPr>
  </w:style>
  <w:style w:type="paragraph" w:styleId="20">
    <w:name w:val="Normal (Web)"/>
    <w:basedOn w:val="1"/>
    <w:semiHidden/>
    <w:unhideWhenUsed/>
    <w:qFormat/>
    <w:uiPriority w:val="99"/>
    <w:pPr>
      <w:widowControl/>
      <w:spacing w:before="100" w:beforeAutospacing="1" w:after="100" w:afterAutospacing="1"/>
      <w:jc w:val="left"/>
    </w:pPr>
    <w:rPr>
      <w:rFonts w:ascii="宋体" w:hAnsi="宋体" w:eastAsia="宋体" w:cs="宋体"/>
      <w:kern w:val="0"/>
    </w:rPr>
  </w:style>
  <w:style w:type="paragraph" w:styleId="21">
    <w:name w:val="annotation subject"/>
    <w:basedOn w:val="7"/>
    <w:next w:val="7"/>
    <w:link w:val="41"/>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paragraph" w:styleId="27">
    <w:name w:val="No Spacing"/>
    <w:link w:val="28"/>
    <w:qFormat/>
    <w:uiPriority w:val="1"/>
    <w:rPr>
      <w:rFonts w:eastAsia="Microsoft YaHei UI" w:asciiTheme="minorHAnsi" w:hAnsiTheme="minorHAnsi" w:cstheme="minorBidi"/>
      <w:kern w:val="0"/>
      <w:sz w:val="22"/>
      <w:szCs w:val="22"/>
      <w:lang w:val="en-US" w:eastAsia="zh-CN" w:bidi="ar-SA"/>
    </w:rPr>
  </w:style>
  <w:style w:type="character" w:customStyle="1" w:styleId="28">
    <w:name w:val="无间隔 字符"/>
    <w:basedOn w:val="24"/>
    <w:link w:val="27"/>
    <w:qFormat/>
    <w:uiPriority w:val="1"/>
    <w:rPr>
      <w:rFonts w:eastAsia="Microsoft YaHei UI"/>
      <w:kern w:val="0"/>
      <w:sz w:val="22"/>
      <w:szCs w:val="22"/>
    </w:rPr>
  </w:style>
  <w:style w:type="paragraph" w:styleId="29">
    <w:name w:val="List Paragraph"/>
    <w:basedOn w:val="1"/>
    <w:qFormat/>
    <w:uiPriority w:val="34"/>
    <w:pPr>
      <w:ind w:firstLine="420" w:firstLineChars="200"/>
    </w:pPr>
  </w:style>
  <w:style w:type="character" w:customStyle="1" w:styleId="30">
    <w:name w:val="标题 1 字符"/>
    <w:basedOn w:val="24"/>
    <w:link w:val="2"/>
    <w:qFormat/>
    <w:uiPriority w:val="9"/>
    <w:rPr>
      <w:b/>
      <w:bCs/>
      <w:kern w:val="44"/>
      <w:sz w:val="44"/>
      <w:szCs w:val="44"/>
    </w:rPr>
  </w:style>
  <w:style w:type="character" w:customStyle="1" w:styleId="31">
    <w:name w:val="标题 2 字符"/>
    <w:basedOn w:val="24"/>
    <w:link w:val="3"/>
    <w:qFormat/>
    <w:uiPriority w:val="9"/>
    <w:rPr>
      <w:rFonts w:eastAsia="仿宋_GB2312" w:asciiTheme="majorHAnsi" w:hAnsiTheme="majorHAnsi" w:cstheme="majorBidi"/>
      <w:b/>
      <w:bCs/>
      <w:szCs w:val="32"/>
    </w:rPr>
  </w:style>
  <w:style w:type="character" w:customStyle="1" w:styleId="32">
    <w:name w:val="标题 3 字符"/>
    <w:basedOn w:val="24"/>
    <w:link w:val="4"/>
    <w:qFormat/>
    <w:uiPriority w:val="9"/>
    <w:rPr>
      <w:rFonts w:eastAsia="仿宋_GB2312"/>
      <w:b/>
      <w:bCs/>
      <w:szCs w:val="32"/>
    </w:rPr>
  </w:style>
  <w:style w:type="character" w:customStyle="1" w:styleId="33">
    <w:name w:val="批注框文本 字符"/>
    <w:basedOn w:val="24"/>
    <w:link w:val="12"/>
    <w:semiHidden/>
    <w:qFormat/>
    <w:uiPriority w:val="99"/>
    <w:rPr>
      <w:sz w:val="18"/>
      <w:szCs w:val="18"/>
    </w:rPr>
  </w:style>
  <w:style w:type="table" w:customStyle="1" w:styleId="34">
    <w:name w:val="网格表 4 - 着色 11"/>
    <w:basedOn w:val="22"/>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3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character" w:customStyle="1" w:styleId="36">
    <w:name w:val="标题 4 字符"/>
    <w:basedOn w:val="24"/>
    <w:link w:val="5"/>
    <w:qFormat/>
    <w:uiPriority w:val="9"/>
    <w:rPr>
      <w:rFonts w:asciiTheme="majorHAnsi" w:hAnsiTheme="majorHAnsi" w:eastAsiaTheme="majorEastAsia" w:cstheme="majorBidi"/>
      <w:b/>
      <w:bCs/>
      <w:sz w:val="28"/>
      <w:szCs w:val="28"/>
    </w:rPr>
  </w:style>
  <w:style w:type="paragraph" w:customStyle="1" w:styleId="37">
    <w:name w:val="Default"/>
    <w:qFormat/>
    <w:uiPriority w:val="0"/>
    <w:pPr>
      <w:widowControl w:val="0"/>
      <w:autoSpaceDE w:val="0"/>
      <w:autoSpaceDN w:val="0"/>
      <w:adjustRightInd w:val="0"/>
    </w:pPr>
    <w:rPr>
      <w:rFonts w:ascii="华文楷体" w:eastAsia="华文楷体" w:cs="华文楷体" w:hAnsiTheme="minorHAnsi"/>
      <w:color w:val="000000"/>
      <w:kern w:val="0"/>
      <w:sz w:val="24"/>
      <w:szCs w:val="24"/>
      <w:lang w:val="en-US" w:eastAsia="zh-CN" w:bidi="ar-SA"/>
    </w:rPr>
  </w:style>
  <w:style w:type="character" w:customStyle="1" w:styleId="38">
    <w:name w:val="页眉 字符"/>
    <w:basedOn w:val="24"/>
    <w:link w:val="14"/>
    <w:qFormat/>
    <w:uiPriority w:val="99"/>
    <w:rPr>
      <w:sz w:val="18"/>
      <w:szCs w:val="18"/>
    </w:rPr>
  </w:style>
  <w:style w:type="character" w:customStyle="1" w:styleId="39">
    <w:name w:val="页脚 字符"/>
    <w:basedOn w:val="24"/>
    <w:link w:val="13"/>
    <w:qFormat/>
    <w:uiPriority w:val="99"/>
    <w:rPr>
      <w:sz w:val="18"/>
      <w:szCs w:val="18"/>
    </w:rPr>
  </w:style>
  <w:style w:type="character" w:customStyle="1" w:styleId="40">
    <w:name w:val="批注文字 字符"/>
    <w:basedOn w:val="24"/>
    <w:link w:val="7"/>
    <w:qFormat/>
    <w:uiPriority w:val="99"/>
  </w:style>
  <w:style w:type="character" w:customStyle="1" w:styleId="41">
    <w:name w:val="批注主题 字符"/>
    <w:basedOn w:val="40"/>
    <w:link w:val="21"/>
    <w:semiHidden/>
    <w:qFormat/>
    <w:uiPriority w:val="99"/>
    <w:rPr>
      <w:b/>
      <w:bCs/>
    </w:rPr>
  </w:style>
  <w:style w:type="character" w:customStyle="1" w:styleId="42">
    <w:name w:val="pnum-title1"/>
    <w:qFormat/>
    <w:uiPriority w:val="0"/>
    <w:rPr>
      <w:rFonts w:hint="default" w:ascii="Arial" w:hAnsi="Arial" w:cs="Arial"/>
      <w:sz w:val="29"/>
      <w:szCs w:val="29"/>
    </w:rPr>
  </w:style>
  <w:style w:type="character" w:customStyle="1" w:styleId="43">
    <w:name w:val="paragraph2"/>
    <w:qFormat/>
    <w:uiPriority w:val="0"/>
    <w:rPr>
      <w:rFonts w:hint="default" w:ascii="Arial" w:hAnsi="Arial" w:cs="Arial"/>
      <w:sz w:val="29"/>
      <w:szCs w:val="29"/>
    </w:rPr>
  </w:style>
  <w:style w:type="character" w:customStyle="1" w:styleId="44">
    <w:name w:val="正文文本 字符"/>
    <w:basedOn w:val="24"/>
    <w:link w:val="8"/>
    <w:qFormat/>
    <w:uiPriority w:val="0"/>
    <w:rPr>
      <w:rFonts w:ascii="Times New Roman" w:hAnsi="Times New Roman" w:eastAsia="宋体" w:cs="Times New Roman"/>
      <w:kern w:val="0"/>
      <w:sz w:val="22"/>
      <w:szCs w:val="20"/>
      <w:lang w:eastAsia="en-US"/>
    </w:rPr>
  </w:style>
  <w:style w:type="paragraph" w:customStyle="1" w:styleId="45">
    <w:name w:val="Memo_Date"/>
    <w:basedOn w:val="1"/>
    <w:qFormat/>
    <w:uiPriority w:val="0"/>
    <w:pPr>
      <w:widowControl/>
      <w:spacing w:before="60" w:after="60" w:line="260" w:lineRule="exact"/>
      <w:jc w:val="left"/>
    </w:pPr>
    <w:rPr>
      <w:rFonts w:ascii="Times New Roman" w:hAnsi="Times New Roman" w:eastAsia="宋体" w:cs="Times New Roman"/>
      <w:kern w:val="0"/>
      <w:sz w:val="20"/>
      <w:szCs w:val="20"/>
      <w:lang w:eastAsia="en-US"/>
    </w:rPr>
  </w:style>
  <w:style w:type="paragraph" w:customStyle="1" w:styleId="46">
    <w:name w:val="Memo_From"/>
    <w:basedOn w:val="45"/>
    <w:qFormat/>
    <w:uiPriority w:val="0"/>
  </w:style>
  <w:style w:type="paragraph" w:customStyle="1" w:styleId="47">
    <w:name w:val="Memo_Subject"/>
    <w:basedOn w:val="46"/>
    <w:qFormat/>
    <w:uiPriority w:val="0"/>
  </w:style>
  <w:style w:type="paragraph" w:customStyle="1" w:styleId="48">
    <w:name w:val="Style Memo_Label + 8 pt"/>
    <w:basedOn w:val="1"/>
    <w:qFormat/>
    <w:uiPriority w:val="0"/>
    <w:pPr>
      <w:widowControl/>
      <w:spacing w:before="60" w:after="60" w:line="260" w:lineRule="exact"/>
      <w:jc w:val="left"/>
    </w:pPr>
    <w:rPr>
      <w:rFonts w:ascii="Arial" w:hAnsi="Arial" w:eastAsia="宋体" w:cs="Times New Roman"/>
      <w:kern w:val="0"/>
      <w:sz w:val="16"/>
      <w:szCs w:val="20"/>
      <w:lang w:eastAsia="en-US"/>
    </w:rPr>
  </w:style>
  <w:style w:type="paragraph" w:customStyle="1" w:styleId="49">
    <w:name w:val="Block"/>
    <w:basedOn w:val="1"/>
    <w:link w:val="50"/>
    <w:qFormat/>
    <w:uiPriority w:val="0"/>
    <w:pPr>
      <w:widowControl/>
      <w:spacing w:before="240"/>
      <w:jc w:val="left"/>
    </w:pPr>
    <w:rPr>
      <w:rFonts w:ascii="Times New Roman" w:hAnsi="Times New Roman" w:eastAsia="宋体" w:cs="Times New Roman"/>
      <w:kern w:val="0"/>
      <w:szCs w:val="20"/>
      <w:lang w:eastAsia="en-US"/>
    </w:rPr>
  </w:style>
  <w:style w:type="character" w:customStyle="1" w:styleId="50">
    <w:name w:val="Block Char"/>
    <w:link w:val="49"/>
    <w:qFormat/>
    <w:locked/>
    <w:uiPriority w:val="0"/>
    <w:rPr>
      <w:rFonts w:ascii="Times New Roman" w:hAnsi="Times New Roman" w:eastAsia="宋体" w:cs="Times New Roman"/>
      <w:kern w:val="0"/>
      <w:szCs w:val="20"/>
      <w:lang w:eastAsia="en-US"/>
    </w:rPr>
  </w:style>
  <w:style w:type="table" w:customStyle="1" w:styleId="51">
    <w:name w:val="Table Normal"/>
    <w:semiHidden/>
    <w:unhideWhenUsed/>
    <w:qFormat/>
    <w:uiPriority w:val="2"/>
    <w:rPr>
      <w:lang w:eastAsia="en-US"/>
    </w:rPr>
    <w:tblPr>
      <w:tblCellMar>
        <w:top w:w="0" w:type="dxa"/>
        <w:left w:w="0" w:type="dxa"/>
        <w:bottom w:w="0" w:type="dxa"/>
        <w:right w:w="0" w:type="dxa"/>
      </w:tblCellMar>
    </w:tblPr>
  </w:style>
  <w:style w:type="paragraph" w:customStyle="1" w:styleId="52">
    <w:name w:val="Table Paragraph"/>
    <w:basedOn w:val="1"/>
    <w:qFormat/>
    <w:uiPriority w:val="1"/>
    <w:rPr>
      <w:lang w:eastAsia="en-US"/>
    </w:rPr>
  </w:style>
  <w:style w:type="paragraph" w:customStyle="1" w:styleId="53">
    <w:name w:val="Revision"/>
    <w:hidden/>
    <w:semiHidden/>
    <w:qFormat/>
    <w:uiPriority w:val="99"/>
    <w:rPr>
      <w:rFonts w:asciiTheme="minorHAnsi" w:hAnsiTheme="minorHAnsi" w:eastAsiaTheme="minorEastAsia" w:cstheme="minorBidi"/>
      <w:kern w:val="2"/>
      <w:sz w:val="24"/>
      <w:szCs w:val="24"/>
      <w:lang w:val="en-US" w:eastAsia="zh-CN" w:bidi="ar-SA"/>
    </w:rPr>
  </w:style>
  <w:style w:type="paragraph" w:customStyle="1" w:styleId="54">
    <w:name w:val="table_p"/>
    <w:basedOn w:val="1"/>
    <w:qFormat/>
    <w:uiPriority w:val="0"/>
    <w:pPr>
      <w:widowControl/>
      <w:jc w:val="left"/>
    </w:pPr>
    <w:rPr>
      <w:rFonts w:ascii="Times New Roman" w:hAnsi="Times New Roman" w:eastAsia="等线" w:cs="Times New Roman"/>
      <w:kern w:val="0"/>
    </w:rPr>
  </w:style>
  <w:style w:type="character" w:customStyle="1" w:styleId="55">
    <w:name w:val="font61"/>
    <w:basedOn w:val="24"/>
    <w:qFormat/>
    <w:uiPriority w:val="0"/>
    <w:rPr>
      <w:rFonts w:hint="eastAsia" w:ascii="宋体" w:hAnsi="宋体" w:eastAsia="宋体" w:cs="宋体"/>
      <w:b/>
      <w:bCs/>
      <w:color w:val="000000"/>
      <w:sz w:val="30"/>
      <w:szCs w:val="30"/>
      <w:u w:val="none"/>
    </w:rPr>
  </w:style>
  <w:style w:type="character" w:customStyle="1" w:styleId="56">
    <w:name w:val="font31"/>
    <w:basedOn w:val="24"/>
    <w:qFormat/>
    <w:uiPriority w:val="0"/>
    <w:rPr>
      <w:rFonts w:hint="default" w:ascii="Arial Narrow" w:hAnsi="Arial Narrow" w:eastAsia="Arial Narrow" w:cs="Arial Narrow"/>
      <w:color w:val="000000"/>
      <w:sz w:val="21"/>
      <w:szCs w:val="21"/>
      <w:u w:val="none"/>
    </w:rPr>
  </w:style>
  <w:style w:type="character" w:customStyle="1" w:styleId="57">
    <w:name w:val="font21"/>
    <w:basedOn w:val="24"/>
    <w:qFormat/>
    <w:uiPriority w:val="0"/>
    <w:rPr>
      <w:rFonts w:hint="eastAsia" w:ascii="宋体" w:hAnsi="宋体" w:eastAsia="宋体" w:cs="宋体"/>
      <w:color w:val="000000"/>
      <w:sz w:val="21"/>
      <w:szCs w:val="21"/>
      <w:u w:val="none"/>
    </w:rPr>
  </w:style>
  <w:style w:type="character" w:customStyle="1" w:styleId="58">
    <w:name w:val="font51"/>
    <w:basedOn w:val="24"/>
    <w:qFormat/>
    <w:uiPriority w:val="0"/>
    <w:rPr>
      <w:rFonts w:hint="default" w:ascii="Arial Narrow" w:hAnsi="Arial Narrow" w:eastAsia="Arial Narrow" w:cs="Arial Narrow"/>
      <w:color w:val="0000FF"/>
      <w:sz w:val="21"/>
      <w:szCs w:val="21"/>
      <w:u w:val="none"/>
    </w:rPr>
  </w:style>
  <w:style w:type="character" w:customStyle="1" w:styleId="59">
    <w:name w:val="font41"/>
    <w:basedOn w:val="24"/>
    <w:qFormat/>
    <w:uiPriority w:val="0"/>
    <w:rPr>
      <w:rFonts w:hint="eastAsia" w:ascii="宋体" w:hAnsi="宋体" w:eastAsia="宋体" w:cs="宋体"/>
      <w:color w:val="0000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2017-12-21T00:00:00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datastoreItem>
</file>

<file path=customXml/itemProps2.xml><?xml version="1.0" encoding="utf-8"?>
<ds:datastoreItem xmlns:ds="http://schemas.openxmlformats.org/officeDocument/2006/customXml" ds:itemID="{F4CF3B12-6F4F-44A3-A762-D573C65EA4D7}">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1194</Words>
  <Characters>1297</Characters>
  <Lines>22</Lines>
  <Paragraphs>6</Paragraphs>
  <TotalTime>5</TotalTime>
  <ScaleCrop>false</ScaleCrop>
  <LinksUpToDate>false</LinksUpToDate>
  <CharactersWithSpaces>1327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2025-02-21T06:45:00Z</dcterms:created>
  <dc:creator>Microsoft Office 用户</dc:creator>
  <cp:lastModifiedBy>小坦克2号^O^</cp:lastModifiedBy>
  <cp:lastPrinted>2018-01-10T06:28:00Z</cp:lastPrinted>
  <dcterms:modified xsi:type="dcterms:W3CDTF">2025-09-22T10:35:11Z</dcterms:modified>
  <dc:subject>Grant thornton China IT Audit manual</dc:subject>
  <dc:title>IT审计指南</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eyJoZGlkIjoiMmMxN2FmYzE2ZmQ2OTIzM2NlZGRkYWFkYTEzNTg0ZWUiLCJ1c2VySWQiOiIyNTUzMDE1NDQifQ==</vt:lpwstr>
  </property>
  <property fmtid="{D5CDD505-2E9C-101B-9397-08002B2CF9AE}" pid="3" name="KSOProductBuildVer">
    <vt:lpwstr>2052-12.1.0.22529</vt:lpwstr>
  </property>
  <property fmtid="{D5CDD505-2E9C-101B-9397-08002B2CF9AE}" pid="4" name="ICV">
    <vt:lpwstr>ECB3BD17905F48FCAEDF6348DB7EE53A_12</vt:lpwstr>
  </property>
</Properties>
</file>