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51AEF">
      <w:pPr>
        <w:widowControl/>
        <w:jc w:val="left"/>
        <w:rPr>
          <w:rFonts w:ascii="Arial Narrow" w:hAnsi="Arial Narrow"/>
          <w:sz w:val="24"/>
        </w:rPr>
      </w:pPr>
      <w:bookmarkStart w:id="22" w:name="_GoBack"/>
      <w:bookmarkEnd w:id="22"/>
    </w:p>
    <w:p w14:paraId="6BFBD826">
      <w:pPr>
        <w:spacing w:after="156" w:afterLines="50"/>
        <w:ind w:firstLine="460" w:firstLineChars="192"/>
        <w:rPr>
          <w:rFonts w:ascii="Arial Narrow" w:hAnsi="Arial Narrow"/>
          <w:sz w:val="24"/>
        </w:rPr>
      </w:pPr>
    </w:p>
    <w:p w14:paraId="69D9C5E6">
      <w:pPr>
        <w:jc w:val="center"/>
        <w:rPr>
          <w:rFonts w:hint="eastAsia" w:ascii="仿宋_GB2312" w:hAnsi="宋体" w:eastAsia="仿宋_GB2312"/>
          <w:b/>
          <w:sz w:val="32"/>
          <w:szCs w:val="32"/>
        </w:rPr>
      </w:pPr>
      <w:r>
        <w:rPr>
          <w:rFonts w:hint="eastAsia" w:ascii="仿宋_GB2312" w:hAnsi="宋体" w:eastAsia="仿宋_GB2312"/>
          <w:b/>
          <w:color w:val="FF0000"/>
          <w:sz w:val="32"/>
          <w:szCs w:val="32"/>
        </w:rPr>
        <w:t>XX</w:t>
      </w:r>
      <w:r>
        <w:rPr>
          <w:rFonts w:hint="eastAsia" w:ascii="仿宋_GB2312" w:hAnsi="宋体" w:eastAsia="仿宋_GB2312"/>
          <w:b/>
          <w:sz w:val="32"/>
          <w:szCs w:val="32"/>
        </w:rPr>
        <w:t>股份有限公司</w:t>
      </w:r>
    </w:p>
    <w:p w14:paraId="628A0323">
      <w:pPr>
        <w:jc w:val="center"/>
        <w:rPr>
          <w:rFonts w:hint="eastAsia" w:ascii="仿宋_GB2312" w:hAnsi="宋体" w:eastAsia="仿宋_GB2312"/>
          <w:b/>
          <w:sz w:val="32"/>
          <w:szCs w:val="32"/>
        </w:rPr>
      </w:pPr>
      <w:r>
        <w:rPr>
          <w:rFonts w:hint="eastAsia" w:ascii="仿宋_GB2312" w:hAnsi="宋体" w:eastAsia="仿宋_GB2312"/>
          <w:b/>
          <w:sz w:val="32"/>
          <w:szCs w:val="32"/>
        </w:rPr>
        <w:t>重大事项概要汇总</w:t>
      </w:r>
    </w:p>
    <w:tbl>
      <w:tblPr>
        <w:tblStyle w:val="12"/>
        <w:tblW w:w="8946" w:type="dxa"/>
        <w:tblInd w:w="93" w:type="dxa"/>
        <w:tblLayout w:type="autofit"/>
        <w:tblCellMar>
          <w:top w:w="0" w:type="dxa"/>
          <w:left w:w="108" w:type="dxa"/>
          <w:bottom w:w="0" w:type="dxa"/>
          <w:right w:w="108" w:type="dxa"/>
        </w:tblCellMar>
      </w:tblPr>
      <w:tblGrid>
        <w:gridCol w:w="2895"/>
        <w:gridCol w:w="3357"/>
        <w:gridCol w:w="2694"/>
      </w:tblGrid>
      <w:tr w14:paraId="54AC6A68">
        <w:tblPrEx>
          <w:tblCellMar>
            <w:top w:w="0" w:type="dxa"/>
            <w:left w:w="108" w:type="dxa"/>
            <w:bottom w:w="0" w:type="dxa"/>
            <w:right w:w="108" w:type="dxa"/>
          </w:tblCellMar>
        </w:tblPrEx>
        <w:trPr>
          <w:trHeight w:val="693" w:hRule="exact"/>
        </w:trPr>
        <w:tc>
          <w:tcPr>
            <w:tcW w:w="2895" w:type="dxa"/>
            <w:tcBorders>
              <w:top w:val="single" w:color="auto" w:sz="4" w:space="0"/>
              <w:bottom w:val="single" w:color="auto" w:sz="4" w:space="0"/>
            </w:tcBorders>
            <w:noWrap/>
            <w:vAlign w:val="center"/>
          </w:tcPr>
          <w:p w14:paraId="63A735D9">
            <w:pPr>
              <w:widowControl/>
              <w:jc w:val="center"/>
              <w:rPr>
                <w:rFonts w:ascii="Arial Narrow" w:hAnsi="Arial Narrow" w:eastAsia="仿宋_GB2312"/>
                <w:b/>
                <w:bCs/>
                <w:kern w:val="0"/>
                <w:sz w:val="24"/>
              </w:rPr>
            </w:pPr>
            <w:r>
              <w:rPr>
                <w:rFonts w:ascii="Arial Narrow" w:hAnsi="Arial Narrow" w:eastAsia="仿宋_GB2312"/>
                <w:b/>
                <w:bCs/>
                <w:kern w:val="0"/>
                <w:sz w:val="24"/>
              </w:rPr>
              <w:t>责任人</w:t>
            </w:r>
          </w:p>
        </w:tc>
        <w:tc>
          <w:tcPr>
            <w:tcW w:w="3357" w:type="dxa"/>
            <w:tcBorders>
              <w:top w:val="single" w:color="auto" w:sz="4" w:space="0"/>
              <w:bottom w:val="single" w:color="auto" w:sz="4" w:space="0"/>
            </w:tcBorders>
            <w:noWrap/>
            <w:vAlign w:val="center"/>
          </w:tcPr>
          <w:p w14:paraId="20C9A166">
            <w:pPr>
              <w:widowControl/>
              <w:jc w:val="center"/>
              <w:rPr>
                <w:rFonts w:ascii="Arial Narrow" w:hAnsi="Arial Narrow" w:eastAsia="仿宋_GB2312"/>
                <w:b/>
                <w:kern w:val="0"/>
                <w:sz w:val="24"/>
              </w:rPr>
            </w:pPr>
            <w:r>
              <w:rPr>
                <w:rFonts w:ascii="Arial Narrow" w:hAnsi="Arial Narrow" w:eastAsia="仿宋_GB2312" w:cs="宋体"/>
                <w:b/>
                <w:kern w:val="0"/>
                <w:sz w:val="24"/>
              </w:rPr>
              <w:t>签名</w:t>
            </w:r>
            <w:r>
              <w:rPr>
                <w:rFonts w:hint="eastAsia" w:ascii="Arial Narrow" w:hAnsi="Arial Narrow" w:eastAsia="仿宋_GB2312" w:cs="宋体"/>
                <w:b/>
                <w:bCs/>
                <w:i/>
                <w:iCs/>
                <w:color w:val="0000FF"/>
                <w:kern w:val="0"/>
                <w:sz w:val="24"/>
              </w:rPr>
              <w:t>（</w:t>
            </w:r>
            <w:r>
              <w:rPr>
                <w:rFonts w:ascii="Arial Narrow" w:hAnsi="Arial Narrow" w:eastAsia="仿宋_GB2312" w:cs="宋体"/>
                <w:b/>
                <w:bCs/>
                <w:i/>
                <w:iCs/>
                <w:color w:val="0000FF"/>
                <w:kern w:val="0"/>
                <w:sz w:val="24"/>
              </w:rPr>
              <w:t>手签</w:t>
            </w:r>
            <w:r>
              <w:rPr>
                <w:rFonts w:hint="eastAsia" w:ascii="Arial Narrow" w:hAnsi="Arial Narrow" w:eastAsia="仿宋_GB2312" w:cs="宋体"/>
                <w:b/>
                <w:bCs/>
                <w:i/>
                <w:iCs/>
                <w:color w:val="0000FF"/>
                <w:kern w:val="0"/>
                <w:sz w:val="24"/>
              </w:rPr>
              <w:t>）</w:t>
            </w:r>
          </w:p>
        </w:tc>
        <w:tc>
          <w:tcPr>
            <w:tcW w:w="2694" w:type="dxa"/>
            <w:tcBorders>
              <w:top w:val="single" w:color="auto" w:sz="4" w:space="0"/>
              <w:bottom w:val="single" w:color="auto" w:sz="4" w:space="0"/>
            </w:tcBorders>
            <w:noWrap/>
            <w:vAlign w:val="center"/>
          </w:tcPr>
          <w:p w14:paraId="7241782E">
            <w:pPr>
              <w:widowControl/>
              <w:jc w:val="center"/>
              <w:rPr>
                <w:rFonts w:ascii="Arial Narrow" w:hAnsi="Arial Narrow" w:eastAsia="仿宋_GB2312"/>
                <w:b/>
                <w:bCs/>
                <w:kern w:val="0"/>
                <w:sz w:val="24"/>
              </w:rPr>
            </w:pPr>
            <w:r>
              <w:rPr>
                <w:rFonts w:ascii="Arial Narrow" w:hAnsi="Arial Narrow" w:eastAsia="仿宋_GB2312" w:cs="宋体"/>
                <w:b/>
                <w:bCs/>
                <w:kern w:val="0"/>
                <w:sz w:val="24"/>
              </w:rPr>
              <w:t>日期</w:t>
            </w:r>
          </w:p>
        </w:tc>
      </w:tr>
      <w:tr w14:paraId="447E6356">
        <w:tblPrEx>
          <w:tblCellMar>
            <w:top w:w="0" w:type="dxa"/>
            <w:left w:w="108" w:type="dxa"/>
            <w:bottom w:w="0" w:type="dxa"/>
            <w:right w:w="108" w:type="dxa"/>
          </w:tblCellMar>
        </w:tblPrEx>
        <w:trPr>
          <w:trHeight w:val="284" w:hRule="exact"/>
        </w:trPr>
        <w:tc>
          <w:tcPr>
            <w:tcW w:w="2895" w:type="dxa"/>
            <w:tcBorders>
              <w:bottom w:val="single" w:color="auto" w:sz="4" w:space="0"/>
            </w:tcBorders>
            <w:noWrap/>
            <w:vAlign w:val="center"/>
          </w:tcPr>
          <w:p w14:paraId="757AEE9F">
            <w:pPr>
              <w:widowControl/>
              <w:rPr>
                <w:rFonts w:ascii="Arial Narrow" w:hAnsi="Arial Narrow" w:eastAsia="仿宋_GB2312" w:cs="宋体"/>
                <w:b/>
                <w:bCs/>
                <w:kern w:val="0"/>
                <w:sz w:val="24"/>
              </w:rPr>
            </w:pPr>
          </w:p>
        </w:tc>
        <w:tc>
          <w:tcPr>
            <w:tcW w:w="3357" w:type="dxa"/>
            <w:tcBorders>
              <w:bottom w:val="single" w:color="auto" w:sz="4" w:space="0"/>
            </w:tcBorders>
            <w:noWrap/>
            <w:vAlign w:val="center"/>
          </w:tcPr>
          <w:p w14:paraId="0821379C">
            <w:pPr>
              <w:widowControl/>
              <w:rPr>
                <w:rFonts w:ascii="Arial Narrow" w:hAnsi="Arial Narrow" w:eastAsia="仿宋_GB2312" w:cs="宋体"/>
                <w:b/>
                <w:bCs/>
                <w:kern w:val="0"/>
                <w:sz w:val="24"/>
              </w:rPr>
            </w:pPr>
          </w:p>
        </w:tc>
        <w:tc>
          <w:tcPr>
            <w:tcW w:w="2694" w:type="dxa"/>
            <w:tcBorders>
              <w:bottom w:val="single" w:color="auto" w:sz="4" w:space="0"/>
            </w:tcBorders>
            <w:noWrap/>
            <w:vAlign w:val="center"/>
          </w:tcPr>
          <w:p w14:paraId="7D5F1A3C">
            <w:pPr>
              <w:widowControl/>
              <w:rPr>
                <w:rFonts w:ascii="Arial Narrow" w:hAnsi="Arial Narrow" w:eastAsia="仿宋_GB2312" w:cs="宋体"/>
                <w:b/>
                <w:bCs/>
                <w:kern w:val="0"/>
                <w:sz w:val="24"/>
              </w:rPr>
            </w:pPr>
          </w:p>
        </w:tc>
      </w:tr>
      <w:tr w14:paraId="110831BF">
        <w:tblPrEx>
          <w:tblCellMar>
            <w:top w:w="0" w:type="dxa"/>
            <w:left w:w="108" w:type="dxa"/>
            <w:bottom w:w="0" w:type="dxa"/>
            <w:right w:w="108" w:type="dxa"/>
          </w:tblCellMar>
        </w:tblPrEx>
        <w:trPr>
          <w:trHeight w:val="1134" w:hRule="exact"/>
        </w:trPr>
        <w:tc>
          <w:tcPr>
            <w:tcW w:w="2895" w:type="dxa"/>
            <w:tcBorders>
              <w:top w:val="single" w:color="auto" w:sz="4" w:space="0"/>
              <w:bottom w:val="single" w:color="auto" w:sz="4" w:space="0"/>
            </w:tcBorders>
            <w:noWrap/>
            <w:vAlign w:val="center"/>
          </w:tcPr>
          <w:p w14:paraId="3FB5B7AE">
            <w:pPr>
              <w:widowControl/>
              <w:rPr>
                <w:rFonts w:ascii="Arial Narrow" w:hAnsi="Arial Narrow" w:eastAsia="仿宋_GB2312"/>
                <w:b/>
                <w:bCs/>
                <w:kern w:val="0"/>
                <w:sz w:val="24"/>
              </w:rPr>
            </w:pPr>
            <w:r>
              <w:rPr>
                <w:rFonts w:ascii="Arial Narrow" w:hAnsi="Arial Narrow" w:eastAsia="仿宋_GB2312" w:cs="宋体"/>
                <w:b/>
                <w:bCs/>
                <w:kern w:val="0"/>
                <w:sz w:val="24"/>
              </w:rPr>
              <w:t>编制人（</w:t>
            </w:r>
            <w:r>
              <w:rPr>
                <w:rFonts w:ascii="Arial Narrow" w:hAnsi="Arial Narrow" w:eastAsia="仿宋_GB2312" w:cs="宋体"/>
                <w:b/>
                <w:bCs/>
                <w:iCs/>
                <w:kern w:val="0"/>
                <w:sz w:val="24"/>
              </w:rPr>
              <w:t>项目</w:t>
            </w:r>
            <w:r>
              <w:rPr>
                <w:rFonts w:hint="eastAsia" w:ascii="Arial Narrow" w:hAnsi="Arial Narrow" w:eastAsia="仿宋_GB2312" w:cs="宋体"/>
                <w:b/>
                <w:bCs/>
                <w:iCs/>
                <w:kern w:val="0"/>
                <w:sz w:val="24"/>
              </w:rPr>
              <w:t>现场负责人</w:t>
            </w:r>
            <w:r>
              <w:rPr>
                <w:rFonts w:ascii="Arial Narrow" w:hAnsi="Arial Narrow" w:eastAsia="仿宋_GB2312" w:cs="宋体"/>
                <w:b/>
                <w:bCs/>
                <w:kern w:val="0"/>
                <w:sz w:val="24"/>
              </w:rPr>
              <w:t>）：</w:t>
            </w:r>
          </w:p>
        </w:tc>
        <w:tc>
          <w:tcPr>
            <w:tcW w:w="3357" w:type="dxa"/>
            <w:tcBorders>
              <w:top w:val="single" w:color="auto" w:sz="4" w:space="0"/>
              <w:bottom w:val="single" w:color="auto" w:sz="4" w:space="0"/>
            </w:tcBorders>
            <w:noWrap/>
            <w:vAlign w:val="center"/>
          </w:tcPr>
          <w:p w14:paraId="39545518">
            <w:pPr>
              <w:widowControl/>
              <w:jc w:val="left"/>
              <w:rPr>
                <w:rFonts w:ascii="Arial Narrow" w:hAnsi="Arial Narrow" w:eastAsia="仿宋_GB2312" w:cs="宋体"/>
                <w:b/>
                <w:bCs/>
                <w:i/>
                <w:iCs/>
                <w:color w:val="0000FF"/>
                <w:kern w:val="0"/>
                <w:sz w:val="24"/>
              </w:rPr>
            </w:pPr>
          </w:p>
        </w:tc>
        <w:tc>
          <w:tcPr>
            <w:tcW w:w="2694" w:type="dxa"/>
            <w:tcBorders>
              <w:top w:val="single" w:color="auto" w:sz="4" w:space="0"/>
              <w:bottom w:val="single" w:color="auto" w:sz="4" w:space="0"/>
            </w:tcBorders>
            <w:noWrap/>
            <w:vAlign w:val="center"/>
          </w:tcPr>
          <w:p w14:paraId="73514D1C">
            <w:pPr>
              <w:widowControl/>
              <w:rPr>
                <w:rFonts w:ascii="Arial Narrow" w:hAnsi="Arial Narrow" w:eastAsia="仿宋_GB2312"/>
                <w:b/>
                <w:bCs/>
                <w:kern w:val="0"/>
                <w:sz w:val="24"/>
              </w:rPr>
            </w:pPr>
          </w:p>
        </w:tc>
      </w:tr>
      <w:tr w14:paraId="20DAF171">
        <w:tblPrEx>
          <w:tblCellMar>
            <w:top w:w="0" w:type="dxa"/>
            <w:left w:w="108" w:type="dxa"/>
            <w:bottom w:w="0" w:type="dxa"/>
            <w:right w:w="108" w:type="dxa"/>
          </w:tblCellMar>
        </w:tblPrEx>
        <w:trPr>
          <w:trHeight w:val="322" w:hRule="atLeast"/>
        </w:trPr>
        <w:tc>
          <w:tcPr>
            <w:tcW w:w="2895" w:type="dxa"/>
            <w:tcBorders>
              <w:top w:val="single" w:color="auto" w:sz="4" w:space="0"/>
              <w:bottom w:val="single" w:color="auto" w:sz="4" w:space="0"/>
            </w:tcBorders>
            <w:noWrap/>
            <w:vAlign w:val="center"/>
          </w:tcPr>
          <w:p w14:paraId="0269288F">
            <w:pPr>
              <w:widowControl/>
              <w:rPr>
                <w:rFonts w:ascii="Arial Narrow" w:hAnsi="Arial Narrow" w:eastAsia="仿宋_GB2312" w:cs="宋体"/>
                <w:b/>
                <w:bCs/>
                <w:kern w:val="0"/>
                <w:sz w:val="24"/>
              </w:rPr>
            </w:pPr>
          </w:p>
        </w:tc>
        <w:tc>
          <w:tcPr>
            <w:tcW w:w="3357" w:type="dxa"/>
            <w:tcBorders>
              <w:top w:val="single" w:color="auto" w:sz="4" w:space="0"/>
              <w:bottom w:val="single" w:color="auto" w:sz="4" w:space="0"/>
            </w:tcBorders>
            <w:noWrap/>
            <w:vAlign w:val="center"/>
          </w:tcPr>
          <w:p w14:paraId="1745A3F5">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65AFB5B6">
            <w:pPr>
              <w:widowControl/>
              <w:rPr>
                <w:rFonts w:ascii="Arial Narrow" w:hAnsi="Arial Narrow" w:eastAsia="仿宋_GB2312"/>
                <w:b/>
                <w:bCs/>
                <w:kern w:val="0"/>
                <w:sz w:val="24"/>
              </w:rPr>
            </w:pPr>
          </w:p>
        </w:tc>
      </w:tr>
      <w:tr w14:paraId="46E19EE5">
        <w:tblPrEx>
          <w:tblCellMar>
            <w:top w:w="0" w:type="dxa"/>
            <w:left w:w="108" w:type="dxa"/>
            <w:bottom w:w="0" w:type="dxa"/>
            <w:right w:w="108" w:type="dxa"/>
          </w:tblCellMar>
        </w:tblPrEx>
        <w:trPr>
          <w:trHeight w:val="1134" w:hRule="exact"/>
        </w:trPr>
        <w:tc>
          <w:tcPr>
            <w:tcW w:w="2895" w:type="dxa"/>
            <w:tcBorders>
              <w:top w:val="single" w:color="auto" w:sz="4" w:space="0"/>
              <w:bottom w:val="single" w:color="auto" w:sz="4" w:space="0"/>
            </w:tcBorders>
            <w:noWrap/>
            <w:vAlign w:val="center"/>
          </w:tcPr>
          <w:p w14:paraId="0A6D4C3A">
            <w:pPr>
              <w:widowControl/>
              <w:rPr>
                <w:rFonts w:ascii="Arial Narrow" w:hAnsi="Arial Narrow" w:eastAsia="仿宋_GB2312"/>
                <w:b/>
                <w:bCs/>
                <w:kern w:val="0"/>
                <w:sz w:val="24"/>
              </w:rPr>
            </w:pPr>
            <w:r>
              <w:rPr>
                <w:rFonts w:ascii="Arial Narrow" w:hAnsi="Arial Narrow" w:eastAsia="仿宋_GB2312" w:cs="宋体"/>
                <w:b/>
                <w:bCs/>
                <w:kern w:val="0"/>
                <w:sz w:val="24"/>
              </w:rPr>
              <w:t>复核人（</w:t>
            </w:r>
            <w:r>
              <w:rPr>
                <w:rFonts w:ascii="Arial Narrow" w:hAnsi="Arial Narrow" w:eastAsia="仿宋_GB2312" w:cs="宋体"/>
                <w:b/>
                <w:bCs/>
                <w:iCs/>
                <w:kern w:val="0"/>
                <w:sz w:val="24"/>
              </w:rPr>
              <w:t>项目合伙人</w:t>
            </w:r>
            <w:r>
              <w:rPr>
                <w:rFonts w:ascii="Arial Narrow" w:hAnsi="Arial Narrow" w:eastAsia="仿宋_GB2312" w:cs="宋体"/>
                <w:b/>
                <w:bCs/>
                <w:kern w:val="0"/>
                <w:sz w:val="24"/>
              </w:rPr>
              <w:t>）：</w:t>
            </w:r>
          </w:p>
        </w:tc>
        <w:tc>
          <w:tcPr>
            <w:tcW w:w="3357" w:type="dxa"/>
            <w:tcBorders>
              <w:top w:val="single" w:color="auto" w:sz="4" w:space="0"/>
              <w:bottom w:val="single" w:color="auto" w:sz="4" w:space="0"/>
            </w:tcBorders>
            <w:noWrap/>
            <w:vAlign w:val="center"/>
          </w:tcPr>
          <w:p w14:paraId="1E120E2F">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35B6F4FF">
            <w:pPr>
              <w:widowControl/>
              <w:rPr>
                <w:rFonts w:ascii="Arial Narrow" w:hAnsi="Arial Narrow" w:eastAsia="仿宋_GB2312"/>
                <w:b/>
                <w:bCs/>
                <w:kern w:val="0"/>
                <w:sz w:val="24"/>
              </w:rPr>
            </w:pPr>
          </w:p>
        </w:tc>
      </w:tr>
      <w:tr w14:paraId="15837208">
        <w:tblPrEx>
          <w:tblCellMar>
            <w:top w:w="0" w:type="dxa"/>
            <w:left w:w="108" w:type="dxa"/>
            <w:bottom w:w="0" w:type="dxa"/>
            <w:right w:w="108" w:type="dxa"/>
          </w:tblCellMar>
        </w:tblPrEx>
        <w:trPr>
          <w:trHeight w:val="285" w:hRule="atLeast"/>
        </w:trPr>
        <w:tc>
          <w:tcPr>
            <w:tcW w:w="2895" w:type="dxa"/>
            <w:tcBorders>
              <w:top w:val="single" w:color="auto" w:sz="4" w:space="0"/>
              <w:bottom w:val="single" w:color="auto" w:sz="4" w:space="0"/>
            </w:tcBorders>
            <w:noWrap/>
            <w:vAlign w:val="center"/>
          </w:tcPr>
          <w:p w14:paraId="5899A33D">
            <w:pPr>
              <w:widowControl/>
              <w:rPr>
                <w:rFonts w:ascii="Arial Narrow" w:hAnsi="Arial Narrow" w:eastAsia="仿宋_GB2312"/>
                <w:b/>
                <w:bCs/>
                <w:kern w:val="0"/>
                <w:sz w:val="24"/>
              </w:rPr>
            </w:pPr>
          </w:p>
        </w:tc>
        <w:tc>
          <w:tcPr>
            <w:tcW w:w="3357" w:type="dxa"/>
            <w:tcBorders>
              <w:top w:val="single" w:color="auto" w:sz="4" w:space="0"/>
              <w:bottom w:val="single" w:color="auto" w:sz="4" w:space="0"/>
            </w:tcBorders>
            <w:noWrap/>
            <w:vAlign w:val="center"/>
          </w:tcPr>
          <w:p w14:paraId="19183228">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5048D796">
            <w:pPr>
              <w:widowControl/>
              <w:rPr>
                <w:rFonts w:ascii="Arial Narrow" w:hAnsi="Arial Narrow" w:eastAsia="仿宋_GB2312"/>
                <w:b/>
                <w:bCs/>
                <w:kern w:val="0"/>
                <w:sz w:val="24"/>
              </w:rPr>
            </w:pPr>
          </w:p>
        </w:tc>
      </w:tr>
      <w:tr w14:paraId="2F630DFF">
        <w:tblPrEx>
          <w:tblCellMar>
            <w:top w:w="0" w:type="dxa"/>
            <w:left w:w="108" w:type="dxa"/>
            <w:bottom w:w="0" w:type="dxa"/>
            <w:right w:w="108" w:type="dxa"/>
          </w:tblCellMar>
        </w:tblPrEx>
        <w:trPr>
          <w:trHeight w:val="1134" w:hRule="exact"/>
        </w:trPr>
        <w:tc>
          <w:tcPr>
            <w:tcW w:w="2895" w:type="dxa"/>
            <w:tcBorders>
              <w:top w:val="single" w:color="auto" w:sz="4" w:space="0"/>
              <w:bottom w:val="single" w:color="auto" w:sz="4" w:space="0"/>
            </w:tcBorders>
            <w:noWrap/>
            <w:vAlign w:val="center"/>
          </w:tcPr>
          <w:p w14:paraId="619F9F72">
            <w:pPr>
              <w:rPr>
                <w:rFonts w:ascii="Arial Narrow" w:hAnsi="Arial Narrow" w:eastAsia="仿宋_GB2312" w:cs="宋体"/>
                <w:b/>
                <w:bCs/>
                <w:kern w:val="0"/>
                <w:sz w:val="24"/>
              </w:rPr>
            </w:pPr>
            <w:r>
              <w:rPr>
                <w:rFonts w:ascii="Arial Narrow" w:hAnsi="Arial Narrow" w:eastAsia="仿宋_GB2312" w:cs="宋体"/>
                <w:b/>
                <w:bCs/>
                <w:kern w:val="0"/>
                <w:sz w:val="24"/>
              </w:rPr>
              <w:t>项目质量复核合伙人：</w:t>
            </w:r>
            <w:r>
              <w:rPr>
                <w:rFonts w:ascii="Arial Narrow" w:hAnsi="Arial Narrow" w:eastAsia="仿宋_GB2312" w:cs="宋体"/>
                <w:b/>
                <w:bCs/>
                <w:color w:val="0000FF"/>
                <w:kern w:val="0"/>
                <w:sz w:val="24"/>
              </w:rPr>
              <w:t>（</w:t>
            </w:r>
            <w:r>
              <w:rPr>
                <w:rFonts w:hint="eastAsia" w:ascii="Arial Narrow" w:hAnsi="Arial Narrow" w:eastAsia="仿宋_GB2312" w:cs="宋体"/>
                <w:b/>
                <w:bCs/>
                <w:color w:val="0000FF"/>
                <w:kern w:val="0"/>
                <w:sz w:val="24"/>
              </w:rPr>
              <w:t>如</w:t>
            </w:r>
            <w:r>
              <w:rPr>
                <w:rFonts w:ascii="Arial Narrow" w:hAnsi="Arial Narrow" w:eastAsia="仿宋_GB2312" w:cs="宋体"/>
                <w:b/>
                <w:bCs/>
                <w:color w:val="0000FF"/>
                <w:kern w:val="0"/>
                <w:sz w:val="24"/>
              </w:rPr>
              <w:t>适用）</w:t>
            </w:r>
          </w:p>
        </w:tc>
        <w:tc>
          <w:tcPr>
            <w:tcW w:w="3357" w:type="dxa"/>
            <w:tcBorders>
              <w:top w:val="single" w:color="auto" w:sz="4" w:space="0"/>
              <w:bottom w:val="single" w:color="auto" w:sz="4" w:space="0"/>
            </w:tcBorders>
            <w:noWrap/>
            <w:vAlign w:val="center"/>
          </w:tcPr>
          <w:p w14:paraId="43B4BF37">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081882EA">
            <w:pPr>
              <w:widowControl/>
              <w:rPr>
                <w:rFonts w:ascii="Arial Narrow" w:hAnsi="Arial Narrow" w:eastAsia="仿宋_GB2312"/>
                <w:b/>
                <w:bCs/>
                <w:kern w:val="0"/>
                <w:sz w:val="24"/>
              </w:rPr>
            </w:pPr>
          </w:p>
        </w:tc>
      </w:tr>
      <w:tr w14:paraId="40E93554">
        <w:tblPrEx>
          <w:tblCellMar>
            <w:top w:w="0" w:type="dxa"/>
            <w:left w:w="108" w:type="dxa"/>
            <w:bottom w:w="0" w:type="dxa"/>
            <w:right w:w="108" w:type="dxa"/>
          </w:tblCellMar>
        </w:tblPrEx>
        <w:trPr>
          <w:trHeight w:val="272" w:hRule="exact"/>
        </w:trPr>
        <w:tc>
          <w:tcPr>
            <w:tcW w:w="2895" w:type="dxa"/>
            <w:tcBorders>
              <w:top w:val="single" w:color="auto" w:sz="4" w:space="0"/>
              <w:bottom w:val="single" w:color="auto" w:sz="4" w:space="0"/>
            </w:tcBorders>
            <w:noWrap/>
            <w:vAlign w:val="center"/>
          </w:tcPr>
          <w:p w14:paraId="52B130DB">
            <w:pPr>
              <w:rPr>
                <w:rFonts w:ascii="Arial Narrow" w:hAnsi="Arial Narrow" w:eastAsia="仿宋_GB2312" w:cs="宋体"/>
                <w:b/>
                <w:bCs/>
                <w:kern w:val="0"/>
                <w:sz w:val="24"/>
              </w:rPr>
            </w:pPr>
          </w:p>
        </w:tc>
        <w:tc>
          <w:tcPr>
            <w:tcW w:w="3357" w:type="dxa"/>
            <w:tcBorders>
              <w:top w:val="single" w:color="auto" w:sz="4" w:space="0"/>
              <w:bottom w:val="single" w:color="auto" w:sz="4" w:space="0"/>
            </w:tcBorders>
            <w:noWrap/>
            <w:vAlign w:val="center"/>
          </w:tcPr>
          <w:p w14:paraId="72AC1507">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4EAF94B8">
            <w:pPr>
              <w:widowControl/>
              <w:rPr>
                <w:rFonts w:ascii="Arial Narrow" w:hAnsi="Arial Narrow" w:eastAsia="仿宋_GB2312"/>
                <w:b/>
                <w:bCs/>
                <w:kern w:val="0"/>
                <w:sz w:val="24"/>
              </w:rPr>
            </w:pPr>
          </w:p>
        </w:tc>
      </w:tr>
      <w:tr w14:paraId="0E2E8F53">
        <w:tblPrEx>
          <w:tblCellMar>
            <w:top w:w="0" w:type="dxa"/>
            <w:left w:w="108" w:type="dxa"/>
            <w:bottom w:w="0" w:type="dxa"/>
            <w:right w:w="108" w:type="dxa"/>
          </w:tblCellMar>
        </w:tblPrEx>
        <w:trPr>
          <w:trHeight w:val="1134" w:hRule="exact"/>
        </w:trPr>
        <w:tc>
          <w:tcPr>
            <w:tcW w:w="2895" w:type="dxa"/>
            <w:tcBorders>
              <w:top w:val="single" w:color="auto" w:sz="4" w:space="0"/>
              <w:bottom w:val="single" w:color="auto" w:sz="4" w:space="0"/>
            </w:tcBorders>
            <w:noWrap/>
            <w:vAlign w:val="center"/>
          </w:tcPr>
          <w:p w14:paraId="6EBA5CE4">
            <w:pPr>
              <w:rPr>
                <w:rFonts w:ascii="Arial Narrow" w:hAnsi="Arial Narrow" w:eastAsia="仿宋_GB2312"/>
                <w:b/>
                <w:bCs/>
                <w:kern w:val="0"/>
                <w:sz w:val="24"/>
              </w:rPr>
            </w:pPr>
            <w:r>
              <w:rPr>
                <w:rFonts w:ascii="Arial Narrow" w:hAnsi="Arial Narrow" w:eastAsia="仿宋_GB2312" w:cs="宋体"/>
                <w:b/>
                <w:bCs/>
                <w:kern w:val="0"/>
                <w:sz w:val="24"/>
              </w:rPr>
              <w:t>质量控制复核人：</w:t>
            </w:r>
            <w:r>
              <w:rPr>
                <w:rFonts w:ascii="Arial Narrow" w:hAnsi="Arial Narrow" w:eastAsia="仿宋_GB2312" w:cs="宋体"/>
                <w:b/>
                <w:bCs/>
                <w:color w:val="0000FF"/>
                <w:kern w:val="0"/>
                <w:sz w:val="24"/>
              </w:rPr>
              <w:t>（如适用）</w:t>
            </w:r>
          </w:p>
        </w:tc>
        <w:tc>
          <w:tcPr>
            <w:tcW w:w="3357" w:type="dxa"/>
            <w:tcBorders>
              <w:top w:val="single" w:color="auto" w:sz="4" w:space="0"/>
              <w:bottom w:val="single" w:color="auto" w:sz="4" w:space="0"/>
            </w:tcBorders>
            <w:noWrap/>
            <w:vAlign w:val="center"/>
          </w:tcPr>
          <w:p w14:paraId="7E8A9BAC">
            <w:pPr>
              <w:widowControl/>
              <w:rPr>
                <w:rFonts w:ascii="Arial Narrow" w:hAnsi="Arial Narrow" w:eastAsia="仿宋_GB2312"/>
                <w:kern w:val="0"/>
                <w:sz w:val="24"/>
              </w:rPr>
            </w:pPr>
          </w:p>
        </w:tc>
        <w:tc>
          <w:tcPr>
            <w:tcW w:w="2694" w:type="dxa"/>
            <w:tcBorders>
              <w:top w:val="single" w:color="auto" w:sz="4" w:space="0"/>
              <w:bottom w:val="single" w:color="auto" w:sz="4" w:space="0"/>
            </w:tcBorders>
            <w:noWrap/>
            <w:vAlign w:val="center"/>
          </w:tcPr>
          <w:p w14:paraId="268317A3">
            <w:pPr>
              <w:widowControl/>
              <w:rPr>
                <w:rFonts w:ascii="Arial Narrow" w:hAnsi="Arial Narrow" w:eastAsia="仿宋_GB2312"/>
                <w:b/>
                <w:bCs/>
                <w:kern w:val="0"/>
                <w:sz w:val="24"/>
              </w:rPr>
            </w:pPr>
          </w:p>
        </w:tc>
      </w:tr>
      <w:tr w14:paraId="1747EBE2">
        <w:tblPrEx>
          <w:tblCellMar>
            <w:top w:w="0" w:type="dxa"/>
            <w:left w:w="108" w:type="dxa"/>
            <w:bottom w:w="0" w:type="dxa"/>
            <w:right w:w="108" w:type="dxa"/>
          </w:tblCellMar>
        </w:tblPrEx>
        <w:trPr>
          <w:trHeight w:val="285" w:hRule="atLeast"/>
        </w:trPr>
        <w:tc>
          <w:tcPr>
            <w:tcW w:w="2895" w:type="dxa"/>
            <w:tcBorders>
              <w:top w:val="single" w:color="auto" w:sz="4" w:space="0"/>
            </w:tcBorders>
            <w:noWrap/>
            <w:vAlign w:val="center"/>
          </w:tcPr>
          <w:p w14:paraId="2B3D2517">
            <w:pPr>
              <w:widowControl/>
              <w:rPr>
                <w:rFonts w:ascii="Arial Narrow" w:hAnsi="Arial Narrow" w:eastAsia="仿宋_GB2312"/>
                <w:kern w:val="0"/>
                <w:sz w:val="24"/>
              </w:rPr>
            </w:pPr>
          </w:p>
        </w:tc>
        <w:tc>
          <w:tcPr>
            <w:tcW w:w="3357" w:type="dxa"/>
            <w:tcBorders>
              <w:top w:val="single" w:color="auto" w:sz="4" w:space="0"/>
            </w:tcBorders>
            <w:noWrap/>
            <w:vAlign w:val="center"/>
          </w:tcPr>
          <w:p w14:paraId="63C4B733">
            <w:pPr>
              <w:widowControl/>
              <w:rPr>
                <w:rFonts w:ascii="Arial Narrow" w:hAnsi="Arial Narrow" w:eastAsia="仿宋_GB2312"/>
                <w:kern w:val="0"/>
                <w:sz w:val="24"/>
              </w:rPr>
            </w:pPr>
          </w:p>
        </w:tc>
        <w:tc>
          <w:tcPr>
            <w:tcW w:w="2694" w:type="dxa"/>
            <w:tcBorders>
              <w:top w:val="single" w:color="auto" w:sz="4" w:space="0"/>
            </w:tcBorders>
            <w:noWrap/>
            <w:vAlign w:val="center"/>
          </w:tcPr>
          <w:p w14:paraId="0CB5032F">
            <w:pPr>
              <w:widowControl/>
              <w:rPr>
                <w:rFonts w:ascii="Arial Narrow" w:hAnsi="Arial Narrow" w:eastAsia="仿宋_GB2312"/>
                <w:kern w:val="0"/>
                <w:sz w:val="24"/>
              </w:rPr>
            </w:pPr>
          </w:p>
        </w:tc>
      </w:tr>
    </w:tbl>
    <w:p w14:paraId="3D30ED5B">
      <w:pPr>
        <w:spacing w:line="360" w:lineRule="auto"/>
        <w:rPr>
          <w:rFonts w:hint="eastAsia" w:ascii="仿宋_GB2312" w:hAnsi="宋体" w:eastAsia="仿宋_GB2312"/>
          <w:sz w:val="24"/>
        </w:rPr>
        <w:sectPr>
          <w:headerReference r:id="rId3" w:type="default"/>
          <w:footerReference r:id="rId4" w:type="default"/>
          <w:pgSz w:w="11906" w:h="16838"/>
          <w:pgMar w:top="1247" w:right="1134" w:bottom="1134" w:left="1588" w:header="851" w:footer="737" w:gutter="0"/>
          <w:pgNumType w:start="1"/>
          <w:cols w:space="425" w:num="1"/>
          <w:docGrid w:type="lines" w:linePitch="312" w:charSpace="0"/>
        </w:sectPr>
      </w:pPr>
    </w:p>
    <w:p w14:paraId="190E9500">
      <w:pPr>
        <w:spacing w:line="360" w:lineRule="auto"/>
        <w:rPr>
          <w:rFonts w:hint="eastAsia" w:ascii="仿宋_GB2312" w:hAnsi="宋体" w:eastAsia="仿宋_GB2312"/>
          <w:sz w:val="24"/>
        </w:rPr>
      </w:pPr>
    </w:p>
    <w:p w14:paraId="5F76EBC7">
      <w:pPr>
        <w:pStyle w:val="3"/>
        <w:spacing w:line="360" w:lineRule="auto"/>
        <w:jc w:val="center"/>
        <w:rPr>
          <w:rFonts w:ascii="仿宋_GB2312" w:eastAsia="仿宋_GB2312"/>
          <w:b/>
          <w:sz w:val="28"/>
          <w:szCs w:val="28"/>
        </w:rPr>
      </w:pPr>
      <w:r>
        <w:rPr>
          <w:rFonts w:hint="eastAsia" w:ascii="仿宋_GB2312" w:eastAsia="仿宋_GB2312"/>
          <w:b/>
          <w:sz w:val="28"/>
          <w:szCs w:val="28"/>
        </w:rPr>
        <w:t>目 录</w:t>
      </w:r>
    </w:p>
    <w:p w14:paraId="704015C5">
      <w:pPr>
        <w:pStyle w:val="3"/>
        <w:spacing w:line="360" w:lineRule="auto"/>
        <w:rPr>
          <w:rFonts w:ascii="仿宋_GB2312" w:eastAsia="仿宋_GB2312"/>
          <w:sz w:val="24"/>
        </w:rPr>
      </w:pPr>
    </w:p>
    <w:p w14:paraId="43D63DFC">
      <w:pPr>
        <w:pStyle w:val="8"/>
        <w:tabs>
          <w:tab w:val="right" w:leader="dot" w:pos="9174"/>
        </w:tabs>
        <w:rPr>
          <w:rFonts w:asciiTheme="minorHAnsi" w:hAnsiTheme="minorHAnsi" w:eastAsiaTheme="minorEastAsia" w:cstheme="minorBidi"/>
          <w:szCs w:val="22"/>
          <w14:ligatures w14:val="standardContextual"/>
        </w:rPr>
      </w:pPr>
      <w:r>
        <w:rPr>
          <w:rFonts w:ascii="仿宋_GB2312" w:eastAsia="仿宋_GB2312"/>
          <w:sz w:val="24"/>
        </w:rPr>
        <w:fldChar w:fldCharType="begin"/>
      </w:r>
      <w:r>
        <w:rPr>
          <w:rFonts w:hint="eastAsia" w:ascii="仿宋_GB2312" w:eastAsia="仿宋_GB2312"/>
          <w:sz w:val="24"/>
        </w:rPr>
        <w:instrText xml:space="preserve">TOC \o "1-3" \h \z \u</w:instrText>
      </w:r>
      <w:r>
        <w:rPr>
          <w:rFonts w:ascii="仿宋_GB2312" w:eastAsia="仿宋_GB2312"/>
          <w:sz w:val="24"/>
        </w:rPr>
        <w:fldChar w:fldCharType="separate"/>
      </w:r>
      <w:r>
        <w:fldChar w:fldCharType="begin"/>
      </w:r>
      <w:r>
        <w:instrText xml:space="preserve"> HYPERLINK \l "_Toc152693393" </w:instrText>
      </w:r>
      <w:r>
        <w:fldChar w:fldCharType="separate"/>
      </w:r>
      <w:r>
        <w:rPr>
          <w:rStyle w:val="15"/>
          <w:rFonts w:ascii="仿宋_GB2312" w:eastAsia="仿宋_GB2312"/>
        </w:rPr>
        <w:t>一、审计业务约定范围及执行情况</w:t>
      </w:r>
      <w:r>
        <w:tab/>
      </w:r>
      <w:r>
        <w:fldChar w:fldCharType="begin"/>
      </w:r>
      <w:r>
        <w:instrText xml:space="preserve"> PAGEREF _Toc152693393 \h </w:instrText>
      </w:r>
      <w:r>
        <w:fldChar w:fldCharType="separate"/>
      </w:r>
      <w:r>
        <w:t>2</w:t>
      </w:r>
      <w:r>
        <w:fldChar w:fldCharType="end"/>
      </w:r>
      <w:r>
        <w:fldChar w:fldCharType="end"/>
      </w:r>
    </w:p>
    <w:p w14:paraId="0D14C4F7">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"_Toc152693394" </w:instrText>
      </w:r>
      <w:r>
        <w:fldChar w:fldCharType="separate"/>
      </w:r>
      <w:r>
        <w:rPr>
          <w:rStyle w:val="15"/>
          <w:rFonts w:ascii="仿宋_GB2312" w:eastAsia="仿宋_GB2312"/>
        </w:rPr>
        <w:t>二、独立性</w:t>
      </w:r>
      <w:r>
        <w:tab/>
      </w:r>
      <w:r>
        <w:fldChar w:fldCharType="begin"/>
      </w:r>
      <w:r>
        <w:instrText xml:space="preserve"> PAGEREF _Toc152693394 \h </w:instrText>
      </w:r>
      <w:r>
        <w:fldChar w:fldCharType="separate"/>
      </w:r>
      <w:r>
        <w:t>2</w:t>
      </w:r>
      <w:r>
        <w:fldChar w:fldCharType="end"/>
      </w:r>
      <w:r>
        <w:fldChar w:fldCharType="end"/>
      </w:r>
    </w:p>
    <w:p w14:paraId="70D4F817">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"_Toc152693395" </w:instrText>
      </w:r>
      <w:r>
        <w:fldChar w:fldCharType="separate"/>
      </w:r>
      <w:r>
        <w:rPr>
          <w:rStyle w:val="15"/>
          <w:rFonts w:ascii="仿宋_GB2312" w:eastAsia="仿宋_GB2312"/>
        </w:rPr>
        <w:t>三、对审计计划的更新和修改</w:t>
      </w:r>
      <w:r>
        <w:tab/>
      </w:r>
      <w:r>
        <w:fldChar w:fldCharType="begin"/>
      </w:r>
      <w:r>
        <w:instrText xml:space="preserve"> PAGEREF _Toc152693395 \h </w:instrText>
      </w:r>
      <w:r>
        <w:fldChar w:fldCharType="separate"/>
      </w:r>
      <w:r>
        <w:t>2</w:t>
      </w:r>
      <w:r>
        <w:fldChar w:fldCharType="end"/>
      </w:r>
      <w:r>
        <w:fldChar w:fldCharType="end"/>
      </w:r>
    </w:p>
    <w:p w14:paraId="353E8BAF">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"_Toc152693396" </w:instrText>
      </w:r>
      <w:r>
        <w:fldChar w:fldCharType="separate"/>
      </w:r>
      <w:r>
        <w:rPr>
          <w:rStyle w:val="15"/>
          <w:rFonts w:ascii="仿宋_GB2312" w:eastAsia="仿宋_GB2312"/>
        </w:rPr>
        <w:t>四、需合伙人关注事项</w:t>
      </w:r>
      <w:r>
        <w:tab/>
      </w:r>
      <w:r>
        <w:fldChar w:fldCharType="begin"/>
      </w:r>
      <w:r>
        <w:instrText xml:space="preserve"> PAGEREF _Toc152693396 \h </w:instrText>
      </w:r>
      <w:r>
        <w:fldChar w:fldCharType="separate"/>
      </w:r>
      <w:r>
        <w:t>4</w:t>
      </w:r>
      <w:r>
        <w:fldChar w:fldCharType="end"/>
      </w:r>
      <w:r>
        <w:fldChar w:fldCharType="end"/>
      </w:r>
    </w:p>
    <w:p w14:paraId="3B817FD5">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"_Toc152693397" </w:instrText>
      </w:r>
      <w:r>
        <w:fldChar w:fldCharType="separate"/>
      </w:r>
      <w:r>
        <w:rPr>
          <w:rStyle w:val="15"/>
          <w:rFonts w:ascii="仿宋_GB2312" w:eastAsia="仿宋_GB2312"/>
        </w:rPr>
        <w:t>五、业务咨询记录及专业意见分歧解决情况</w:t>
      </w:r>
      <w:r>
        <w:tab/>
      </w:r>
      <w:r>
        <w:fldChar w:fldCharType="begin"/>
      </w:r>
      <w:r>
        <w:instrText xml:space="preserve"> PAGEREF _Toc152693397 \h </w:instrText>
      </w:r>
      <w:r>
        <w:fldChar w:fldCharType="separate"/>
      </w:r>
      <w:r>
        <w:t>5</w:t>
      </w:r>
      <w:r>
        <w:fldChar w:fldCharType="end"/>
      </w:r>
      <w:r>
        <w:fldChar w:fldCharType="end"/>
      </w:r>
    </w:p>
    <w:p w14:paraId="7211DE40">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"_Toc152693398" </w:instrText>
      </w:r>
      <w:r>
        <w:fldChar w:fldCharType="separate"/>
      </w:r>
      <w:r>
        <w:rPr>
          <w:rStyle w:val="15"/>
          <w:rFonts w:ascii="仿宋_GB2312" w:eastAsia="仿宋_GB2312"/>
        </w:rPr>
        <w:t>六、对重大错报风险的应对措施执行情况</w:t>
      </w:r>
      <w:r>
        <w:tab/>
      </w:r>
      <w:r>
        <w:fldChar w:fldCharType="begin"/>
      </w:r>
      <w:r>
        <w:instrText xml:space="preserve"> PAGEREF _Toc152693398 \h </w:instrText>
      </w:r>
      <w:r>
        <w:fldChar w:fldCharType="separate"/>
      </w:r>
      <w:r>
        <w:t>6</w:t>
      </w:r>
      <w:r>
        <w:fldChar w:fldCharType="end"/>
      </w:r>
      <w:r>
        <w:fldChar w:fldCharType="end"/>
      </w:r>
    </w:p>
    <w:p w14:paraId="32882F38">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"_Toc152693399" </w:instrText>
      </w:r>
      <w:r>
        <w:fldChar w:fldCharType="separate"/>
      </w:r>
      <w:r>
        <w:rPr>
          <w:rStyle w:val="15"/>
          <w:rFonts w:ascii="仿宋_GB2312" w:eastAsia="仿宋_GB2312"/>
        </w:rPr>
        <w:t>七、利用专家的工作</w:t>
      </w:r>
      <w:r>
        <w:tab/>
      </w:r>
      <w:r>
        <w:fldChar w:fldCharType="begin"/>
      </w:r>
      <w:r>
        <w:instrText xml:space="preserve"> PAGEREF _Toc152693399 \h </w:instrText>
      </w:r>
      <w:r>
        <w:fldChar w:fldCharType="separate"/>
      </w:r>
      <w:r>
        <w:t>8</w:t>
      </w:r>
      <w:r>
        <w:fldChar w:fldCharType="end"/>
      </w:r>
      <w:r>
        <w:fldChar w:fldCharType="end"/>
      </w:r>
    </w:p>
    <w:p w14:paraId="2D883576">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"_Toc152693400" </w:instrText>
      </w:r>
      <w:r>
        <w:fldChar w:fldCharType="separate"/>
      </w:r>
      <w:r>
        <w:rPr>
          <w:rStyle w:val="15"/>
          <w:rFonts w:ascii="仿宋_GB2312" w:eastAsia="仿宋_GB2312"/>
        </w:rPr>
        <w:t>八、已审财务报表分析</w:t>
      </w:r>
      <w:r>
        <w:tab/>
      </w:r>
      <w:r>
        <w:fldChar w:fldCharType="begin"/>
      </w:r>
      <w:r>
        <w:instrText xml:space="preserve"> PAGEREF _Toc152693400 \h </w:instrText>
      </w:r>
      <w:r>
        <w:fldChar w:fldCharType="separate"/>
      </w:r>
      <w:r>
        <w:t>8</w:t>
      </w:r>
      <w:r>
        <w:fldChar w:fldCharType="end"/>
      </w:r>
      <w:r>
        <w:fldChar w:fldCharType="end"/>
      </w:r>
    </w:p>
    <w:p w14:paraId="5D77B998">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"_Toc152693401" </w:instrText>
      </w:r>
      <w:r>
        <w:fldChar w:fldCharType="separate"/>
      </w:r>
      <w:r>
        <w:rPr>
          <w:rStyle w:val="15"/>
          <w:rFonts w:ascii="仿宋_GB2312" w:eastAsia="仿宋_GB2312"/>
        </w:rPr>
        <w:t>九、对关联方及关联方交易的结论</w:t>
      </w:r>
      <w:r>
        <w:tab/>
      </w:r>
      <w:r>
        <w:fldChar w:fldCharType="begin"/>
      </w:r>
      <w:r>
        <w:instrText xml:space="preserve"> PAGEREF _Toc152693401 \h </w:instrText>
      </w:r>
      <w:r>
        <w:fldChar w:fldCharType="separate"/>
      </w:r>
      <w:r>
        <w:t>10</w:t>
      </w:r>
      <w:r>
        <w:fldChar w:fldCharType="end"/>
      </w:r>
      <w:r>
        <w:fldChar w:fldCharType="end"/>
      </w:r>
    </w:p>
    <w:p w14:paraId="5517F23B">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"_Toc152693402" </w:instrText>
      </w:r>
      <w:r>
        <w:fldChar w:fldCharType="separate"/>
      </w:r>
      <w:r>
        <w:rPr>
          <w:rStyle w:val="15"/>
          <w:rFonts w:ascii="仿宋_GB2312" w:eastAsia="仿宋_GB2312"/>
        </w:rPr>
        <w:t>十、基于持续经营假设的考虑</w:t>
      </w:r>
      <w:r>
        <w:tab/>
      </w:r>
      <w:r>
        <w:fldChar w:fldCharType="begin"/>
      </w:r>
      <w:r>
        <w:instrText xml:space="preserve"> PAGEREF _Toc152693402 \h </w:instrText>
      </w:r>
      <w:r>
        <w:fldChar w:fldCharType="separate"/>
      </w:r>
      <w:r>
        <w:t>10</w:t>
      </w:r>
      <w:r>
        <w:fldChar w:fldCharType="end"/>
      </w:r>
      <w:r>
        <w:fldChar w:fldCharType="end"/>
      </w:r>
    </w:p>
    <w:p w14:paraId="12B49E7F">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"_Toc152693403" </w:instrText>
      </w:r>
      <w:r>
        <w:fldChar w:fldCharType="separate"/>
      </w:r>
      <w:r>
        <w:rPr>
          <w:rStyle w:val="15"/>
          <w:rFonts w:ascii="仿宋_GB2312" w:eastAsia="仿宋_GB2312"/>
        </w:rPr>
        <w:t>十一、对期后事项形成的结论</w:t>
      </w:r>
      <w:r>
        <w:tab/>
      </w:r>
      <w:r>
        <w:fldChar w:fldCharType="begin"/>
      </w:r>
      <w:r>
        <w:instrText xml:space="preserve"> PAGEREF _Toc152693403 \h </w:instrText>
      </w:r>
      <w:r>
        <w:fldChar w:fldCharType="separate"/>
      </w:r>
      <w:r>
        <w:t>10</w:t>
      </w:r>
      <w:r>
        <w:fldChar w:fldCharType="end"/>
      </w:r>
      <w:r>
        <w:fldChar w:fldCharType="end"/>
      </w:r>
    </w:p>
    <w:p w14:paraId="3631388B">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"_Toc152693404" </w:instrText>
      </w:r>
      <w:r>
        <w:fldChar w:fldCharType="separate"/>
      </w:r>
      <w:r>
        <w:rPr>
          <w:rStyle w:val="15"/>
          <w:rFonts w:ascii="仿宋_GB2312" w:eastAsia="仿宋_GB2312"/>
        </w:rPr>
        <w:t>十二、拟在审计报告中沟通的关键审计事项</w:t>
      </w:r>
      <w:r>
        <w:tab/>
      </w:r>
      <w:r>
        <w:fldChar w:fldCharType="begin"/>
      </w:r>
      <w:r>
        <w:instrText xml:space="preserve"> PAGEREF _Toc152693404 \h </w:instrText>
      </w:r>
      <w:r>
        <w:fldChar w:fldCharType="separate"/>
      </w:r>
      <w:r>
        <w:t>10</w:t>
      </w:r>
      <w:r>
        <w:fldChar w:fldCharType="end"/>
      </w:r>
      <w:r>
        <w:fldChar w:fldCharType="end"/>
      </w:r>
    </w:p>
    <w:p w14:paraId="1952EE23">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"_Toc152693405" </w:instrText>
      </w:r>
      <w:r>
        <w:fldChar w:fldCharType="separate"/>
      </w:r>
      <w:r>
        <w:rPr>
          <w:rStyle w:val="15"/>
          <w:rFonts w:ascii="仿宋_GB2312" w:eastAsia="仿宋_GB2312"/>
        </w:rPr>
        <w:t>十三、其他信息</w:t>
      </w:r>
      <w:r>
        <w:tab/>
      </w:r>
      <w:r>
        <w:fldChar w:fldCharType="begin"/>
      </w:r>
      <w:r>
        <w:instrText xml:space="preserve"> PAGEREF _Toc152693405 \h </w:instrText>
      </w:r>
      <w:r>
        <w:fldChar w:fldCharType="separate"/>
      </w:r>
      <w:r>
        <w:t>11</w:t>
      </w:r>
      <w:r>
        <w:fldChar w:fldCharType="end"/>
      </w:r>
      <w:r>
        <w:fldChar w:fldCharType="end"/>
      </w:r>
    </w:p>
    <w:p w14:paraId="1D866CB0">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"_Toc152693406" </w:instrText>
      </w:r>
      <w:r>
        <w:fldChar w:fldCharType="separate"/>
      </w:r>
      <w:r>
        <w:rPr>
          <w:rStyle w:val="15"/>
          <w:rFonts w:ascii="仿宋_GB2312" w:eastAsia="仿宋_GB2312"/>
        </w:rPr>
        <w:t>十四、财务报表审计结论</w:t>
      </w:r>
      <w:r>
        <w:tab/>
      </w:r>
      <w:r>
        <w:fldChar w:fldCharType="begin"/>
      </w:r>
      <w:r>
        <w:instrText xml:space="preserve"> PAGEREF _Toc152693406 \h </w:instrText>
      </w:r>
      <w:r>
        <w:fldChar w:fldCharType="separate"/>
      </w:r>
      <w:r>
        <w:t>11</w:t>
      </w:r>
      <w:r>
        <w:fldChar w:fldCharType="end"/>
      </w:r>
      <w:r>
        <w:fldChar w:fldCharType="end"/>
      </w:r>
    </w:p>
    <w:p w14:paraId="490469B6">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"_Toc152693407" </w:instrText>
      </w:r>
      <w:r>
        <w:fldChar w:fldCharType="separate"/>
      </w:r>
      <w:r>
        <w:rPr>
          <w:rStyle w:val="15"/>
          <w:rFonts w:ascii="仿宋_GB2312" w:eastAsia="仿宋_GB2312"/>
        </w:rPr>
        <w:t>十五、其他特殊考虑事项</w:t>
      </w:r>
      <w:r>
        <w:tab/>
      </w:r>
      <w:r>
        <w:fldChar w:fldCharType="begin"/>
      </w:r>
      <w:r>
        <w:instrText xml:space="preserve"> PAGEREF _Toc152693407 \h </w:instrText>
      </w:r>
      <w:r>
        <w:fldChar w:fldCharType="separate"/>
      </w:r>
      <w:r>
        <w:t>12</w:t>
      </w:r>
      <w:r>
        <w:fldChar w:fldCharType="end"/>
      </w:r>
      <w:r>
        <w:fldChar w:fldCharType="end"/>
      </w:r>
    </w:p>
    <w:p w14:paraId="495859C9">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"_Toc152693408" </w:instrText>
      </w:r>
      <w:r>
        <w:fldChar w:fldCharType="separate"/>
      </w:r>
      <w:r>
        <w:rPr>
          <w:rStyle w:val="15"/>
          <w:rFonts w:ascii="仿宋_GB2312" w:eastAsia="仿宋_GB2312"/>
        </w:rPr>
        <w:t>十六、提请下年度审计关注事项</w:t>
      </w:r>
      <w:r>
        <w:tab/>
      </w:r>
      <w:r>
        <w:fldChar w:fldCharType="begin"/>
      </w:r>
      <w:r>
        <w:instrText xml:space="preserve"> PAGEREF _Toc152693408 \h </w:instrText>
      </w:r>
      <w:r>
        <w:fldChar w:fldCharType="separate"/>
      </w:r>
      <w:r>
        <w:t>16</w:t>
      </w:r>
      <w:r>
        <w:fldChar w:fldCharType="end"/>
      </w:r>
      <w:r>
        <w:fldChar w:fldCharType="end"/>
      </w:r>
    </w:p>
    <w:p w14:paraId="5D7958B9">
      <w:pPr>
        <w:pStyle w:val="8"/>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"_Toc152693409" </w:instrText>
      </w:r>
      <w:r>
        <w:fldChar w:fldCharType="separate"/>
      </w:r>
      <w:r>
        <w:rPr>
          <w:rStyle w:val="15"/>
          <w:rFonts w:ascii="仿宋_GB2312" w:eastAsia="仿宋_GB2312"/>
        </w:rPr>
        <w:t>附件：</w:t>
      </w:r>
      <w:r>
        <w:tab/>
      </w:r>
      <w:r>
        <w:fldChar w:fldCharType="begin"/>
      </w:r>
      <w:r>
        <w:instrText xml:space="preserve"> PAGEREF _Toc152693409 \h </w:instrText>
      </w:r>
      <w:r>
        <w:fldChar w:fldCharType="separate"/>
      </w:r>
      <w:r>
        <w:t>16</w:t>
      </w:r>
      <w:r>
        <w:fldChar w:fldCharType="end"/>
      </w:r>
      <w:r>
        <w:fldChar w:fldCharType="end"/>
      </w:r>
    </w:p>
    <w:p w14:paraId="76D83886">
      <w:pPr>
        <w:pStyle w:val="3"/>
        <w:spacing w:line="360" w:lineRule="auto"/>
        <w:rPr>
          <w:rFonts w:ascii="仿宋_GB2312" w:eastAsia="仿宋_GB2312"/>
          <w:sz w:val="24"/>
        </w:rPr>
      </w:pPr>
      <w:r>
        <w:rPr>
          <w:rFonts w:ascii="仿宋_GB2312" w:eastAsia="仿宋_GB2312"/>
          <w:sz w:val="24"/>
        </w:rPr>
        <w:fldChar w:fldCharType="end"/>
      </w:r>
    </w:p>
    <w:p w14:paraId="6D59F118">
      <w:pPr>
        <w:widowControl/>
        <w:jc w:val="left"/>
        <w:rPr>
          <w:rFonts w:ascii="仿宋_GB2312" w:eastAsia="仿宋_GB2312"/>
          <w:sz w:val="24"/>
          <w:szCs w:val="20"/>
        </w:rPr>
      </w:pPr>
      <w:r>
        <w:rPr>
          <w:rFonts w:ascii="仿宋_GB2312" w:eastAsia="仿宋_GB2312"/>
          <w:sz w:val="24"/>
        </w:rPr>
        <w:br w:type="page"/>
      </w:r>
    </w:p>
    <w:p w14:paraId="5FFD744C">
      <w:pPr>
        <w:pStyle w:val="11"/>
        <w:jc w:val="left"/>
        <w:rPr>
          <w:rFonts w:ascii="仿宋_GB2312" w:eastAsia="仿宋_GB2312"/>
          <w:sz w:val="28"/>
          <w:szCs w:val="28"/>
        </w:rPr>
      </w:pPr>
      <w:bookmarkStart w:id="0" w:name="_Toc152693393"/>
      <w:r>
        <w:rPr>
          <w:rFonts w:hint="eastAsia" w:ascii="仿宋_GB2312" w:eastAsia="仿宋_GB2312"/>
          <w:sz w:val="28"/>
          <w:szCs w:val="28"/>
        </w:rPr>
        <w:t>一、审计业务约定范围及执行情况</w:t>
      </w:r>
      <w:bookmarkEnd w:id="0"/>
    </w:p>
    <w:p w14:paraId="19637F1F">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1、业务约定范围及报告用途</w:t>
      </w:r>
    </w:p>
    <w:p w14:paraId="1910973D">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根据与被审计单位签订的财务报表审计业务约定书内容，本次审计需出具：</w:t>
      </w:r>
    </w:p>
    <w:p w14:paraId="2C86C3DF">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A、</w:t>
      </w:r>
      <w:r>
        <w:rPr>
          <w:rFonts w:hint="eastAsia" w:ascii="仿宋_GB2312" w:hAnsi="宋体" w:eastAsia="仿宋_GB2312"/>
          <w:color w:val="FF0000"/>
          <w:sz w:val="24"/>
        </w:rPr>
        <w:t>合并及公司</w:t>
      </w:r>
      <w:r>
        <w:rPr>
          <w:rFonts w:hint="eastAsia" w:ascii="仿宋_GB2312" w:hAnsi="宋体" w:eastAsia="仿宋_GB2312"/>
          <w:sz w:val="24"/>
        </w:rPr>
        <w:t>财务报表审计报告。（</w:t>
      </w:r>
      <w:r>
        <w:rPr>
          <w:rFonts w:hint="eastAsia" w:ascii="仿宋_GB2312" w:eastAsia="仿宋_GB2312"/>
          <w:color w:val="0000FF"/>
          <w:sz w:val="24"/>
        </w:rPr>
        <w:t>是否还包括其他子分公司的审计报告</w:t>
      </w:r>
      <w:r>
        <w:rPr>
          <w:rFonts w:hint="eastAsia" w:ascii="仿宋_GB2312" w:hAnsi="宋体" w:eastAsia="仿宋_GB2312"/>
          <w:sz w:val="24"/>
        </w:rPr>
        <w:t>）</w:t>
      </w:r>
    </w:p>
    <w:p w14:paraId="49150B24">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sz w:val="24"/>
        </w:rPr>
        <w:t>B、</w:t>
      </w:r>
      <w:r>
        <w:rPr>
          <w:rFonts w:hint="eastAsia" w:ascii="仿宋_GB2312" w:hAnsi="宋体" w:eastAsia="仿宋_GB2312"/>
          <w:color w:val="FF0000"/>
          <w:sz w:val="24"/>
        </w:rPr>
        <w:t>其他，如根据证券交易所、证监局、国资委等监管部门有关规定而出具：</w:t>
      </w:r>
    </w:p>
    <w:p w14:paraId="475948B5">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a、控股股东及其他关联方占用资金情况的专项说明；</w:t>
      </w:r>
    </w:p>
    <w:p w14:paraId="47471F6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b、内控制度自我评估报告核实评价意见；</w:t>
      </w:r>
    </w:p>
    <w:p w14:paraId="0E8D39A5">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c、资金风险状况专项报告。</w:t>
      </w:r>
    </w:p>
    <w:p w14:paraId="764005AC">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上述报告用途为：</w:t>
      </w:r>
    </w:p>
    <w:p w14:paraId="5AE92663">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2、按约定审计范围的执行情况</w:t>
      </w:r>
    </w:p>
    <w:p w14:paraId="3D728DB0">
      <w:pPr>
        <w:spacing w:before="156" w:beforeLines="50" w:line="300" w:lineRule="auto"/>
        <w:ind w:firstLine="480" w:firstLineChars="200"/>
        <w:rPr>
          <w:rFonts w:ascii="仿宋_GB2312" w:eastAsia="仿宋_GB2312"/>
          <w:color w:val="0000FF"/>
          <w:sz w:val="24"/>
        </w:rPr>
      </w:pPr>
      <w:r>
        <w:rPr>
          <w:rFonts w:hint="eastAsia" w:ascii="仿宋_GB2312" w:eastAsia="仿宋_GB2312"/>
          <w:color w:val="0000FF"/>
          <w:sz w:val="24"/>
        </w:rPr>
        <w:t>【审计范围是否按约定书执行，审计范围是否扩大、是否受到限制。</w:t>
      </w:r>
      <w:bookmarkStart w:id="1" w:name="OLE_LINK3"/>
      <w:r>
        <w:rPr>
          <w:rFonts w:hint="eastAsia" w:ascii="仿宋_GB2312" w:eastAsia="仿宋_GB2312"/>
          <w:color w:val="0000FF"/>
          <w:sz w:val="24"/>
        </w:rPr>
        <w:t>】</w:t>
      </w:r>
      <w:bookmarkEnd w:id="1"/>
    </w:p>
    <w:p w14:paraId="509C1A70">
      <w:pPr>
        <w:spacing w:before="156" w:beforeLines="50" w:line="300" w:lineRule="auto"/>
        <w:ind w:firstLine="480" w:firstLineChars="200"/>
        <w:rPr>
          <w:rFonts w:ascii="仿宋_GB2312" w:eastAsia="仿宋_GB2312"/>
          <w:color w:val="0000FF"/>
          <w:sz w:val="24"/>
        </w:rPr>
      </w:pPr>
      <w:r>
        <w:rPr>
          <w:rFonts w:hint="eastAsia" w:ascii="仿宋_GB2312" w:eastAsia="仿宋_GB2312"/>
          <w:color w:val="0000FF"/>
          <w:sz w:val="24"/>
        </w:rPr>
        <w:t>【注意：</w:t>
      </w:r>
    </w:p>
    <w:p w14:paraId="0B77D343">
      <w:pPr>
        <w:spacing w:before="156" w:beforeLines="50" w:line="300" w:lineRule="auto"/>
        <w:ind w:firstLine="480" w:firstLineChars="200"/>
        <w:rPr>
          <w:rFonts w:hint="eastAsia" w:ascii="仿宋_GB2312" w:eastAsia="仿宋_GB2312"/>
          <w:color w:val="0000FF"/>
          <w:sz w:val="24"/>
        </w:rPr>
      </w:pPr>
      <w:r>
        <w:rPr>
          <w:rFonts w:hint="eastAsia" w:ascii="仿宋_GB2312" w:eastAsia="仿宋_GB2312"/>
          <w:color w:val="0000FF"/>
          <w:sz w:val="24"/>
        </w:rPr>
        <w:t>最近一个会计年度经审计的利润总额、净利润或者扣除非经常性损益后的净利润孰低者为负值的公司，应当在年度报告中披露营业收入扣除情况及扣除后的营业收入金额。</w:t>
      </w:r>
    </w:p>
    <w:p w14:paraId="78ED0D82">
      <w:pPr>
        <w:spacing w:before="156" w:beforeLines="50" w:line="300" w:lineRule="auto"/>
        <w:ind w:firstLine="480" w:firstLineChars="200"/>
        <w:rPr>
          <w:rFonts w:hint="eastAsia" w:ascii="仿宋_GB2312" w:hAnsi="宋体" w:eastAsia="仿宋_GB2312"/>
          <w:sz w:val="24"/>
        </w:rPr>
      </w:pPr>
      <w:r>
        <w:rPr>
          <w:rFonts w:hint="eastAsia" w:ascii="仿宋_GB2312" w:eastAsia="仿宋_GB2312"/>
          <w:color w:val="0000FF"/>
          <w:sz w:val="24"/>
        </w:rPr>
        <w:t>针对最近一个会计年度经审计营业收入低于 3亿元(沪深主板)/1 亿元(科创板创业板)但利润总额、净利润及扣除非经常性损益后的净利润均为正值的公司，会计师事务所应当对其非经常性损益披露的真实性、准确性、完整性出具专项核查意见。】</w:t>
      </w:r>
    </w:p>
    <w:p w14:paraId="0FAF0BB0">
      <w:pPr>
        <w:pStyle w:val="11"/>
        <w:jc w:val="left"/>
        <w:rPr>
          <w:rFonts w:ascii="仿宋_GB2312" w:eastAsia="仿宋_GB2312"/>
          <w:sz w:val="28"/>
          <w:szCs w:val="28"/>
        </w:rPr>
      </w:pPr>
      <w:bookmarkStart w:id="2" w:name="_Toc152693394"/>
      <w:r>
        <w:rPr>
          <w:rFonts w:hint="eastAsia" w:ascii="仿宋_GB2312" w:eastAsia="仿宋_GB2312"/>
          <w:sz w:val="28"/>
          <w:szCs w:val="28"/>
        </w:rPr>
        <w:t>二、独立性</w:t>
      </w:r>
      <w:bookmarkEnd w:id="2"/>
    </w:p>
    <w:p w14:paraId="49601FFA">
      <w:pPr>
        <w:spacing w:before="156" w:beforeLines="50" w:line="300" w:lineRule="auto"/>
        <w:rPr>
          <w:rFonts w:ascii="仿宋_GB2312" w:eastAsia="仿宋_GB2312"/>
          <w:color w:val="0000FF"/>
          <w:sz w:val="24"/>
        </w:rPr>
      </w:pPr>
      <w:r>
        <w:rPr>
          <w:rFonts w:hint="eastAsia" w:ascii="仿宋_GB2312" w:eastAsia="仿宋_GB2312"/>
          <w:color w:val="0000FF"/>
          <w:sz w:val="24"/>
        </w:rPr>
        <w:t>【根据职业道德守则和事务所有关规定，说明项目组成员在形式上、实质上是否均独立于审计客户，没有任何关联关系】</w:t>
      </w:r>
    </w:p>
    <w:p w14:paraId="07B786C7">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签发审计报告的注册会计师在形式上、实质上完全独立于被审计单位，且没有任何关联关系。</w:t>
      </w:r>
    </w:p>
    <w:p w14:paraId="26BA2250">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1、项目组成员独立性声明：详见</w:t>
      </w:r>
      <w:r>
        <w:rPr>
          <w:rFonts w:hint="eastAsia" w:ascii="仿宋_GB2312" w:hAnsi="宋体" w:eastAsia="仿宋_GB2312"/>
          <w:color w:val="FF0000"/>
          <w:sz w:val="24"/>
        </w:rPr>
        <w:t>A17-7</w:t>
      </w:r>
    </w:p>
    <w:p w14:paraId="4DC31C5F">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sz w:val="24"/>
        </w:rPr>
        <w:t>2、被审计单位治理层（董事会或审计委员会）与注册会计师就年度审计进行的沟通记录中涉及独立性的书面确认：详见</w:t>
      </w:r>
      <w:r>
        <w:rPr>
          <w:rFonts w:hint="eastAsia" w:ascii="仿宋_GB2312" w:hAnsi="宋体" w:eastAsia="仿宋_GB2312"/>
          <w:color w:val="FF0000"/>
          <w:sz w:val="24"/>
        </w:rPr>
        <w:t>A10-1</w:t>
      </w:r>
    </w:p>
    <w:p w14:paraId="51244306">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3、审计过程中识别出的独立性威胁和利益冲突</w:t>
      </w:r>
    </w:p>
    <w:p w14:paraId="33850B6F">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【如有请说明就独立性威胁和利益冲突的咨询情况、所采取的防范措施及结论。】</w:t>
      </w:r>
    </w:p>
    <w:p w14:paraId="2194521A">
      <w:pPr>
        <w:spacing w:before="156" w:beforeLines="50" w:line="300" w:lineRule="auto"/>
        <w:rPr>
          <w:rFonts w:hint="eastAsia" w:ascii="仿宋_GB2312" w:hAnsi="宋体" w:eastAsia="仿宋_GB2312"/>
          <w:color w:val="0000FF"/>
          <w:sz w:val="24"/>
        </w:rPr>
      </w:pPr>
    </w:p>
    <w:p w14:paraId="07A26EBA">
      <w:pPr>
        <w:pStyle w:val="11"/>
        <w:jc w:val="left"/>
        <w:rPr>
          <w:rFonts w:ascii="仿宋_GB2312" w:eastAsia="仿宋_GB2312"/>
          <w:sz w:val="28"/>
          <w:szCs w:val="28"/>
        </w:rPr>
      </w:pPr>
      <w:bookmarkStart w:id="3" w:name="_Toc152693395"/>
      <w:r>
        <w:rPr>
          <w:rFonts w:hint="eastAsia" w:ascii="仿宋_GB2312" w:eastAsia="仿宋_GB2312"/>
          <w:sz w:val="28"/>
          <w:szCs w:val="28"/>
        </w:rPr>
        <w:t>三、对审计计划的更新和修改</w:t>
      </w:r>
      <w:bookmarkEnd w:id="3"/>
    </w:p>
    <w:p w14:paraId="78949B10">
      <w:pPr>
        <w:spacing w:before="156" w:beforeLines="50" w:line="300" w:lineRule="auto"/>
        <w:ind w:firstLine="480" w:firstLineChars="200"/>
        <w:rPr>
          <w:rFonts w:hint="eastAsia" w:ascii="仿宋_GB2312" w:hAnsi="宋体" w:eastAsia="仿宋_GB2312"/>
          <w:sz w:val="24"/>
        </w:rPr>
      </w:pPr>
      <w:r>
        <w:rPr>
          <w:rFonts w:ascii="仿宋_GB2312" w:hAnsi="宋体" w:eastAsia="仿宋_GB2312"/>
          <w:sz w:val="24"/>
        </w:rPr>
        <w:t>1</w:t>
      </w:r>
      <w:r>
        <w:rPr>
          <w:rFonts w:hint="eastAsia" w:ascii="仿宋_GB2312" w:hAnsi="宋体" w:eastAsia="仿宋_GB2312"/>
          <w:sz w:val="24"/>
        </w:rPr>
        <w:t>、对审计计划的修改及理由</w:t>
      </w:r>
    </w:p>
    <w:p w14:paraId="780DA341">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审计工作按总体审计策略进行。</w:t>
      </w:r>
    </w:p>
    <w:p w14:paraId="3E3CEAED">
      <w:pPr>
        <w:spacing w:before="156" w:beforeLines="50" w:line="300" w:lineRule="auto"/>
        <w:rPr>
          <w:rFonts w:ascii="仿宋_GB2312" w:eastAsia="仿宋_GB2312"/>
          <w:color w:val="0000FF"/>
          <w:sz w:val="24"/>
        </w:rPr>
      </w:pPr>
      <w:r>
        <w:rPr>
          <w:rFonts w:hint="eastAsia" w:ascii="仿宋_GB2312" w:eastAsia="仿宋_GB2312"/>
          <w:color w:val="0000FF"/>
          <w:sz w:val="24"/>
        </w:rPr>
        <w:t>【或者说明对审计计划的修改及理由：】</w:t>
      </w:r>
    </w:p>
    <w:tbl>
      <w:tblPr>
        <w:tblStyle w:val="12"/>
        <w:tblW w:w="8804"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78"/>
        <w:gridCol w:w="1379"/>
        <w:gridCol w:w="1719"/>
        <w:gridCol w:w="1351"/>
        <w:gridCol w:w="1276"/>
        <w:gridCol w:w="1701"/>
      </w:tblGrid>
      <w:tr w14:paraId="6C2E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tblHeader/>
        </w:trPr>
        <w:tc>
          <w:tcPr>
            <w:tcW w:w="1378" w:type="dxa"/>
            <w:vAlign w:val="center"/>
          </w:tcPr>
          <w:p w14:paraId="72FDD660">
            <w:pPr>
              <w:spacing w:before="156"/>
              <w:jc w:val="center"/>
              <w:rPr>
                <w:rFonts w:ascii="Arial Narrow" w:hAnsi="Arial Narrow" w:eastAsia="仿宋_GB2312" w:cs="宋体"/>
                <w:b/>
                <w:sz w:val="24"/>
              </w:rPr>
            </w:pPr>
            <w:r>
              <w:rPr>
                <w:rFonts w:hint="eastAsia" w:ascii="Arial Narrow" w:hAnsi="Arial Narrow" w:eastAsia="仿宋_GB2312" w:cs="宋体"/>
                <w:b/>
                <w:sz w:val="24"/>
              </w:rPr>
              <w:t>修改轮次</w:t>
            </w:r>
          </w:p>
        </w:tc>
        <w:tc>
          <w:tcPr>
            <w:tcW w:w="1379" w:type="dxa"/>
            <w:vAlign w:val="center"/>
          </w:tcPr>
          <w:p w14:paraId="0F161E3C">
            <w:pPr>
              <w:spacing w:before="156"/>
              <w:jc w:val="center"/>
              <w:rPr>
                <w:rFonts w:ascii="Arial Narrow" w:hAnsi="Arial Narrow" w:eastAsia="仿宋_GB2312" w:cs="宋体"/>
                <w:b/>
                <w:sz w:val="24"/>
              </w:rPr>
            </w:pPr>
            <w:r>
              <w:rPr>
                <w:rFonts w:hint="eastAsia" w:ascii="Arial Narrow" w:hAnsi="Arial Narrow" w:eastAsia="仿宋_GB2312" w:cs="宋体"/>
                <w:b/>
                <w:sz w:val="24"/>
              </w:rPr>
              <w:t>修改时间</w:t>
            </w:r>
          </w:p>
        </w:tc>
        <w:tc>
          <w:tcPr>
            <w:tcW w:w="1719" w:type="dxa"/>
            <w:tcMar>
              <w:top w:w="15" w:type="dxa"/>
              <w:left w:w="15" w:type="dxa"/>
              <w:bottom w:w="0" w:type="dxa"/>
              <w:right w:w="15" w:type="dxa"/>
            </w:tcMar>
            <w:vAlign w:val="center"/>
          </w:tcPr>
          <w:p w14:paraId="5E9292ED">
            <w:pPr>
              <w:spacing w:before="156"/>
              <w:jc w:val="center"/>
              <w:rPr>
                <w:rFonts w:ascii="Arial Narrow" w:hAnsi="Arial Narrow" w:eastAsia="仿宋_GB2312"/>
                <w:b/>
                <w:sz w:val="24"/>
              </w:rPr>
            </w:pPr>
            <w:r>
              <w:rPr>
                <w:rFonts w:ascii="Arial Narrow" w:hAnsi="Arial Narrow" w:eastAsia="仿宋_GB2312" w:cs="宋体"/>
                <w:b/>
                <w:sz w:val="24"/>
              </w:rPr>
              <w:t>原计划</w:t>
            </w:r>
            <w:r>
              <w:rPr>
                <w:rFonts w:hint="eastAsia" w:ascii="Arial Narrow" w:hAnsi="Arial Narrow" w:eastAsia="仿宋_GB2312" w:cs="宋体"/>
                <w:b/>
                <w:sz w:val="24"/>
              </w:rPr>
              <w:t>或安排</w:t>
            </w:r>
          </w:p>
        </w:tc>
        <w:tc>
          <w:tcPr>
            <w:tcW w:w="1351" w:type="dxa"/>
            <w:tcMar>
              <w:top w:w="15" w:type="dxa"/>
              <w:left w:w="15" w:type="dxa"/>
              <w:bottom w:w="0" w:type="dxa"/>
              <w:right w:w="15" w:type="dxa"/>
            </w:tcMar>
            <w:vAlign w:val="center"/>
          </w:tcPr>
          <w:p w14:paraId="381B719A">
            <w:pPr>
              <w:spacing w:before="156"/>
              <w:jc w:val="center"/>
              <w:rPr>
                <w:rFonts w:ascii="Arial Narrow" w:hAnsi="Arial Narrow" w:eastAsia="仿宋_GB2312"/>
                <w:b/>
                <w:sz w:val="24"/>
              </w:rPr>
            </w:pPr>
            <w:r>
              <w:rPr>
                <w:rFonts w:hint="eastAsia" w:ascii="Arial Narrow" w:hAnsi="Arial Narrow" w:eastAsia="仿宋_GB2312" w:cs="宋体"/>
                <w:b/>
                <w:sz w:val="24"/>
              </w:rPr>
              <w:t>更新和修改情况</w:t>
            </w:r>
          </w:p>
        </w:tc>
        <w:tc>
          <w:tcPr>
            <w:tcW w:w="1276" w:type="dxa"/>
            <w:tcMar>
              <w:top w:w="15" w:type="dxa"/>
              <w:left w:w="15" w:type="dxa"/>
              <w:bottom w:w="0" w:type="dxa"/>
              <w:right w:w="15" w:type="dxa"/>
            </w:tcMar>
            <w:vAlign w:val="center"/>
          </w:tcPr>
          <w:p w14:paraId="0FE2032E">
            <w:pPr>
              <w:spacing w:before="156"/>
              <w:jc w:val="center"/>
              <w:rPr>
                <w:rFonts w:ascii="Arial Narrow" w:hAnsi="Arial Narrow" w:eastAsia="仿宋_GB2312"/>
                <w:b/>
                <w:sz w:val="24"/>
              </w:rPr>
            </w:pPr>
            <w:r>
              <w:rPr>
                <w:rFonts w:hint="eastAsia" w:ascii="Arial Narrow" w:hAnsi="Arial Narrow" w:eastAsia="仿宋_GB2312" w:cs="宋体"/>
                <w:b/>
                <w:sz w:val="24"/>
              </w:rPr>
              <w:t>更新和修改理由</w:t>
            </w:r>
          </w:p>
        </w:tc>
        <w:tc>
          <w:tcPr>
            <w:tcW w:w="1701" w:type="dxa"/>
            <w:tcMar>
              <w:top w:w="15" w:type="dxa"/>
              <w:left w:w="15" w:type="dxa"/>
              <w:bottom w:w="0" w:type="dxa"/>
              <w:right w:w="15" w:type="dxa"/>
            </w:tcMar>
            <w:vAlign w:val="center"/>
          </w:tcPr>
          <w:p w14:paraId="6CA0B434">
            <w:pPr>
              <w:spacing w:before="156"/>
              <w:jc w:val="center"/>
              <w:rPr>
                <w:rFonts w:ascii="Arial Narrow" w:hAnsi="Arial Narrow" w:eastAsia="仿宋_GB2312"/>
                <w:b/>
                <w:sz w:val="24"/>
              </w:rPr>
            </w:pPr>
            <w:r>
              <w:rPr>
                <w:rFonts w:hint="eastAsia" w:ascii="Arial Narrow" w:hAnsi="Arial Narrow" w:eastAsia="仿宋_GB2312" w:cs="宋体"/>
                <w:b/>
                <w:sz w:val="24"/>
              </w:rPr>
              <w:t>更新和</w:t>
            </w:r>
            <w:r>
              <w:rPr>
                <w:rFonts w:ascii="Arial Narrow" w:hAnsi="Arial Narrow" w:eastAsia="仿宋_GB2312" w:cs="宋体"/>
                <w:b/>
                <w:sz w:val="24"/>
              </w:rPr>
              <w:t>修改后</w:t>
            </w:r>
            <w:r>
              <w:rPr>
                <w:rFonts w:hint="eastAsia" w:ascii="Arial Narrow" w:hAnsi="Arial Narrow" w:eastAsia="仿宋_GB2312" w:cs="宋体"/>
                <w:b/>
                <w:sz w:val="24"/>
              </w:rPr>
              <w:t>的安排或</w:t>
            </w:r>
            <w:r>
              <w:rPr>
                <w:rFonts w:ascii="Arial Narrow" w:hAnsi="Arial Narrow" w:eastAsia="仿宋_GB2312" w:cs="宋体"/>
                <w:b/>
                <w:sz w:val="24"/>
              </w:rPr>
              <w:t>实施的</w:t>
            </w:r>
            <w:r>
              <w:rPr>
                <w:rFonts w:hint="eastAsia" w:ascii="Arial Narrow" w:hAnsi="Arial Narrow" w:eastAsia="仿宋_GB2312" w:cs="宋体"/>
                <w:b/>
                <w:sz w:val="24"/>
              </w:rPr>
              <w:t>程序</w:t>
            </w:r>
          </w:p>
        </w:tc>
      </w:tr>
      <w:tr w14:paraId="2E64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trPr>
        <w:tc>
          <w:tcPr>
            <w:tcW w:w="1378" w:type="dxa"/>
          </w:tcPr>
          <w:p w14:paraId="42924050">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第一次修改</w:t>
            </w:r>
          </w:p>
        </w:tc>
        <w:tc>
          <w:tcPr>
            <w:tcW w:w="1379" w:type="dxa"/>
          </w:tcPr>
          <w:p w14:paraId="7FBA0511">
            <w:pPr>
              <w:spacing w:before="156"/>
              <w:jc w:val="left"/>
              <w:rPr>
                <w:rFonts w:ascii="Arial Narrow" w:hAnsi="Arial Narrow" w:eastAsia="仿宋_GB2312" w:cs="宋体"/>
                <w:color w:val="FF0000"/>
                <w:sz w:val="24"/>
              </w:rPr>
            </w:pPr>
          </w:p>
        </w:tc>
        <w:tc>
          <w:tcPr>
            <w:tcW w:w="1719" w:type="dxa"/>
            <w:tcMar>
              <w:top w:w="15" w:type="dxa"/>
              <w:left w:w="15" w:type="dxa"/>
              <w:bottom w:w="0" w:type="dxa"/>
              <w:right w:w="15" w:type="dxa"/>
            </w:tcMar>
            <w:vAlign w:val="center"/>
          </w:tcPr>
          <w:p w14:paraId="1E614C5F">
            <w:pPr>
              <w:spacing w:before="156"/>
              <w:jc w:val="left"/>
              <w:rPr>
                <w:rFonts w:ascii="Arial Narrow" w:hAnsi="Arial Narrow" w:eastAsia="仿宋_GB2312" w:cs="宋体"/>
                <w:color w:val="FF0000"/>
                <w:sz w:val="24"/>
              </w:rPr>
            </w:pPr>
            <w:r>
              <w:rPr>
                <w:rFonts w:ascii="Arial Narrow" w:hAnsi="Arial Narrow" w:eastAsia="仿宋_GB2312" w:cs="宋体"/>
                <w:color w:val="FF0000"/>
                <w:sz w:val="24"/>
              </w:rPr>
              <w:t>P</w:t>
            </w:r>
            <w:r>
              <w:rPr>
                <w:rFonts w:hint="eastAsia" w:ascii="Arial Narrow" w:hAnsi="Arial Narrow" w:eastAsia="仿宋_GB2312" w:cs="宋体"/>
                <w:color w:val="FF0000"/>
                <w:sz w:val="24"/>
              </w:rPr>
              <w:t>公司不是重要组成部分（八、（二））</w:t>
            </w:r>
          </w:p>
        </w:tc>
        <w:tc>
          <w:tcPr>
            <w:tcW w:w="1351" w:type="dxa"/>
            <w:tcMar>
              <w:top w:w="15" w:type="dxa"/>
              <w:left w:w="15" w:type="dxa"/>
              <w:bottom w:w="0" w:type="dxa"/>
              <w:right w:w="15" w:type="dxa"/>
            </w:tcMar>
            <w:vAlign w:val="center"/>
          </w:tcPr>
          <w:p w14:paraId="15BBA145">
            <w:pPr>
              <w:spacing w:before="156"/>
              <w:jc w:val="center"/>
              <w:rPr>
                <w:rFonts w:ascii="Arial Narrow" w:hAnsi="Arial Narrow" w:eastAsia="仿宋_GB2312" w:cs="宋体"/>
                <w:b/>
                <w:color w:val="FF0000"/>
                <w:sz w:val="24"/>
              </w:rPr>
            </w:pPr>
            <w:r>
              <w:rPr>
                <w:rFonts w:ascii="Arial Narrow" w:hAnsi="Arial Narrow" w:eastAsia="仿宋_GB2312" w:cs="宋体"/>
                <w:color w:val="FF0000"/>
                <w:sz w:val="24"/>
              </w:rPr>
              <w:t>P</w:t>
            </w:r>
            <w:r>
              <w:rPr>
                <w:rFonts w:hint="eastAsia" w:ascii="Arial Narrow" w:hAnsi="Arial Narrow" w:eastAsia="仿宋_GB2312" w:cs="宋体"/>
                <w:color w:val="FF0000"/>
                <w:sz w:val="24"/>
              </w:rPr>
              <w:t>公司是具有特别风险的重要组成部分</w:t>
            </w:r>
          </w:p>
        </w:tc>
        <w:tc>
          <w:tcPr>
            <w:tcW w:w="1276" w:type="dxa"/>
            <w:tcMar>
              <w:top w:w="15" w:type="dxa"/>
              <w:left w:w="15" w:type="dxa"/>
              <w:bottom w:w="0" w:type="dxa"/>
              <w:right w:w="15" w:type="dxa"/>
            </w:tcMar>
            <w:vAlign w:val="center"/>
          </w:tcPr>
          <w:p w14:paraId="5A2695DA">
            <w:pPr>
              <w:spacing w:before="156"/>
              <w:jc w:val="left"/>
              <w:rPr>
                <w:rFonts w:ascii="Arial Narrow" w:hAnsi="Arial Narrow" w:eastAsia="仿宋_GB2312" w:cs="宋体"/>
                <w:color w:val="FF0000"/>
                <w:sz w:val="24"/>
              </w:rPr>
            </w:pPr>
            <w:r>
              <w:rPr>
                <w:rFonts w:ascii="Arial Narrow" w:hAnsi="Arial Narrow" w:eastAsia="仿宋_GB2312" w:cs="宋体"/>
                <w:color w:val="FF0000"/>
                <w:sz w:val="24"/>
              </w:rPr>
              <w:t>P</w:t>
            </w:r>
            <w:r>
              <w:rPr>
                <w:rFonts w:hint="eastAsia" w:ascii="Arial Narrow" w:hAnsi="Arial Narrow" w:eastAsia="仿宋_GB2312" w:cs="宋体"/>
                <w:color w:val="FF0000"/>
                <w:sz w:val="24"/>
              </w:rPr>
              <w:t>公司存在重大未决诉讼</w:t>
            </w:r>
          </w:p>
        </w:tc>
        <w:tc>
          <w:tcPr>
            <w:tcW w:w="1701" w:type="dxa"/>
            <w:tcMar>
              <w:top w:w="15" w:type="dxa"/>
              <w:left w:w="15" w:type="dxa"/>
              <w:bottom w:w="0" w:type="dxa"/>
              <w:right w:w="15" w:type="dxa"/>
            </w:tcMar>
            <w:vAlign w:val="center"/>
          </w:tcPr>
          <w:p w14:paraId="154FB878">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进一步的针对性程序</w:t>
            </w:r>
          </w:p>
        </w:tc>
      </w:tr>
      <w:tr w14:paraId="45EB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2" w:hRule="atLeast"/>
        </w:trPr>
        <w:tc>
          <w:tcPr>
            <w:tcW w:w="1378" w:type="dxa"/>
          </w:tcPr>
          <w:p w14:paraId="6453500B">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第二次修改</w:t>
            </w:r>
          </w:p>
        </w:tc>
        <w:tc>
          <w:tcPr>
            <w:tcW w:w="1379" w:type="dxa"/>
          </w:tcPr>
          <w:p w14:paraId="6B3293A7">
            <w:pPr>
              <w:spacing w:before="156"/>
              <w:jc w:val="left"/>
              <w:rPr>
                <w:rFonts w:ascii="Arial Narrow" w:hAnsi="Arial Narrow" w:eastAsia="仿宋_GB2312" w:cs="宋体"/>
                <w:color w:val="FF0000"/>
                <w:sz w:val="24"/>
              </w:rPr>
            </w:pPr>
          </w:p>
        </w:tc>
        <w:tc>
          <w:tcPr>
            <w:tcW w:w="1719" w:type="dxa"/>
            <w:tcMar>
              <w:top w:w="15" w:type="dxa"/>
              <w:left w:w="15" w:type="dxa"/>
              <w:bottom w:w="0" w:type="dxa"/>
              <w:right w:w="15" w:type="dxa"/>
            </w:tcMar>
            <w:vAlign w:val="center"/>
          </w:tcPr>
          <w:p w14:paraId="0E576FD2">
            <w:pPr>
              <w:spacing w:before="156"/>
              <w:jc w:val="left"/>
              <w:rPr>
                <w:rFonts w:ascii="Arial Narrow" w:hAnsi="Arial Narrow" w:eastAsia="仿宋_GB2312"/>
                <w:color w:val="FF0000"/>
                <w:sz w:val="24"/>
              </w:rPr>
            </w:pPr>
            <w:r>
              <w:rPr>
                <w:rFonts w:hint="eastAsia" w:ascii="Arial Narrow" w:hAnsi="Arial Narrow" w:eastAsia="仿宋_GB2312" w:cs="宋体"/>
                <w:color w:val="FF0000"/>
                <w:sz w:val="24"/>
              </w:rPr>
              <w:t>重要性水平：</w:t>
            </w:r>
            <w:r>
              <w:rPr>
                <w:rFonts w:ascii="Arial Narrow" w:hAnsi="Arial Narrow" w:eastAsia="仿宋_GB2312" w:cs="宋体"/>
                <w:color w:val="FF0000"/>
                <w:sz w:val="24"/>
              </w:rPr>
              <w:t>200</w:t>
            </w:r>
            <w:r>
              <w:rPr>
                <w:rFonts w:hint="eastAsia" w:ascii="Arial Narrow" w:hAnsi="Arial Narrow" w:eastAsia="仿宋_GB2312" w:cs="宋体"/>
                <w:color w:val="FF0000"/>
                <w:sz w:val="24"/>
              </w:rPr>
              <w:t>万元（五、（一））</w:t>
            </w:r>
          </w:p>
        </w:tc>
        <w:tc>
          <w:tcPr>
            <w:tcW w:w="1351" w:type="dxa"/>
            <w:tcMar>
              <w:top w:w="15" w:type="dxa"/>
              <w:left w:w="15" w:type="dxa"/>
              <w:bottom w:w="0" w:type="dxa"/>
              <w:right w:w="15" w:type="dxa"/>
            </w:tcMar>
            <w:vAlign w:val="center"/>
          </w:tcPr>
          <w:p w14:paraId="4B699265">
            <w:pPr>
              <w:spacing w:before="156"/>
              <w:jc w:val="left"/>
              <w:rPr>
                <w:rFonts w:ascii="Arial Narrow" w:hAnsi="Arial Narrow" w:eastAsia="仿宋_GB2312"/>
                <w:color w:val="FF0000"/>
                <w:sz w:val="24"/>
              </w:rPr>
            </w:pPr>
            <w:r>
              <w:rPr>
                <w:rFonts w:hint="eastAsia" w:ascii="Arial Narrow" w:hAnsi="Arial Narrow" w:eastAsia="仿宋_GB2312" w:cs="宋体"/>
                <w:color w:val="FF0000"/>
                <w:sz w:val="24"/>
              </w:rPr>
              <w:t>重要性水平：</w:t>
            </w:r>
            <w:r>
              <w:rPr>
                <w:rFonts w:ascii="Arial Narrow" w:hAnsi="Arial Narrow" w:eastAsia="仿宋_GB2312" w:cs="宋体"/>
                <w:color w:val="FF0000"/>
                <w:sz w:val="24"/>
              </w:rPr>
              <w:t>2</w:t>
            </w:r>
            <w:r>
              <w:rPr>
                <w:rFonts w:hint="eastAsia" w:ascii="Arial Narrow" w:hAnsi="Arial Narrow" w:eastAsia="仿宋_GB2312" w:cs="宋体"/>
                <w:color w:val="FF0000"/>
                <w:sz w:val="24"/>
              </w:rPr>
              <w:t>2</w:t>
            </w:r>
            <w:r>
              <w:rPr>
                <w:rFonts w:ascii="Arial Narrow" w:hAnsi="Arial Narrow" w:eastAsia="仿宋_GB2312" w:cs="宋体"/>
                <w:color w:val="FF0000"/>
                <w:sz w:val="24"/>
              </w:rPr>
              <w:t>0</w:t>
            </w:r>
            <w:r>
              <w:rPr>
                <w:rFonts w:hint="eastAsia" w:ascii="Arial Narrow" w:hAnsi="Arial Narrow" w:eastAsia="仿宋_GB2312" w:cs="宋体"/>
                <w:color w:val="FF0000"/>
                <w:sz w:val="24"/>
              </w:rPr>
              <w:t>万元</w:t>
            </w:r>
          </w:p>
        </w:tc>
        <w:tc>
          <w:tcPr>
            <w:tcW w:w="1276" w:type="dxa"/>
            <w:tcMar>
              <w:top w:w="15" w:type="dxa"/>
              <w:left w:w="15" w:type="dxa"/>
              <w:bottom w:w="0" w:type="dxa"/>
              <w:right w:w="15" w:type="dxa"/>
            </w:tcMar>
            <w:vAlign w:val="center"/>
          </w:tcPr>
          <w:p w14:paraId="2C2214FE">
            <w:pPr>
              <w:spacing w:before="156"/>
              <w:jc w:val="left"/>
              <w:rPr>
                <w:rFonts w:ascii="Arial Narrow" w:hAnsi="Arial Narrow" w:eastAsia="仿宋_GB2312"/>
                <w:color w:val="FF0000"/>
                <w:sz w:val="24"/>
              </w:rPr>
            </w:pPr>
            <w:r>
              <w:rPr>
                <w:rFonts w:hint="eastAsia" w:ascii="Arial Narrow" w:hAnsi="Arial Narrow" w:eastAsia="仿宋_GB2312" w:cs="宋体"/>
                <w:color w:val="FF0000"/>
                <w:sz w:val="24"/>
              </w:rPr>
              <w:t>因审定数较未审数调整</w:t>
            </w:r>
            <w:r>
              <w:rPr>
                <w:rFonts w:ascii="Arial Narrow" w:hAnsi="Arial Narrow" w:eastAsia="仿宋_GB2312" w:cs="宋体"/>
                <w:color w:val="FF0000"/>
                <w:sz w:val="24"/>
              </w:rPr>
              <w:t>/</w:t>
            </w:r>
            <w:r>
              <w:rPr>
                <w:rFonts w:hint="eastAsia" w:ascii="Arial Narrow" w:hAnsi="Arial Narrow" w:eastAsia="仿宋_GB2312" w:cs="宋体"/>
                <w:color w:val="FF0000"/>
                <w:sz w:val="24"/>
              </w:rPr>
              <w:t>以审定数替换预测数</w:t>
            </w:r>
          </w:p>
        </w:tc>
        <w:tc>
          <w:tcPr>
            <w:tcW w:w="1701" w:type="dxa"/>
            <w:tcMar>
              <w:top w:w="15" w:type="dxa"/>
              <w:left w:w="15" w:type="dxa"/>
              <w:bottom w:w="0" w:type="dxa"/>
              <w:right w:w="15" w:type="dxa"/>
            </w:tcMar>
            <w:vAlign w:val="center"/>
          </w:tcPr>
          <w:p w14:paraId="328C281F">
            <w:pPr>
              <w:spacing w:before="156"/>
              <w:jc w:val="left"/>
              <w:rPr>
                <w:rFonts w:ascii="Arial Narrow" w:hAnsi="Arial Narrow" w:eastAsia="仿宋_GB2312"/>
                <w:iCs/>
                <w:color w:val="FF0000"/>
                <w:sz w:val="24"/>
              </w:rPr>
            </w:pPr>
            <w:r>
              <w:rPr>
                <w:rFonts w:hint="eastAsia" w:ascii="Arial Narrow" w:hAnsi="Arial Narrow" w:eastAsia="仿宋_GB2312" w:cs="宋体"/>
                <w:iCs/>
                <w:color w:val="FF0000"/>
                <w:sz w:val="24"/>
              </w:rPr>
              <w:t>差异小，无需增加其他程序，无需调整原审计程序的范围</w:t>
            </w:r>
          </w:p>
        </w:tc>
      </w:tr>
      <w:tr w14:paraId="6D29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2" w:hRule="atLeast"/>
        </w:trPr>
        <w:tc>
          <w:tcPr>
            <w:tcW w:w="1378" w:type="dxa"/>
          </w:tcPr>
          <w:p w14:paraId="06921365">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w:t>
            </w:r>
          </w:p>
        </w:tc>
        <w:tc>
          <w:tcPr>
            <w:tcW w:w="1379" w:type="dxa"/>
          </w:tcPr>
          <w:p w14:paraId="2CFEB9F2">
            <w:pPr>
              <w:spacing w:before="156"/>
              <w:jc w:val="left"/>
              <w:rPr>
                <w:rFonts w:ascii="Arial Narrow" w:hAnsi="Arial Narrow" w:eastAsia="仿宋_GB2312" w:cs="宋体"/>
                <w:color w:val="FF0000"/>
                <w:sz w:val="24"/>
              </w:rPr>
            </w:pPr>
          </w:p>
        </w:tc>
        <w:tc>
          <w:tcPr>
            <w:tcW w:w="1719" w:type="dxa"/>
            <w:tcMar>
              <w:top w:w="15" w:type="dxa"/>
              <w:left w:w="15" w:type="dxa"/>
              <w:bottom w:w="0" w:type="dxa"/>
              <w:right w:w="15" w:type="dxa"/>
            </w:tcMar>
            <w:vAlign w:val="center"/>
          </w:tcPr>
          <w:p w14:paraId="433051DB">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利用专家的工作：未利用税务专家（三、（四））</w:t>
            </w:r>
          </w:p>
        </w:tc>
        <w:tc>
          <w:tcPr>
            <w:tcW w:w="1351" w:type="dxa"/>
            <w:tcMar>
              <w:top w:w="15" w:type="dxa"/>
              <w:left w:w="15" w:type="dxa"/>
              <w:bottom w:w="0" w:type="dxa"/>
              <w:right w:w="15" w:type="dxa"/>
            </w:tcMar>
            <w:vAlign w:val="center"/>
          </w:tcPr>
          <w:p w14:paraId="2FC10957">
            <w:pPr>
              <w:spacing w:before="156"/>
              <w:jc w:val="left"/>
              <w:rPr>
                <w:rFonts w:ascii="Arial Narrow" w:hAnsi="Arial Narrow" w:eastAsia="仿宋_GB2312" w:cs="宋体"/>
                <w:color w:val="FF0000"/>
                <w:sz w:val="24"/>
              </w:rPr>
            </w:pPr>
            <w:r>
              <w:rPr>
                <w:rFonts w:hint="eastAsia" w:ascii="Arial Narrow" w:hAnsi="Arial Narrow" w:eastAsia="仿宋_GB2312" w:cs="宋体"/>
                <w:color w:val="FF0000"/>
                <w:sz w:val="24"/>
              </w:rPr>
              <w:t>利用税务专家的工作</w:t>
            </w:r>
          </w:p>
        </w:tc>
        <w:tc>
          <w:tcPr>
            <w:tcW w:w="1276" w:type="dxa"/>
            <w:tcMar>
              <w:top w:w="15" w:type="dxa"/>
              <w:left w:w="15" w:type="dxa"/>
              <w:bottom w:w="0" w:type="dxa"/>
              <w:right w:w="15" w:type="dxa"/>
            </w:tcMar>
            <w:vAlign w:val="center"/>
          </w:tcPr>
          <w:p w14:paraId="1B900CB9">
            <w:pPr>
              <w:spacing w:before="156"/>
              <w:jc w:val="left"/>
              <w:rPr>
                <w:rFonts w:ascii="Arial Narrow" w:hAnsi="Arial Narrow" w:eastAsia="仿宋_GB2312" w:cs="宋体"/>
                <w:iCs/>
                <w:color w:val="FF0000"/>
                <w:sz w:val="24"/>
              </w:rPr>
            </w:pPr>
            <w:r>
              <w:rPr>
                <w:rFonts w:ascii="Arial Narrow" w:hAnsi="Arial Narrow" w:eastAsia="仿宋_GB2312" w:cs="宋体"/>
                <w:iCs/>
                <w:color w:val="FF0000"/>
                <w:sz w:val="24"/>
              </w:rPr>
              <w:t>XX</w:t>
            </w:r>
          </w:p>
        </w:tc>
        <w:tc>
          <w:tcPr>
            <w:tcW w:w="1701" w:type="dxa"/>
            <w:tcMar>
              <w:top w:w="15" w:type="dxa"/>
              <w:left w:w="15" w:type="dxa"/>
              <w:bottom w:w="0" w:type="dxa"/>
              <w:right w:w="15" w:type="dxa"/>
            </w:tcMar>
            <w:vAlign w:val="center"/>
          </w:tcPr>
          <w:p w14:paraId="0044DEF1">
            <w:pPr>
              <w:spacing w:before="156"/>
              <w:jc w:val="left"/>
              <w:rPr>
                <w:rFonts w:ascii="Arial Narrow" w:hAnsi="Arial Narrow" w:eastAsia="仿宋_GB2312" w:cs="宋体"/>
                <w:iCs/>
                <w:color w:val="FF0000"/>
                <w:sz w:val="24"/>
              </w:rPr>
            </w:pPr>
            <w:r>
              <w:rPr>
                <w:rFonts w:hint="eastAsia" w:ascii="Arial Narrow" w:hAnsi="Arial Narrow" w:eastAsia="仿宋_GB2312" w:cs="宋体"/>
                <w:iCs/>
                <w:color w:val="FF0000"/>
                <w:sz w:val="24"/>
              </w:rPr>
              <w:t>……</w:t>
            </w:r>
          </w:p>
        </w:tc>
      </w:tr>
    </w:tbl>
    <w:p w14:paraId="24FBA90E">
      <w:pPr>
        <w:spacing w:before="156" w:beforeLines="50" w:line="300" w:lineRule="auto"/>
        <w:rPr>
          <w:rFonts w:hint="eastAsia" w:ascii="仿宋_GB2312" w:hAnsi="宋体" w:eastAsia="仿宋_GB2312"/>
          <w:sz w:val="24"/>
        </w:rPr>
      </w:pPr>
      <w:r>
        <w:rPr>
          <w:rFonts w:hint="eastAsia" w:ascii="仿宋_GB2312" w:eastAsia="仿宋_GB2312"/>
          <w:color w:val="0000FF"/>
          <w:sz w:val="24"/>
        </w:rPr>
        <w:t>【如在审计过程中取得的证据与初步评估获取的审计证据相矛盾，应及时修正风险评估结果，并相应修改应对措施。】</w:t>
      </w:r>
    </w:p>
    <w:p w14:paraId="1DEE9D1A">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2、重要性水平的再评估</w:t>
      </w:r>
    </w:p>
    <w:p w14:paraId="724104D1">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根据审定的财务数据，重新确定重要性水平和实际执行重要性水平。将此重要性水平与计划阶段确定的重要性水平进行分析，说明是否恰当、稳健，以及是否需要进行修改，并说明所增加的审计程序能够支持相关结论。】</w:t>
      </w:r>
    </w:p>
    <w:tbl>
      <w:tblPr>
        <w:tblStyle w:val="12"/>
        <w:tblW w:w="47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7"/>
        <w:gridCol w:w="2186"/>
        <w:gridCol w:w="1965"/>
      </w:tblGrid>
      <w:tr w14:paraId="313F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678" w:type="pct"/>
            <w:vAlign w:val="center"/>
          </w:tcPr>
          <w:p w14:paraId="4362BB0A">
            <w:pPr>
              <w:jc w:val="center"/>
              <w:rPr>
                <w:rFonts w:ascii="Arial Narrow" w:hAnsi="Arial Narrow" w:eastAsia="仿宋_GB2312"/>
                <w:b/>
                <w:sz w:val="24"/>
              </w:rPr>
            </w:pPr>
            <w:r>
              <w:rPr>
                <w:rFonts w:hint="eastAsia" w:ascii="Arial Narrow" w:hAnsi="Arial Narrow" w:eastAsia="仿宋_GB2312" w:cs="仿宋_GB2312"/>
                <w:b/>
                <w:sz w:val="24"/>
              </w:rPr>
              <w:t>确定的重要性水平</w:t>
            </w:r>
          </w:p>
        </w:tc>
        <w:tc>
          <w:tcPr>
            <w:tcW w:w="1223" w:type="pct"/>
            <w:vAlign w:val="center"/>
          </w:tcPr>
          <w:p w14:paraId="3DAE44E0">
            <w:pPr>
              <w:jc w:val="center"/>
              <w:rPr>
                <w:rFonts w:ascii="Arial Narrow" w:hAnsi="Arial Narrow" w:eastAsia="仿宋_GB2312"/>
                <w:b/>
                <w:sz w:val="24"/>
              </w:rPr>
            </w:pPr>
            <w:r>
              <w:rPr>
                <w:rFonts w:hint="eastAsia" w:ascii="Arial Narrow" w:hAnsi="Arial Narrow" w:eastAsia="仿宋_GB2312" w:cs="Arial Narrow"/>
                <w:b/>
                <w:sz w:val="24"/>
              </w:rPr>
              <w:t>计划审计阶段</w:t>
            </w:r>
          </w:p>
        </w:tc>
        <w:tc>
          <w:tcPr>
            <w:tcW w:w="1099" w:type="pct"/>
            <w:vAlign w:val="center"/>
          </w:tcPr>
          <w:p w14:paraId="619521D6">
            <w:pPr>
              <w:jc w:val="center"/>
              <w:rPr>
                <w:rFonts w:ascii="Arial Narrow" w:hAnsi="Arial Narrow" w:eastAsia="仿宋_GB2312" w:cs="Arial Narrow"/>
                <w:b/>
                <w:sz w:val="24"/>
              </w:rPr>
            </w:pPr>
            <w:r>
              <w:rPr>
                <w:rFonts w:hint="eastAsia" w:ascii="Arial Narrow" w:hAnsi="Arial Narrow" w:eastAsia="仿宋_GB2312" w:cs="Arial Narrow"/>
                <w:b/>
                <w:sz w:val="24"/>
              </w:rPr>
              <w:t>审计完成阶段</w:t>
            </w:r>
          </w:p>
        </w:tc>
      </w:tr>
      <w:tr w14:paraId="4BB6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678" w:type="pct"/>
            <w:vAlign w:val="center"/>
          </w:tcPr>
          <w:p w14:paraId="7C9F243A">
            <w:pPr>
              <w:tabs>
                <w:tab w:val="center" w:pos="2952"/>
                <w:tab w:val="left" w:pos="4125"/>
              </w:tabs>
              <w:rPr>
                <w:rFonts w:ascii="Arial Narrow" w:hAnsi="Arial Narrow" w:eastAsia="仿宋_GB2312"/>
                <w:sz w:val="24"/>
              </w:rPr>
            </w:pPr>
            <w:r>
              <w:rPr>
                <w:rFonts w:hint="eastAsia" w:ascii="Arial Narrow" w:hAnsi="Arial Narrow" w:eastAsia="仿宋_GB2312" w:cs="仿宋_GB2312"/>
                <w:sz w:val="24"/>
              </w:rPr>
              <w:t>确定基准：</w:t>
            </w:r>
            <w:r>
              <w:rPr>
                <w:rFonts w:hint="eastAsia" w:ascii="Arial Narrow" w:hAnsi="Arial Narrow" w:eastAsia="仿宋_GB2312" w:cs="宋体"/>
                <w:color w:val="FF0000"/>
                <w:sz w:val="24"/>
              </w:rPr>
              <w:t>公司经常性税前利润总额</w:t>
            </w:r>
          </w:p>
        </w:tc>
        <w:tc>
          <w:tcPr>
            <w:tcW w:w="1223" w:type="pct"/>
            <w:vAlign w:val="center"/>
          </w:tcPr>
          <w:p w14:paraId="003DC6C7">
            <w:pPr>
              <w:jc w:val="right"/>
              <w:rPr>
                <w:rFonts w:ascii="Arial Narrow" w:hAnsi="Arial Narrow" w:cs="宋体"/>
                <w:color w:val="000000"/>
                <w:sz w:val="24"/>
              </w:rPr>
            </w:pPr>
            <w:bookmarkStart w:id="4" w:name="RANGE!F3"/>
            <w:bookmarkEnd w:id="4"/>
          </w:p>
        </w:tc>
        <w:tc>
          <w:tcPr>
            <w:tcW w:w="1099" w:type="pct"/>
            <w:vAlign w:val="center"/>
          </w:tcPr>
          <w:p w14:paraId="5CFF5D97">
            <w:pPr>
              <w:jc w:val="right"/>
              <w:rPr>
                <w:rFonts w:ascii="Arial Narrow" w:hAnsi="Arial Narrow" w:cs="宋体"/>
                <w:color w:val="000000"/>
                <w:sz w:val="24"/>
              </w:rPr>
            </w:pPr>
          </w:p>
        </w:tc>
      </w:tr>
      <w:tr w14:paraId="06C3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678" w:type="pct"/>
            <w:vAlign w:val="center"/>
          </w:tcPr>
          <w:p w14:paraId="2A6F824D">
            <w:pPr>
              <w:rPr>
                <w:rFonts w:ascii="Arial Narrow" w:hAnsi="Arial Narrow" w:eastAsia="仿宋_GB2312"/>
                <w:sz w:val="24"/>
              </w:rPr>
            </w:pPr>
            <w:r>
              <w:rPr>
                <w:rFonts w:hint="eastAsia" w:ascii="Arial Narrow" w:hAnsi="Arial Narrow" w:eastAsia="仿宋_GB2312" w:cs="仿宋_GB2312"/>
                <w:sz w:val="24"/>
              </w:rPr>
              <w:t>财务报表层次的重要性水平（</w:t>
            </w:r>
            <w:r>
              <w:rPr>
                <w:rFonts w:ascii="Arial Narrow" w:hAnsi="Arial Narrow" w:eastAsia="仿宋_GB2312" w:cs="Arial Narrow"/>
              </w:rPr>
              <w:t>PM</w:t>
            </w:r>
            <w:r>
              <w:rPr>
                <w:rFonts w:hint="eastAsia" w:ascii="Arial Narrow" w:hAnsi="Arial Narrow" w:eastAsia="仿宋_GB2312" w:cs="仿宋_GB2312"/>
              </w:rPr>
              <w:t>＝</w:t>
            </w:r>
            <w:r>
              <w:rPr>
                <w:rFonts w:hint="eastAsia" w:ascii="Arial Narrow" w:hAnsi="Arial Narrow" w:eastAsia="仿宋_GB2312" w:cs="Arial Narrow"/>
                <w:color w:val="FF0000"/>
              </w:rPr>
              <w:t>X</w:t>
            </w:r>
            <w:r>
              <w:rPr>
                <w:rFonts w:hint="eastAsia" w:ascii="Arial Narrow" w:hAnsi="Arial Narrow" w:eastAsia="仿宋_GB2312" w:cs="仿宋_GB2312"/>
              </w:rPr>
              <w:t>％</w:t>
            </w:r>
            <w:r>
              <w:rPr>
                <w:rFonts w:ascii="Arial Narrow" w:hAnsi="Arial Narrow" w:eastAsia="仿宋_GB2312" w:cs="Arial Narrow"/>
              </w:rPr>
              <w:t>×</w:t>
            </w:r>
            <w:r>
              <w:rPr>
                <w:rFonts w:hint="eastAsia" w:ascii="Arial Narrow" w:hAnsi="Arial Narrow" w:eastAsia="仿宋_GB2312" w:cs="仿宋_GB2312"/>
              </w:rPr>
              <w:t>基准</w:t>
            </w:r>
            <w:r>
              <w:rPr>
                <w:rFonts w:hint="eastAsia" w:ascii="Arial Narrow" w:hAnsi="Arial Narrow" w:eastAsia="仿宋_GB2312" w:cs="仿宋_GB2312"/>
                <w:sz w:val="24"/>
              </w:rPr>
              <w:t>）</w:t>
            </w:r>
          </w:p>
        </w:tc>
        <w:tc>
          <w:tcPr>
            <w:tcW w:w="1223" w:type="pct"/>
            <w:vAlign w:val="center"/>
          </w:tcPr>
          <w:p w14:paraId="12E6919A">
            <w:pPr>
              <w:jc w:val="right"/>
              <w:rPr>
                <w:rFonts w:ascii="Arial Narrow" w:hAnsi="Arial Narrow" w:cs="宋体"/>
                <w:color w:val="000000"/>
                <w:sz w:val="24"/>
              </w:rPr>
            </w:pPr>
          </w:p>
        </w:tc>
        <w:tc>
          <w:tcPr>
            <w:tcW w:w="1099" w:type="pct"/>
            <w:vAlign w:val="center"/>
          </w:tcPr>
          <w:p w14:paraId="326C7B51">
            <w:pPr>
              <w:jc w:val="right"/>
              <w:rPr>
                <w:rFonts w:ascii="Arial Narrow" w:hAnsi="Arial Narrow" w:cs="宋体"/>
                <w:color w:val="000000"/>
                <w:sz w:val="24"/>
              </w:rPr>
            </w:pPr>
          </w:p>
        </w:tc>
      </w:tr>
      <w:tr w14:paraId="436B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678" w:type="pct"/>
            <w:vAlign w:val="center"/>
          </w:tcPr>
          <w:p w14:paraId="18D1BF9D">
            <w:pPr>
              <w:rPr>
                <w:rFonts w:ascii="Arial Narrow" w:hAnsi="Arial Narrow" w:eastAsia="仿宋_GB2312"/>
                <w:sz w:val="24"/>
              </w:rPr>
            </w:pPr>
            <w:r>
              <w:rPr>
                <w:rFonts w:hint="eastAsia" w:ascii="Arial Narrow" w:hAnsi="Arial Narrow" w:eastAsia="仿宋_GB2312" w:cs="仿宋_GB2312"/>
                <w:sz w:val="24"/>
              </w:rPr>
              <w:t>认定层次的重要性水平（</w:t>
            </w:r>
            <w:r>
              <w:rPr>
                <w:rFonts w:ascii="Arial Narrow" w:hAnsi="Arial Narrow" w:eastAsia="仿宋_GB2312" w:cs="Arial Narrow"/>
                <w:sz w:val="24"/>
              </w:rPr>
              <w:t>TE</w:t>
            </w:r>
            <w:r>
              <w:rPr>
                <w:rFonts w:hint="eastAsia" w:ascii="Arial Narrow" w:hAnsi="Arial Narrow" w:eastAsia="仿宋_GB2312" w:cs="仿宋_GB2312"/>
                <w:sz w:val="24"/>
              </w:rPr>
              <w:t>＝</w:t>
            </w:r>
            <w:r>
              <w:rPr>
                <w:rFonts w:hint="eastAsia" w:ascii="Arial Narrow" w:hAnsi="Arial Narrow" w:eastAsia="仿宋_GB2312" w:cs="Arial Narrow"/>
                <w:color w:val="FF0000"/>
                <w:sz w:val="24"/>
              </w:rPr>
              <w:t>X</w:t>
            </w:r>
            <w:r>
              <w:rPr>
                <w:rFonts w:ascii="Arial Narrow" w:hAnsi="Arial Narrow" w:eastAsia="仿宋_GB2312" w:cs="Arial Narrow"/>
                <w:color w:val="FF0000"/>
                <w:sz w:val="24"/>
              </w:rPr>
              <w:t>%</w:t>
            </w:r>
            <w:r>
              <w:rPr>
                <w:rFonts w:ascii="Arial Narrow" w:hAnsi="Arial Narrow" w:eastAsia="仿宋_GB2312" w:cs="Arial Narrow"/>
                <w:sz w:val="24"/>
              </w:rPr>
              <w:t>×PM</w:t>
            </w:r>
            <w:r>
              <w:rPr>
                <w:rFonts w:hint="eastAsia" w:ascii="Arial Narrow" w:hAnsi="Arial Narrow" w:eastAsia="仿宋_GB2312" w:cs="仿宋_GB2312"/>
                <w:sz w:val="24"/>
              </w:rPr>
              <w:t>）</w:t>
            </w:r>
          </w:p>
        </w:tc>
        <w:tc>
          <w:tcPr>
            <w:tcW w:w="1223" w:type="pct"/>
            <w:vAlign w:val="center"/>
          </w:tcPr>
          <w:p w14:paraId="41B0B45D">
            <w:pPr>
              <w:jc w:val="right"/>
              <w:rPr>
                <w:rFonts w:ascii="Arial Narrow" w:hAnsi="Arial Narrow" w:cs="宋体"/>
                <w:color w:val="000000"/>
                <w:sz w:val="24"/>
              </w:rPr>
            </w:pPr>
          </w:p>
        </w:tc>
        <w:tc>
          <w:tcPr>
            <w:tcW w:w="1099" w:type="pct"/>
            <w:vAlign w:val="center"/>
          </w:tcPr>
          <w:p w14:paraId="330434D2">
            <w:pPr>
              <w:jc w:val="right"/>
              <w:rPr>
                <w:rFonts w:ascii="Arial Narrow" w:hAnsi="Arial Narrow" w:cs="宋体"/>
                <w:color w:val="000000"/>
                <w:sz w:val="24"/>
              </w:rPr>
            </w:pPr>
          </w:p>
        </w:tc>
      </w:tr>
      <w:tr w14:paraId="72D4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678" w:type="pct"/>
            <w:vAlign w:val="center"/>
          </w:tcPr>
          <w:p w14:paraId="7E933500">
            <w:pPr>
              <w:rPr>
                <w:rFonts w:ascii="Arial Narrow" w:hAnsi="Arial Narrow" w:eastAsia="仿宋_GB2312" w:cs="Arial Narrow"/>
                <w:sz w:val="24"/>
              </w:rPr>
            </w:pPr>
            <w:r>
              <w:rPr>
                <w:rFonts w:hint="eastAsia" w:ascii="Arial Narrow" w:hAnsi="Arial Narrow" w:eastAsia="仿宋_GB2312" w:cs="仿宋_GB2312"/>
                <w:sz w:val="24"/>
              </w:rPr>
              <w:t>审计差异归集界限</w:t>
            </w:r>
            <w:r>
              <w:rPr>
                <w:rFonts w:ascii="Arial Narrow" w:hAnsi="Arial Narrow" w:eastAsia="仿宋_GB2312" w:cs="Arial Narrow"/>
                <w:sz w:val="24"/>
              </w:rPr>
              <w:t>(SAD</w:t>
            </w:r>
            <w:r>
              <w:rPr>
                <w:rFonts w:hint="eastAsia" w:ascii="Arial Narrow" w:hAnsi="Arial Narrow" w:eastAsia="仿宋_GB2312" w:cs="仿宋_GB2312"/>
                <w:sz w:val="24"/>
              </w:rPr>
              <w:t>＝</w:t>
            </w:r>
            <w:r>
              <w:rPr>
                <w:rFonts w:hint="eastAsia" w:ascii="Arial Narrow" w:hAnsi="Arial Narrow" w:eastAsia="仿宋_GB2312" w:cs="Arial Narrow"/>
                <w:color w:val="FF0000"/>
                <w:sz w:val="24"/>
              </w:rPr>
              <w:t>X</w:t>
            </w:r>
            <w:r>
              <w:rPr>
                <w:rFonts w:hint="eastAsia" w:ascii="Arial Narrow" w:hAnsi="Arial Narrow" w:eastAsia="仿宋_GB2312" w:cs="仿宋_GB2312"/>
                <w:sz w:val="24"/>
              </w:rPr>
              <w:t>％</w:t>
            </w:r>
            <w:r>
              <w:rPr>
                <w:rFonts w:ascii="Arial Narrow" w:hAnsi="Arial Narrow" w:eastAsia="仿宋_GB2312" w:cs="Arial Narrow"/>
                <w:sz w:val="24"/>
              </w:rPr>
              <w:t>×PM)</w:t>
            </w:r>
          </w:p>
        </w:tc>
        <w:tc>
          <w:tcPr>
            <w:tcW w:w="1223" w:type="pct"/>
            <w:vAlign w:val="center"/>
          </w:tcPr>
          <w:p w14:paraId="70653330">
            <w:pPr>
              <w:jc w:val="right"/>
              <w:rPr>
                <w:rFonts w:ascii="Arial Narrow" w:hAnsi="Arial Narrow" w:cs="宋体"/>
                <w:color w:val="000000"/>
                <w:sz w:val="24"/>
              </w:rPr>
            </w:pPr>
          </w:p>
        </w:tc>
        <w:tc>
          <w:tcPr>
            <w:tcW w:w="1099" w:type="pct"/>
            <w:vAlign w:val="center"/>
          </w:tcPr>
          <w:p w14:paraId="7569B1BE">
            <w:pPr>
              <w:jc w:val="right"/>
              <w:rPr>
                <w:rFonts w:ascii="Arial Narrow" w:hAnsi="Arial Narrow" w:cs="宋体"/>
                <w:color w:val="000000"/>
                <w:sz w:val="24"/>
              </w:rPr>
            </w:pPr>
          </w:p>
        </w:tc>
      </w:tr>
    </w:tbl>
    <w:p w14:paraId="7D826E8D">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根据经审计后的财务数据，对重要性水平进行重新确定，并与计划阶段确定的重要性水平进行分析，计划阶段的重要性水平恰当稳健，无需修改，无需增加新的审计程序。</w:t>
      </w:r>
    </w:p>
    <w:p w14:paraId="15125847">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3、项目完成工时情况</w:t>
      </w:r>
    </w:p>
    <w:p w14:paraId="7BD15ACE">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color w:val="FF0000"/>
          <w:sz w:val="24"/>
        </w:rPr>
        <w:t>计划X天结束现场审计，出具报告和整理底稿X天</w:t>
      </w:r>
      <w:r>
        <w:rPr>
          <w:rFonts w:ascii="仿宋_GB2312" w:hAnsi="宋体" w:eastAsia="仿宋_GB2312"/>
          <w:color w:val="FF0000"/>
          <w:sz w:val="24"/>
        </w:rPr>
        <w:t>……</w:t>
      </w:r>
      <w:r>
        <w:rPr>
          <w:rFonts w:hint="eastAsia" w:ascii="仿宋_GB2312" w:hAnsi="宋体" w:eastAsia="仿宋_GB2312"/>
          <w:sz w:val="24"/>
        </w:rPr>
        <w:t>，按照计划进行。</w:t>
      </w:r>
    </w:p>
    <w:p w14:paraId="299587D3">
      <w:pPr>
        <w:spacing w:before="156" w:beforeLines="50" w:line="300" w:lineRule="auto"/>
        <w:rPr>
          <w:rFonts w:ascii="仿宋_GB2312" w:eastAsia="仿宋_GB2312"/>
          <w:color w:val="0000FF"/>
          <w:sz w:val="24"/>
        </w:rPr>
      </w:pPr>
      <w:r>
        <w:rPr>
          <w:rFonts w:hint="eastAsia" w:ascii="仿宋_GB2312" w:eastAsia="仿宋_GB2312"/>
          <w:color w:val="0000FF"/>
          <w:sz w:val="24"/>
        </w:rPr>
        <w:t>【可按审计不同阶段或业务类别（指审计业务同时的其他业务），具体描述完成工时是否在计划范围内。如增加或减少工时达10%以上的，应说明工时变动的原因，以及该变动是否经项目合伙人批准。】</w:t>
      </w:r>
    </w:p>
    <w:p w14:paraId="707FFF39">
      <w:pPr>
        <w:spacing w:before="156" w:beforeLines="50" w:line="300" w:lineRule="auto"/>
        <w:rPr>
          <w:rFonts w:hint="eastAsia" w:ascii="仿宋_GB2312" w:hAnsi="宋体" w:eastAsia="仿宋_GB2312"/>
          <w:sz w:val="24"/>
        </w:rPr>
      </w:pPr>
    </w:p>
    <w:p w14:paraId="796F13AE">
      <w:pPr>
        <w:pStyle w:val="11"/>
        <w:jc w:val="left"/>
        <w:rPr>
          <w:rFonts w:ascii="仿宋_GB2312" w:eastAsia="仿宋_GB2312"/>
          <w:sz w:val="28"/>
          <w:szCs w:val="28"/>
        </w:rPr>
      </w:pPr>
      <w:bookmarkStart w:id="5" w:name="_Toc152693396"/>
      <w:r>
        <w:rPr>
          <w:rFonts w:hint="eastAsia" w:ascii="仿宋_GB2312" w:eastAsia="仿宋_GB2312"/>
          <w:sz w:val="28"/>
          <w:szCs w:val="28"/>
        </w:rPr>
        <w:t>四、审计过程中合伙人已关注的事项</w:t>
      </w:r>
      <w:bookmarkEnd w:id="5"/>
    </w:p>
    <w:p w14:paraId="10EEE31F">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（一）特别风险</w:t>
      </w:r>
    </w:p>
    <w:tbl>
      <w:tblPr>
        <w:tblStyle w:val="12"/>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68"/>
        <w:gridCol w:w="2268"/>
        <w:gridCol w:w="2268"/>
      </w:tblGrid>
      <w:tr w14:paraId="5758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2235" w:type="dxa"/>
            <w:shd w:val="clear" w:color="auto" w:fill="D8D8D8" w:themeFill="background1" w:themeFillShade="D9"/>
            <w:vAlign w:val="center"/>
          </w:tcPr>
          <w:p w14:paraId="2F205563">
            <w:pPr>
              <w:jc w:val="center"/>
              <w:rPr>
                <w:rFonts w:ascii="Arial Narrow" w:hAnsi="Arial Narrow" w:eastAsia="仿宋_GB2312"/>
                <w:b/>
                <w:kern w:val="44"/>
                <w:szCs w:val="21"/>
              </w:rPr>
            </w:pPr>
            <w:r>
              <w:rPr>
                <w:rFonts w:hint="eastAsia" w:ascii="Arial Narrow" w:hAnsi="Arial Narrow" w:eastAsia="仿宋_GB2312" w:cs="宋体"/>
                <w:b/>
                <w:kern w:val="44"/>
                <w:szCs w:val="21"/>
              </w:rPr>
              <w:t>特别风险描述</w:t>
            </w:r>
          </w:p>
        </w:tc>
        <w:tc>
          <w:tcPr>
            <w:tcW w:w="2268" w:type="dxa"/>
            <w:shd w:val="clear" w:color="auto" w:fill="D8D8D8" w:themeFill="background1" w:themeFillShade="D9"/>
            <w:vAlign w:val="center"/>
          </w:tcPr>
          <w:p w14:paraId="06787CCD">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影响财务报表的领域</w:t>
            </w:r>
          </w:p>
        </w:tc>
        <w:tc>
          <w:tcPr>
            <w:tcW w:w="2268" w:type="dxa"/>
            <w:shd w:val="clear" w:color="auto" w:fill="D8D8D8" w:themeFill="background1" w:themeFillShade="D9"/>
            <w:vAlign w:val="center"/>
          </w:tcPr>
          <w:p w14:paraId="4B6CE066">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所采取的措施及结论</w:t>
            </w:r>
          </w:p>
        </w:tc>
        <w:tc>
          <w:tcPr>
            <w:tcW w:w="2268" w:type="dxa"/>
            <w:shd w:val="clear" w:color="auto" w:fill="D8D8D8" w:themeFill="background1" w:themeFillShade="D9"/>
            <w:vAlign w:val="center"/>
          </w:tcPr>
          <w:p w14:paraId="08B1141D">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与管理层和治理层沟通的情况</w:t>
            </w:r>
          </w:p>
        </w:tc>
      </w:tr>
      <w:tr w14:paraId="5204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79A7E3CE">
            <w:pPr>
              <w:rPr>
                <w:rFonts w:ascii="Arial Narrow" w:hAnsi="Arial Narrow" w:eastAsia="仿宋_GB2312" w:cs="宋体"/>
                <w:iCs/>
                <w:color w:val="FF0000"/>
                <w:kern w:val="0"/>
                <w:szCs w:val="21"/>
              </w:rPr>
            </w:pPr>
          </w:p>
        </w:tc>
        <w:tc>
          <w:tcPr>
            <w:tcW w:w="2268" w:type="dxa"/>
            <w:vAlign w:val="center"/>
          </w:tcPr>
          <w:p w14:paraId="38DB597C">
            <w:pPr>
              <w:rPr>
                <w:rFonts w:ascii="Arial Narrow" w:hAnsi="Arial Narrow" w:eastAsia="仿宋_GB2312" w:cs="宋体"/>
                <w:iCs/>
                <w:color w:val="FF0000"/>
                <w:kern w:val="0"/>
                <w:szCs w:val="21"/>
              </w:rPr>
            </w:pPr>
          </w:p>
        </w:tc>
        <w:tc>
          <w:tcPr>
            <w:tcW w:w="2268" w:type="dxa"/>
            <w:vAlign w:val="center"/>
          </w:tcPr>
          <w:p w14:paraId="5D044934">
            <w:pPr>
              <w:rPr>
                <w:rFonts w:ascii="Arial Narrow" w:hAnsi="Arial Narrow" w:eastAsia="仿宋_GB2312" w:cs="宋体"/>
                <w:iCs/>
                <w:color w:val="FF0000"/>
                <w:kern w:val="0"/>
                <w:szCs w:val="21"/>
              </w:rPr>
            </w:pPr>
          </w:p>
        </w:tc>
        <w:tc>
          <w:tcPr>
            <w:tcW w:w="2268" w:type="dxa"/>
            <w:vAlign w:val="center"/>
          </w:tcPr>
          <w:p w14:paraId="748B20F9">
            <w:pPr>
              <w:rPr>
                <w:rFonts w:ascii="Arial Narrow" w:hAnsi="Arial Narrow" w:eastAsia="仿宋_GB2312" w:cs="宋体"/>
                <w:iCs/>
                <w:color w:val="FF0000"/>
                <w:kern w:val="0"/>
                <w:szCs w:val="21"/>
              </w:rPr>
            </w:pPr>
          </w:p>
        </w:tc>
      </w:tr>
      <w:tr w14:paraId="3576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1CB06392">
            <w:pPr>
              <w:rPr>
                <w:rFonts w:ascii="Arial Narrow" w:hAnsi="Arial Narrow" w:eastAsia="仿宋_GB2312" w:cs="宋体"/>
                <w:iCs/>
                <w:color w:val="FF0000"/>
                <w:kern w:val="0"/>
                <w:szCs w:val="21"/>
              </w:rPr>
            </w:pPr>
          </w:p>
        </w:tc>
        <w:tc>
          <w:tcPr>
            <w:tcW w:w="2268" w:type="dxa"/>
            <w:vAlign w:val="center"/>
          </w:tcPr>
          <w:p w14:paraId="35E88D04">
            <w:pPr>
              <w:rPr>
                <w:rFonts w:ascii="Arial Narrow" w:hAnsi="Arial Narrow" w:eastAsia="仿宋_GB2312" w:cs="宋体"/>
                <w:iCs/>
                <w:color w:val="FF0000"/>
                <w:kern w:val="0"/>
                <w:szCs w:val="21"/>
              </w:rPr>
            </w:pPr>
          </w:p>
        </w:tc>
        <w:tc>
          <w:tcPr>
            <w:tcW w:w="2268" w:type="dxa"/>
            <w:vAlign w:val="center"/>
          </w:tcPr>
          <w:p w14:paraId="2F0E50E5">
            <w:pPr>
              <w:rPr>
                <w:rFonts w:ascii="Arial Narrow" w:hAnsi="Arial Narrow" w:eastAsia="仿宋_GB2312" w:cs="宋体"/>
                <w:iCs/>
                <w:color w:val="FF0000"/>
                <w:kern w:val="0"/>
                <w:szCs w:val="21"/>
              </w:rPr>
            </w:pPr>
          </w:p>
        </w:tc>
        <w:tc>
          <w:tcPr>
            <w:tcW w:w="2268" w:type="dxa"/>
            <w:vAlign w:val="center"/>
          </w:tcPr>
          <w:p w14:paraId="099712D6">
            <w:pPr>
              <w:rPr>
                <w:rFonts w:ascii="Arial Narrow" w:hAnsi="Arial Narrow" w:eastAsia="仿宋_GB2312" w:cs="宋体"/>
                <w:iCs/>
                <w:color w:val="FF0000"/>
                <w:kern w:val="0"/>
                <w:szCs w:val="21"/>
              </w:rPr>
            </w:pPr>
          </w:p>
        </w:tc>
      </w:tr>
      <w:tr w14:paraId="4A61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2166D154">
            <w:pPr>
              <w:rPr>
                <w:rFonts w:ascii="Arial Narrow" w:hAnsi="Arial Narrow" w:eastAsia="仿宋_GB2312" w:cs="宋体"/>
                <w:iCs/>
                <w:color w:val="FF0000"/>
                <w:kern w:val="0"/>
                <w:szCs w:val="21"/>
              </w:rPr>
            </w:pPr>
          </w:p>
        </w:tc>
        <w:tc>
          <w:tcPr>
            <w:tcW w:w="2268" w:type="dxa"/>
            <w:vAlign w:val="center"/>
          </w:tcPr>
          <w:p w14:paraId="0079593D">
            <w:pPr>
              <w:rPr>
                <w:rFonts w:ascii="Arial Narrow" w:hAnsi="Arial Narrow" w:eastAsia="仿宋_GB2312" w:cs="宋体"/>
                <w:iCs/>
                <w:color w:val="FF0000"/>
                <w:kern w:val="0"/>
                <w:szCs w:val="21"/>
              </w:rPr>
            </w:pPr>
          </w:p>
        </w:tc>
        <w:tc>
          <w:tcPr>
            <w:tcW w:w="2268" w:type="dxa"/>
            <w:vAlign w:val="center"/>
          </w:tcPr>
          <w:p w14:paraId="2D0808CA">
            <w:pPr>
              <w:rPr>
                <w:rFonts w:ascii="Arial Narrow" w:hAnsi="Arial Narrow" w:eastAsia="仿宋_GB2312" w:cs="宋体"/>
                <w:iCs/>
                <w:color w:val="FF0000"/>
                <w:kern w:val="0"/>
                <w:szCs w:val="21"/>
              </w:rPr>
            </w:pPr>
          </w:p>
        </w:tc>
        <w:tc>
          <w:tcPr>
            <w:tcW w:w="2268" w:type="dxa"/>
            <w:vAlign w:val="center"/>
          </w:tcPr>
          <w:p w14:paraId="1D360C40">
            <w:pPr>
              <w:rPr>
                <w:rFonts w:ascii="Arial Narrow" w:hAnsi="Arial Narrow" w:eastAsia="仿宋_GB2312" w:cs="宋体"/>
                <w:iCs/>
                <w:color w:val="FF0000"/>
                <w:kern w:val="0"/>
                <w:szCs w:val="21"/>
              </w:rPr>
            </w:pPr>
          </w:p>
        </w:tc>
      </w:tr>
      <w:tr w14:paraId="4E02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0BCF4857">
            <w:pPr>
              <w:rPr>
                <w:rFonts w:ascii="Arial Narrow" w:hAnsi="Arial Narrow" w:eastAsia="仿宋_GB2312" w:cs="宋体"/>
                <w:iCs/>
                <w:color w:val="FF0000"/>
                <w:kern w:val="0"/>
                <w:szCs w:val="21"/>
              </w:rPr>
            </w:pPr>
          </w:p>
        </w:tc>
        <w:tc>
          <w:tcPr>
            <w:tcW w:w="2268" w:type="dxa"/>
            <w:vAlign w:val="center"/>
          </w:tcPr>
          <w:p w14:paraId="2A16F6B1">
            <w:pPr>
              <w:rPr>
                <w:rFonts w:ascii="Arial Narrow" w:hAnsi="Arial Narrow" w:eastAsia="仿宋_GB2312" w:cs="宋体"/>
                <w:iCs/>
                <w:color w:val="FF0000"/>
                <w:kern w:val="0"/>
                <w:szCs w:val="21"/>
              </w:rPr>
            </w:pPr>
          </w:p>
        </w:tc>
        <w:tc>
          <w:tcPr>
            <w:tcW w:w="2268" w:type="dxa"/>
            <w:vAlign w:val="center"/>
          </w:tcPr>
          <w:p w14:paraId="1F4B4181">
            <w:pPr>
              <w:rPr>
                <w:rFonts w:ascii="Arial Narrow" w:hAnsi="Arial Narrow" w:eastAsia="仿宋_GB2312" w:cs="宋体"/>
                <w:iCs/>
                <w:color w:val="FF0000"/>
                <w:kern w:val="0"/>
                <w:szCs w:val="21"/>
              </w:rPr>
            </w:pPr>
          </w:p>
        </w:tc>
        <w:tc>
          <w:tcPr>
            <w:tcW w:w="2268" w:type="dxa"/>
            <w:vAlign w:val="center"/>
          </w:tcPr>
          <w:p w14:paraId="0F68B2A1">
            <w:pPr>
              <w:rPr>
                <w:rFonts w:ascii="Arial Narrow" w:hAnsi="Arial Narrow" w:eastAsia="仿宋_GB2312" w:cs="宋体"/>
                <w:iCs/>
                <w:color w:val="FF0000"/>
                <w:kern w:val="0"/>
                <w:szCs w:val="21"/>
              </w:rPr>
            </w:pPr>
          </w:p>
        </w:tc>
      </w:tr>
    </w:tbl>
    <w:p w14:paraId="07C70FE6">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（二）已更正或未更正的错报</w:t>
      </w:r>
    </w:p>
    <w:p w14:paraId="1C6A41B5">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1、已更正错报汇总及评价</w:t>
      </w:r>
    </w:p>
    <w:p w14:paraId="336788BB">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【按公司披露明细，调整金额进行统计】</w:t>
      </w:r>
    </w:p>
    <w:p w14:paraId="25F54ED1">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A2-2、A2-3</w:t>
      </w:r>
    </w:p>
    <w:p w14:paraId="4EDD7C72">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2、未更正错报汇总及评价</w:t>
      </w:r>
    </w:p>
    <w:p w14:paraId="21FBF70F">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【（1）按公司排列，未调整金额进行统计</w:t>
      </w:r>
    </w:p>
    <w:p w14:paraId="5A41C587">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与审计计划确定的重要性水平进行比较，说明在此阶段未调整金额小于重要性水平。</w:t>
      </w:r>
    </w:p>
    <w:p w14:paraId="2843A609">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运用重要性水平，除注重金额外，还应关注事项性质的影响。未调整事项不应包括金额不重大但性质重大的事项。</w:t>
      </w:r>
    </w:p>
    <w:p w14:paraId="46456084">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color w:val="0000FF"/>
          <w:sz w:val="24"/>
        </w:rPr>
        <w:t>（2）未更正错报应与治理层沟通中附件一和附件二中所列的未更正错报单独/汇总金额核对，不应超过实际执行的重要性水平，对财务报表整体的影响不重大。】</w:t>
      </w:r>
    </w:p>
    <w:p w14:paraId="6E947919">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A13-1</w:t>
      </w:r>
    </w:p>
    <w:p w14:paraId="50F6A96B">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3、披露不足事项汇总</w:t>
      </w:r>
    </w:p>
    <w:p w14:paraId="21CE5918">
      <w:pPr>
        <w:spacing w:before="156" w:beforeLines="50" w:line="300" w:lineRule="auto"/>
        <w:ind w:firstLine="480" w:firstLineChars="200"/>
        <w:rPr>
          <w:rFonts w:hint="eastAsia" w:ascii="仿宋_GB2312" w:hAnsi="宋体" w:eastAsia="仿宋_GB2312"/>
          <w:sz w:val="24"/>
        </w:rPr>
      </w:pPr>
    </w:p>
    <w:p w14:paraId="043CC4CA">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4、与管理层和治理层的沟通</w:t>
      </w:r>
    </w:p>
    <w:p w14:paraId="2A562F68">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color w:val="0000FF"/>
          <w:sz w:val="24"/>
        </w:rPr>
        <w:t>【完成阶段，与管理层和治理层沟通的主要事项包括：注册会计师与财务报表审计相关的责任；审计中发现的重大问题（被审计单位会计实务重大方面的质量的看法、审计工作中遇到的重大困难、讨论或书面沟通审计中出现的重大事项、要求提供书面声明）；审计过程中识别出的值得关注的内部控制缺陷；审计过程中累计已识别错报（注册会计师还应要求管理层更正这些错报）；审计中出现的、根据职业判断认为对监督财务报告过程中的其他事项】</w:t>
      </w:r>
    </w:p>
    <w:p w14:paraId="47658132">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A10-1;A10-2</w:t>
      </w:r>
    </w:p>
    <w:p w14:paraId="7493CF95">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（三）值得关注的缺陷和其他控制缺陷</w:t>
      </w:r>
    </w:p>
    <w:p w14:paraId="0AC85AC3">
      <w:pPr>
        <w:spacing w:before="156" w:beforeLines="50" w:line="300" w:lineRule="auto"/>
        <w:rPr>
          <w:rFonts w:ascii="仿宋_GB2312" w:eastAsia="仿宋_GB2312"/>
          <w:color w:val="0000FF"/>
          <w:sz w:val="24"/>
        </w:rPr>
      </w:pPr>
      <w:r>
        <w:rPr>
          <w:rFonts w:hint="eastAsia" w:ascii="仿宋_GB2312" w:eastAsia="仿宋_GB2312"/>
          <w:color w:val="0000FF"/>
          <w:sz w:val="24"/>
        </w:rPr>
        <w:t>【说明在审计过程中是否发现需对被审计单位舞弊风险以及内控方面的重大缺陷的评估做出改变，特别是与治理层沟通内控重大缺陷的情况下。】</w:t>
      </w:r>
    </w:p>
    <w:p w14:paraId="1C1A41E5">
      <w:pPr>
        <w:spacing w:before="156" w:beforeLines="50" w:line="300" w:lineRule="auto"/>
        <w:ind w:firstLine="480" w:firstLineChars="200"/>
        <w:rPr>
          <w:rFonts w:hint="eastAsia" w:ascii="仿宋_GB2312" w:hAnsi="宋体" w:eastAsia="仿宋_GB2312"/>
          <w:sz w:val="24"/>
        </w:rPr>
      </w:pPr>
    </w:p>
    <w:p w14:paraId="17A860AF">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（四）重大职业判断</w:t>
      </w:r>
    </w:p>
    <w:tbl>
      <w:tblPr>
        <w:tblStyle w:val="12"/>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68"/>
        <w:gridCol w:w="2268"/>
        <w:gridCol w:w="2268"/>
      </w:tblGrid>
      <w:tr w14:paraId="247F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2235" w:type="dxa"/>
            <w:shd w:val="clear" w:color="auto" w:fill="D8D8D8" w:themeFill="background1" w:themeFillShade="D9"/>
            <w:vAlign w:val="center"/>
          </w:tcPr>
          <w:p w14:paraId="5A372C6E">
            <w:pPr>
              <w:jc w:val="center"/>
              <w:rPr>
                <w:rFonts w:ascii="Arial Narrow" w:hAnsi="Arial Narrow" w:eastAsia="仿宋_GB2312"/>
                <w:b/>
                <w:kern w:val="44"/>
                <w:szCs w:val="21"/>
              </w:rPr>
            </w:pPr>
            <w:r>
              <w:rPr>
                <w:rFonts w:hint="eastAsia" w:ascii="Arial Narrow" w:hAnsi="Arial Narrow" w:eastAsia="仿宋_GB2312"/>
                <w:b/>
                <w:kern w:val="44"/>
                <w:szCs w:val="21"/>
              </w:rPr>
              <w:t>重大职业判断的内容</w:t>
            </w:r>
          </w:p>
        </w:tc>
        <w:tc>
          <w:tcPr>
            <w:tcW w:w="2268" w:type="dxa"/>
            <w:shd w:val="clear" w:color="auto" w:fill="D8D8D8" w:themeFill="background1" w:themeFillShade="D9"/>
            <w:vAlign w:val="center"/>
          </w:tcPr>
          <w:p w14:paraId="11B06163">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影响财务报表的领域</w:t>
            </w:r>
          </w:p>
        </w:tc>
        <w:tc>
          <w:tcPr>
            <w:tcW w:w="2268" w:type="dxa"/>
            <w:shd w:val="clear" w:color="auto" w:fill="D8D8D8" w:themeFill="background1" w:themeFillShade="D9"/>
            <w:vAlign w:val="center"/>
          </w:tcPr>
          <w:p w14:paraId="3694DC3F">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所采取的措施及结论</w:t>
            </w:r>
          </w:p>
        </w:tc>
        <w:tc>
          <w:tcPr>
            <w:tcW w:w="2268" w:type="dxa"/>
            <w:shd w:val="clear" w:color="auto" w:fill="D8D8D8" w:themeFill="background1" w:themeFillShade="D9"/>
            <w:vAlign w:val="center"/>
          </w:tcPr>
          <w:p w14:paraId="07D22918">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与管理层和治理层沟通的情况</w:t>
            </w:r>
          </w:p>
        </w:tc>
      </w:tr>
      <w:tr w14:paraId="61B2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3CFF8ED0">
            <w:pPr>
              <w:rPr>
                <w:rFonts w:ascii="Arial Narrow" w:hAnsi="Arial Narrow" w:eastAsia="仿宋_GB2312" w:cs="宋体"/>
                <w:iCs/>
                <w:color w:val="FF0000"/>
                <w:kern w:val="0"/>
                <w:szCs w:val="21"/>
              </w:rPr>
            </w:pPr>
          </w:p>
        </w:tc>
        <w:tc>
          <w:tcPr>
            <w:tcW w:w="2268" w:type="dxa"/>
            <w:vAlign w:val="center"/>
          </w:tcPr>
          <w:p w14:paraId="33169855">
            <w:pPr>
              <w:rPr>
                <w:rFonts w:ascii="Arial Narrow" w:hAnsi="Arial Narrow" w:eastAsia="仿宋_GB2312" w:cs="宋体"/>
                <w:iCs/>
                <w:color w:val="FF0000"/>
                <w:kern w:val="0"/>
                <w:szCs w:val="21"/>
              </w:rPr>
            </w:pPr>
          </w:p>
        </w:tc>
        <w:tc>
          <w:tcPr>
            <w:tcW w:w="2268" w:type="dxa"/>
            <w:vAlign w:val="center"/>
          </w:tcPr>
          <w:p w14:paraId="04DEB565">
            <w:pPr>
              <w:rPr>
                <w:rFonts w:ascii="Arial Narrow" w:hAnsi="Arial Narrow" w:eastAsia="仿宋_GB2312" w:cs="宋体"/>
                <w:iCs/>
                <w:color w:val="FF0000"/>
                <w:kern w:val="0"/>
                <w:szCs w:val="21"/>
              </w:rPr>
            </w:pPr>
          </w:p>
        </w:tc>
        <w:tc>
          <w:tcPr>
            <w:tcW w:w="2268" w:type="dxa"/>
            <w:vAlign w:val="center"/>
          </w:tcPr>
          <w:p w14:paraId="6EE1A63A">
            <w:pPr>
              <w:rPr>
                <w:rFonts w:ascii="Arial Narrow" w:hAnsi="Arial Narrow" w:eastAsia="仿宋_GB2312" w:cs="宋体"/>
                <w:iCs/>
                <w:color w:val="FF0000"/>
                <w:kern w:val="0"/>
                <w:szCs w:val="21"/>
              </w:rPr>
            </w:pPr>
          </w:p>
        </w:tc>
      </w:tr>
      <w:tr w14:paraId="41F3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26ED20BC">
            <w:pPr>
              <w:rPr>
                <w:rFonts w:ascii="Arial Narrow" w:hAnsi="Arial Narrow" w:eastAsia="仿宋_GB2312" w:cs="宋体"/>
                <w:iCs/>
                <w:color w:val="FF0000"/>
                <w:kern w:val="0"/>
                <w:szCs w:val="21"/>
              </w:rPr>
            </w:pPr>
          </w:p>
        </w:tc>
        <w:tc>
          <w:tcPr>
            <w:tcW w:w="2268" w:type="dxa"/>
            <w:vAlign w:val="center"/>
          </w:tcPr>
          <w:p w14:paraId="720DA010">
            <w:pPr>
              <w:rPr>
                <w:rFonts w:ascii="Arial Narrow" w:hAnsi="Arial Narrow" w:eastAsia="仿宋_GB2312" w:cs="宋体"/>
                <w:iCs/>
                <w:color w:val="FF0000"/>
                <w:kern w:val="0"/>
                <w:szCs w:val="21"/>
              </w:rPr>
            </w:pPr>
          </w:p>
        </w:tc>
        <w:tc>
          <w:tcPr>
            <w:tcW w:w="2268" w:type="dxa"/>
            <w:vAlign w:val="center"/>
          </w:tcPr>
          <w:p w14:paraId="0FC288DE">
            <w:pPr>
              <w:rPr>
                <w:rFonts w:ascii="Arial Narrow" w:hAnsi="Arial Narrow" w:eastAsia="仿宋_GB2312" w:cs="宋体"/>
                <w:iCs/>
                <w:color w:val="FF0000"/>
                <w:kern w:val="0"/>
                <w:szCs w:val="21"/>
              </w:rPr>
            </w:pPr>
          </w:p>
        </w:tc>
        <w:tc>
          <w:tcPr>
            <w:tcW w:w="2268" w:type="dxa"/>
            <w:vAlign w:val="center"/>
          </w:tcPr>
          <w:p w14:paraId="35095449">
            <w:pPr>
              <w:rPr>
                <w:rFonts w:ascii="Arial Narrow" w:hAnsi="Arial Narrow" w:eastAsia="仿宋_GB2312" w:cs="宋体"/>
                <w:iCs/>
                <w:color w:val="FF0000"/>
                <w:kern w:val="0"/>
                <w:szCs w:val="21"/>
              </w:rPr>
            </w:pPr>
          </w:p>
        </w:tc>
      </w:tr>
      <w:tr w14:paraId="71A8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2E934B47">
            <w:pPr>
              <w:rPr>
                <w:rFonts w:ascii="Arial Narrow" w:hAnsi="Arial Narrow" w:eastAsia="仿宋_GB2312" w:cs="宋体"/>
                <w:iCs/>
                <w:color w:val="FF0000"/>
                <w:kern w:val="0"/>
                <w:szCs w:val="21"/>
              </w:rPr>
            </w:pPr>
          </w:p>
        </w:tc>
        <w:tc>
          <w:tcPr>
            <w:tcW w:w="2268" w:type="dxa"/>
            <w:vAlign w:val="center"/>
          </w:tcPr>
          <w:p w14:paraId="63BB9C30">
            <w:pPr>
              <w:rPr>
                <w:rFonts w:ascii="Arial Narrow" w:hAnsi="Arial Narrow" w:eastAsia="仿宋_GB2312" w:cs="宋体"/>
                <w:iCs/>
                <w:color w:val="FF0000"/>
                <w:kern w:val="0"/>
                <w:szCs w:val="21"/>
              </w:rPr>
            </w:pPr>
          </w:p>
        </w:tc>
        <w:tc>
          <w:tcPr>
            <w:tcW w:w="2268" w:type="dxa"/>
            <w:vAlign w:val="center"/>
          </w:tcPr>
          <w:p w14:paraId="2F63BC86">
            <w:pPr>
              <w:rPr>
                <w:rFonts w:ascii="Arial Narrow" w:hAnsi="Arial Narrow" w:eastAsia="仿宋_GB2312" w:cs="宋体"/>
                <w:iCs/>
                <w:color w:val="FF0000"/>
                <w:kern w:val="0"/>
                <w:szCs w:val="21"/>
              </w:rPr>
            </w:pPr>
          </w:p>
        </w:tc>
        <w:tc>
          <w:tcPr>
            <w:tcW w:w="2268" w:type="dxa"/>
            <w:vAlign w:val="center"/>
          </w:tcPr>
          <w:p w14:paraId="2044276A">
            <w:pPr>
              <w:rPr>
                <w:rFonts w:ascii="Arial Narrow" w:hAnsi="Arial Narrow" w:eastAsia="仿宋_GB2312" w:cs="宋体"/>
                <w:iCs/>
                <w:color w:val="FF0000"/>
                <w:kern w:val="0"/>
                <w:szCs w:val="21"/>
              </w:rPr>
            </w:pPr>
          </w:p>
        </w:tc>
      </w:tr>
      <w:tr w14:paraId="005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35" w:type="dxa"/>
            <w:vAlign w:val="center"/>
          </w:tcPr>
          <w:p w14:paraId="74B2362D">
            <w:pPr>
              <w:rPr>
                <w:rFonts w:ascii="Arial Narrow" w:hAnsi="Arial Narrow" w:eastAsia="仿宋_GB2312" w:cs="宋体"/>
                <w:iCs/>
                <w:color w:val="FF0000"/>
                <w:kern w:val="0"/>
                <w:szCs w:val="21"/>
              </w:rPr>
            </w:pPr>
          </w:p>
        </w:tc>
        <w:tc>
          <w:tcPr>
            <w:tcW w:w="2268" w:type="dxa"/>
            <w:vAlign w:val="center"/>
          </w:tcPr>
          <w:p w14:paraId="73D564A4">
            <w:pPr>
              <w:rPr>
                <w:rFonts w:ascii="Arial Narrow" w:hAnsi="Arial Narrow" w:eastAsia="仿宋_GB2312" w:cs="宋体"/>
                <w:iCs/>
                <w:color w:val="FF0000"/>
                <w:kern w:val="0"/>
                <w:szCs w:val="21"/>
              </w:rPr>
            </w:pPr>
          </w:p>
        </w:tc>
        <w:tc>
          <w:tcPr>
            <w:tcW w:w="2268" w:type="dxa"/>
            <w:vAlign w:val="center"/>
          </w:tcPr>
          <w:p w14:paraId="5C82D100">
            <w:pPr>
              <w:rPr>
                <w:rFonts w:ascii="Arial Narrow" w:hAnsi="Arial Narrow" w:eastAsia="仿宋_GB2312" w:cs="宋体"/>
                <w:iCs/>
                <w:color w:val="FF0000"/>
                <w:kern w:val="0"/>
                <w:szCs w:val="21"/>
              </w:rPr>
            </w:pPr>
          </w:p>
        </w:tc>
        <w:tc>
          <w:tcPr>
            <w:tcW w:w="2268" w:type="dxa"/>
            <w:vAlign w:val="center"/>
          </w:tcPr>
          <w:p w14:paraId="2198DCB8">
            <w:pPr>
              <w:rPr>
                <w:rFonts w:ascii="Arial Narrow" w:hAnsi="Arial Narrow" w:eastAsia="仿宋_GB2312" w:cs="宋体"/>
                <w:iCs/>
                <w:color w:val="FF0000"/>
                <w:kern w:val="0"/>
                <w:szCs w:val="21"/>
              </w:rPr>
            </w:pPr>
          </w:p>
        </w:tc>
      </w:tr>
    </w:tbl>
    <w:p w14:paraId="3CFC39FE">
      <w:pPr>
        <w:spacing w:before="156" w:beforeLines="50" w:line="300" w:lineRule="auto"/>
        <w:rPr>
          <w:rFonts w:ascii="仿宋_GB2312" w:eastAsia="仿宋_GB2312"/>
          <w:color w:val="0000FF"/>
          <w:sz w:val="24"/>
        </w:rPr>
      </w:pPr>
    </w:p>
    <w:p w14:paraId="7049CC80">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（五）导致注册会计师难以实施必要审计程序的情形</w:t>
      </w:r>
    </w:p>
    <w:p w14:paraId="7F6881E2">
      <w:pPr>
        <w:spacing w:before="156" w:beforeLines="50" w:line="300" w:lineRule="auto"/>
        <w:rPr>
          <w:rFonts w:ascii="仿宋_GB2312" w:eastAsia="仿宋_GB2312"/>
          <w:color w:val="0000FF"/>
          <w:sz w:val="24"/>
        </w:rPr>
      </w:pPr>
      <w:r>
        <w:rPr>
          <w:rFonts w:hint="eastAsia" w:ascii="仿宋_GB2312" w:eastAsia="仿宋_GB2312"/>
          <w:color w:val="0000FF"/>
          <w:sz w:val="24"/>
        </w:rPr>
        <w:t>【说明影响审计工作进度或导致审计范围受限的原因、影响程度及与管理层、治理层沟通的情况。如果影响重大且经采用应对措施后仍为解决，应在下述（六）中评估对审计意见类型的影响。】</w:t>
      </w:r>
    </w:p>
    <w:p w14:paraId="27B4470E">
      <w:pPr>
        <w:spacing w:before="156" w:beforeLines="50" w:line="300" w:lineRule="auto"/>
        <w:ind w:firstLine="480" w:firstLineChars="200"/>
        <w:rPr>
          <w:rFonts w:ascii="仿宋_GB2312" w:eastAsia="仿宋_GB2312"/>
          <w:color w:val="0000FF"/>
          <w:sz w:val="24"/>
        </w:rPr>
      </w:pPr>
    </w:p>
    <w:p w14:paraId="50588622">
      <w:pPr>
        <w:spacing w:before="156" w:beforeLines="50" w:line="300" w:lineRule="auto"/>
        <w:ind w:firstLine="482" w:firstLineChars="200"/>
        <w:rPr>
          <w:rFonts w:hint="eastAsia" w:ascii="仿宋_GB2312" w:hAnsi="宋体" w:eastAsia="仿宋_GB2312"/>
          <w:b/>
          <w:sz w:val="24"/>
        </w:rPr>
      </w:pPr>
      <w:r>
        <w:rPr>
          <w:rFonts w:hint="eastAsia" w:ascii="仿宋_GB2312" w:hAnsi="宋体" w:eastAsia="仿宋_GB2312"/>
          <w:b/>
          <w:sz w:val="24"/>
        </w:rPr>
        <w:t>（六）可能导致出具非无保留意见审计报告的事项</w:t>
      </w:r>
    </w:p>
    <w:tbl>
      <w:tblPr>
        <w:tblStyle w:val="12"/>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1852"/>
        <w:gridCol w:w="1894"/>
        <w:gridCol w:w="1894"/>
        <w:gridCol w:w="1894"/>
      </w:tblGrid>
      <w:tr w14:paraId="2C28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866" w:type="dxa"/>
            <w:shd w:val="clear" w:color="auto" w:fill="D8D8D8" w:themeFill="background1" w:themeFillShade="D9"/>
            <w:vAlign w:val="center"/>
          </w:tcPr>
          <w:p w14:paraId="2CA7F130">
            <w:pPr>
              <w:jc w:val="center"/>
              <w:rPr>
                <w:rFonts w:ascii="Arial Narrow" w:hAnsi="Arial Narrow" w:eastAsia="仿宋_GB2312"/>
                <w:b/>
                <w:kern w:val="44"/>
                <w:szCs w:val="21"/>
              </w:rPr>
            </w:pPr>
            <w:r>
              <w:rPr>
                <w:rFonts w:hint="eastAsia" w:ascii="Arial Narrow" w:hAnsi="Arial Narrow" w:eastAsia="仿宋_GB2312"/>
                <w:b/>
                <w:kern w:val="44"/>
                <w:szCs w:val="21"/>
              </w:rPr>
              <w:t>事项性质和内容</w:t>
            </w:r>
          </w:p>
        </w:tc>
        <w:tc>
          <w:tcPr>
            <w:tcW w:w="1852" w:type="dxa"/>
            <w:shd w:val="clear" w:color="auto" w:fill="D8D8D8" w:themeFill="background1" w:themeFillShade="D9"/>
          </w:tcPr>
          <w:p w14:paraId="65F32ADC">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错报或受限影响金额</w:t>
            </w:r>
          </w:p>
        </w:tc>
        <w:tc>
          <w:tcPr>
            <w:tcW w:w="1894" w:type="dxa"/>
            <w:shd w:val="clear" w:color="auto" w:fill="D8D8D8" w:themeFill="background1" w:themeFillShade="D9"/>
            <w:vAlign w:val="center"/>
          </w:tcPr>
          <w:p w14:paraId="41DC88FE">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对财务报表影响程度的判断</w:t>
            </w:r>
          </w:p>
        </w:tc>
        <w:tc>
          <w:tcPr>
            <w:tcW w:w="1894" w:type="dxa"/>
            <w:shd w:val="clear" w:color="auto" w:fill="D8D8D8" w:themeFill="background1" w:themeFillShade="D9"/>
            <w:vAlign w:val="center"/>
          </w:tcPr>
          <w:p w14:paraId="448047D9">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已执行的程序及获取的审计证据</w:t>
            </w:r>
          </w:p>
        </w:tc>
        <w:tc>
          <w:tcPr>
            <w:tcW w:w="1894" w:type="dxa"/>
            <w:shd w:val="clear" w:color="auto" w:fill="D8D8D8" w:themeFill="background1" w:themeFillShade="D9"/>
            <w:vAlign w:val="center"/>
          </w:tcPr>
          <w:p w14:paraId="085125EE">
            <w:pPr>
              <w:jc w:val="center"/>
              <w:rPr>
                <w:rFonts w:ascii="Arial Narrow" w:hAnsi="Arial Narrow" w:eastAsia="仿宋_GB2312" w:cs="宋体"/>
                <w:b/>
                <w:kern w:val="44"/>
                <w:szCs w:val="21"/>
              </w:rPr>
            </w:pPr>
            <w:r>
              <w:rPr>
                <w:rFonts w:hint="eastAsia" w:ascii="Arial Narrow" w:hAnsi="Arial Narrow" w:eastAsia="仿宋_GB2312" w:cs="宋体"/>
                <w:b/>
                <w:kern w:val="44"/>
                <w:szCs w:val="21"/>
              </w:rPr>
              <w:t>与管理层和治理层沟通的情况</w:t>
            </w:r>
          </w:p>
        </w:tc>
      </w:tr>
      <w:tr w14:paraId="19EA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6" w:type="dxa"/>
            <w:vAlign w:val="center"/>
          </w:tcPr>
          <w:p w14:paraId="32E59263">
            <w:pPr>
              <w:rPr>
                <w:rFonts w:ascii="Arial Narrow" w:hAnsi="Arial Narrow" w:eastAsia="仿宋_GB2312" w:cs="宋体"/>
                <w:iCs/>
                <w:color w:val="FF0000"/>
                <w:kern w:val="0"/>
                <w:szCs w:val="21"/>
              </w:rPr>
            </w:pPr>
          </w:p>
        </w:tc>
        <w:tc>
          <w:tcPr>
            <w:tcW w:w="1852" w:type="dxa"/>
          </w:tcPr>
          <w:p w14:paraId="3523D391">
            <w:pPr>
              <w:rPr>
                <w:rFonts w:ascii="Arial Narrow" w:hAnsi="Arial Narrow" w:eastAsia="仿宋_GB2312" w:cs="宋体"/>
                <w:iCs/>
                <w:color w:val="FF0000"/>
                <w:kern w:val="0"/>
                <w:szCs w:val="21"/>
              </w:rPr>
            </w:pPr>
          </w:p>
        </w:tc>
        <w:tc>
          <w:tcPr>
            <w:tcW w:w="1894" w:type="dxa"/>
            <w:vAlign w:val="center"/>
          </w:tcPr>
          <w:p w14:paraId="2C2DC1D3">
            <w:pPr>
              <w:rPr>
                <w:rFonts w:ascii="Arial Narrow" w:hAnsi="Arial Narrow" w:eastAsia="仿宋_GB2312" w:cs="宋体"/>
                <w:iCs/>
                <w:color w:val="FF0000"/>
                <w:kern w:val="0"/>
                <w:szCs w:val="21"/>
              </w:rPr>
            </w:pPr>
          </w:p>
        </w:tc>
        <w:tc>
          <w:tcPr>
            <w:tcW w:w="1894" w:type="dxa"/>
            <w:vAlign w:val="center"/>
          </w:tcPr>
          <w:p w14:paraId="727177AB">
            <w:pPr>
              <w:rPr>
                <w:rFonts w:ascii="Arial Narrow" w:hAnsi="Arial Narrow" w:eastAsia="仿宋_GB2312" w:cs="宋体"/>
                <w:iCs/>
                <w:color w:val="FF0000"/>
                <w:kern w:val="0"/>
                <w:szCs w:val="21"/>
              </w:rPr>
            </w:pPr>
          </w:p>
        </w:tc>
        <w:tc>
          <w:tcPr>
            <w:tcW w:w="1894" w:type="dxa"/>
            <w:vAlign w:val="center"/>
          </w:tcPr>
          <w:p w14:paraId="0608C7EC">
            <w:pPr>
              <w:rPr>
                <w:rFonts w:ascii="Arial Narrow" w:hAnsi="Arial Narrow" w:eastAsia="仿宋_GB2312" w:cs="宋体"/>
                <w:iCs/>
                <w:color w:val="FF0000"/>
                <w:kern w:val="0"/>
                <w:szCs w:val="21"/>
              </w:rPr>
            </w:pPr>
          </w:p>
        </w:tc>
      </w:tr>
      <w:tr w14:paraId="0504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6" w:type="dxa"/>
            <w:vAlign w:val="center"/>
          </w:tcPr>
          <w:p w14:paraId="4D64E65C">
            <w:pPr>
              <w:rPr>
                <w:rFonts w:ascii="Arial Narrow" w:hAnsi="Arial Narrow" w:eastAsia="仿宋_GB2312" w:cs="宋体"/>
                <w:iCs/>
                <w:color w:val="FF0000"/>
                <w:kern w:val="0"/>
                <w:szCs w:val="21"/>
              </w:rPr>
            </w:pPr>
          </w:p>
        </w:tc>
        <w:tc>
          <w:tcPr>
            <w:tcW w:w="1852" w:type="dxa"/>
          </w:tcPr>
          <w:p w14:paraId="2EE10789">
            <w:pPr>
              <w:rPr>
                <w:rFonts w:ascii="Arial Narrow" w:hAnsi="Arial Narrow" w:eastAsia="仿宋_GB2312" w:cs="宋体"/>
                <w:iCs/>
                <w:color w:val="FF0000"/>
                <w:kern w:val="0"/>
                <w:szCs w:val="21"/>
              </w:rPr>
            </w:pPr>
          </w:p>
        </w:tc>
        <w:tc>
          <w:tcPr>
            <w:tcW w:w="1894" w:type="dxa"/>
            <w:vAlign w:val="center"/>
          </w:tcPr>
          <w:p w14:paraId="32E637B5">
            <w:pPr>
              <w:rPr>
                <w:rFonts w:ascii="Arial Narrow" w:hAnsi="Arial Narrow" w:eastAsia="仿宋_GB2312" w:cs="宋体"/>
                <w:iCs/>
                <w:color w:val="FF0000"/>
                <w:kern w:val="0"/>
                <w:szCs w:val="21"/>
              </w:rPr>
            </w:pPr>
          </w:p>
        </w:tc>
        <w:tc>
          <w:tcPr>
            <w:tcW w:w="1894" w:type="dxa"/>
            <w:vAlign w:val="center"/>
          </w:tcPr>
          <w:p w14:paraId="44F3DDE4">
            <w:pPr>
              <w:rPr>
                <w:rFonts w:ascii="Arial Narrow" w:hAnsi="Arial Narrow" w:eastAsia="仿宋_GB2312" w:cs="宋体"/>
                <w:iCs/>
                <w:color w:val="FF0000"/>
                <w:kern w:val="0"/>
                <w:szCs w:val="21"/>
              </w:rPr>
            </w:pPr>
          </w:p>
        </w:tc>
        <w:tc>
          <w:tcPr>
            <w:tcW w:w="1894" w:type="dxa"/>
            <w:vAlign w:val="center"/>
          </w:tcPr>
          <w:p w14:paraId="5A944413">
            <w:pPr>
              <w:rPr>
                <w:rFonts w:ascii="Arial Narrow" w:hAnsi="Arial Narrow" w:eastAsia="仿宋_GB2312" w:cs="宋体"/>
                <w:iCs/>
                <w:color w:val="FF0000"/>
                <w:kern w:val="0"/>
                <w:szCs w:val="21"/>
              </w:rPr>
            </w:pPr>
          </w:p>
        </w:tc>
      </w:tr>
      <w:tr w14:paraId="16E0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6" w:type="dxa"/>
            <w:vAlign w:val="center"/>
          </w:tcPr>
          <w:p w14:paraId="17FCD522">
            <w:pPr>
              <w:rPr>
                <w:rFonts w:ascii="Arial Narrow" w:hAnsi="Arial Narrow" w:eastAsia="仿宋_GB2312" w:cs="宋体"/>
                <w:iCs/>
                <w:color w:val="FF0000"/>
                <w:kern w:val="0"/>
                <w:szCs w:val="21"/>
              </w:rPr>
            </w:pPr>
          </w:p>
        </w:tc>
        <w:tc>
          <w:tcPr>
            <w:tcW w:w="1852" w:type="dxa"/>
          </w:tcPr>
          <w:p w14:paraId="1292A4B8">
            <w:pPr>
              <w:rPr>
                <w:rFonts w:ascii="Arial Narrow" w:hAnsi="Arial Narrow" w:eastAsia="仿宋_GB2312" w:cs="宋体"/>
                <w:iCs/>
                <w:color w:val="FF0000"/>
                <w:kern w:val="0"/>
                <w:szCs w:val="21"/>
              </w:rPr>
            </w:pPr>
          </w:p>
        </w:tc>
        <w:tc>
          <w:tcPr>
            <w:tcW w:w="1894" w:type="dxa"/>
            <w:vAlign w:val="center"/>
          </w:tcPr>
          <w:p w14:paraId="59893DFC">
            <w:pPr>
              <w:rPr>
                <w:rFonts w:ascii="Arial Narrow" w:hAnsi="Arial Narrow" w:eastAsia="仿宋_GB2312" w:cs="宋体"/>
                <w:iCs/>
                <w:color w:val="FF0000"/>
                <w:kern w:val="0"/>
                <w:szCs w:val="21"/>
              </w:rPr>
            </w:pPr>
          </w:p>
        </w:tc>
        <w:tc>
          <w:tcPr>
            <w:tcW w:w="1894" w:type="dxa"/>
            <w:vAlign w:val="center"/>
          </w:tcPr>
          <w:p w14:paraId="011BD513">
            <w:pPr>
              <w:rPr>
                <w:rFonts w:ascii="Arial Narrow" w:hAnsi="Arial Narrow" w:eastAsia="仿宋_GB2312" w:cs="宋体"/>
                <w:iCs/>
                <w:color w:val="FF0000"/>
                <w:kern w:val="0"/>
                <w:szCs w:val="21"/>
              </w:rPr>
            </w:pPr>
          </w:p>
        </w:tc>
        <w:tc>
          <w:tcPr>
            <w:tcW w:w="1894" w:type="dxa"/>
            <w:vAlign w:val="center"/>
          </w:tcPr>
          <w:p w14:paraId="23C9FC4A">
            <w:pPr>
              <w:rPr>
                <w:rFonts w:ascii="Arial Narrow" w:hAnsi="Arial Narrow" w:eastAsia="仿宋_GB2312" w:cs="宋体"/>
                <w:iCs/>
                <w:color w:val="FF0000"/>
                <w:kern w:val="0"/>
                <w:szCs w:val="21"/>
              </w:rPr>
            </w:pPr>
          </w:p>
        </w:tc>
      </w:tr>
      <w:tr w14:paraId="3884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6" w:type="dxa"/>
            <w:vAlign w:val="center"/>
          </w:tcPr>
          <w:p w14:paraId="3CBBE6C7">
            <w:pPr>
              <w:rPr>
                <w:rFonts w:ascii="Arial Narrow" w:hAnsi="Arial Narrow" w:eastAsia="仿宋_GB2312" w:cs="宋体"/>
                <w:iCs/>
                <w:color w:val="FF0000"/>
                <w:kern w:val="0"/>
                <w:szCs w:val="21"/>
              </w:rPr>
            </w:pPr>
          </w:p>
        </w:tc>
        <w:tc>
          <w:tcPr>
            <w:tcW w:w="1852" w:type="dxa"/>
          </w:tcPr>
          <w:p w14:paraId="2A9F8792">
            <w:pPr>
              <w:rPr>
                <w:rFonts w:ascii="Arial Narrow" w:hAnsi="Arial Narrow" w:eastAsia="仿宋_GB2312" w:cs="宋体"/>
                <w:iCs/>
                <w:color w:val="FF0000"/>
                <w:kern w:val="0"/>
                <w:szCs w:val="21"/>
              </w:rPr>
            </w:pPr>
          </w:p>
        </w:tc>
        <w:tc>
          <w:tcPr>
            <w:tcW w:w="1894" w:type="dxa"/>
            <w:vAlign w:val="center"/>
          </w:tcPr>
          <w:p w14:paraId="0F913AFF">
            <w:pPr>
              <w:rPr>
                <w:rFonts w:ascii="Arial Narrow" w:hAnsi="Arial Narrow" w:eastAsia="仿宋_GB2312" w:cs="宋体"/>
                <w:iCs/>
                <w:color w:val="FF0000"/>
                <w:kern w:val="0"/>
                <w:szCs w:val="21"/>
              </w:rPr>
            </w:pPr>
          </w:p>
        </w:tc>
        <w:tc>
          <w:tcPr>
            <w:tcW w:w="1894" w:type="dxa"/>
            <w:vAlign w:val="center"/>
          </w:tcPr>
          <w:p w14:paraId="51910A93">
            <w:pPr>
              <w:rPr>
                <w:rFonts w:ascii="Arial Narrow" w:hAnsi="Arial Narrow" w:eastAsia="仿宋_GB2312" w:cs="宋体"/>
                <w:iCs/>
                <w:color w:val="FF0000"/>
                <w:kern w:val="0"/>
                <w:szCs w:val="21"/>
              </w:rPr>
            </w:pPr>
          </w:p>
        </w:tc>
        <w:tc>
          <w:tcPr>
            <w:tcW w:w="1894" w:type="dxa"/>
            <w:vAlign w:val="center"/>
          </w:tcPr>
          <w:p w14:paraId="444F7D3F">
            <w:pPr>
              <w:rPr>
                <w:rFonts w:ascii="Arial Narrow" w:hAnsi="Arial Narrow" w:eastAsia="仿宋_GB2312" w:cs="宋体"/>
                <w:iCs/>
                <w:color w:val="FF0000"/>
                <w:kern w:val="0"/>
                <w:szCs w:val="21"/>
              </w:rPr>
            </w:pPr>
          </w:p>
        </w:tc>
      </w:tr>
    </w:tbl>
    <w:p w14:paraId="08A31F0F">
      <w:pPr>
        <w:spacing w:before="156" w:beforeLines="50" w:line="300" w:lineRule="auto"/>
        <w:ind w:firstLine="480" w:firstLineChars="200"/>
        <w:rPr>
          <w:rFonts w:ascii="仿宋_GB2312" w:eastAsia="仿宋_GB2312"/>
          <w:color w:val="0000FF"/>
          <w:sz w:val="24"/>
        </w:rPr>
      </w:pPr>
    </w:p>
    <w:p w14:paraId="4035CBF2">
      <w:pPr>
        <w:pStyle w:val="11"/>
        <w:jc w:val="left"/>
        <w:rPr>
          <w:rFonts w:ascii="仿宋_GB2312" w:eastAsia="仿宋_GB2312"/>
          <w:sz w:val="28"/>
          <w:szCs w:val="28"/>
        </w:rPr>
      </w:pPr>
      <w:bookmarkStart w:id="6" w:name="_Toc152693397"/>
      <w:r>
        <w:rPr>
          <w:rFonts w:hint="eastAsia" w:ascii="仿宋_GB2312" w:eastAsia="仿宋_GB2312"/>
          <w:sz w:val="28"/>
          <w:szCs w:val="28"/>
        </w:rPr>
        <w:t>五、业务咨询记录及专业意见分歧解决情况</w:t>
      </w:r>
      <w:bookmarkEnd w:id="6"/>
    </w:p>
    <w:p w14:paraId="6ADDCFDD">
      <w:pPr>
        <w:spacing w:before="156" w:beforeLines="50" w:line="300" w:lineRule="auto"/>
        <w:ind w:firstLine="480" w:firstLineChars="200"/>
        <w:rPr>
          <w:rFonts w:ascii="仿宋_GB2312" w:eastAsia="仿宋_GB2312"/>
          <w:sz w:val="24"/>
        </w:rPr>
      </w:pPr>
      <w:r>
        <w:rPr>
          <w:rFonts w:hint="eastAsia" w:ascii="仿宋_GB2312" w:eastAsia="仿宋_GB2312"/>
          <w:sz w:val="24"/>
        </w:rPr>
        <w:t>详见A17-3和A17-4。</w:t>
      </w:r>
    </w:p>
    <w:p w14:paraId="7B48837E">
      <w:pPr>
        <w:rPr>
          <w:rFonts w:ascii="仿宋_GB2312" w:eastAsia="仿宋_GB2312"/>
          <w:color w:val="0000FF"/>
          <w:sz w:val="24"/>
        </w:rPr>
      </w:pPr>
      <w:r>
        <w:rPr>
          <w:rFonts w:hint="eastAsia" w:ascii="仿宋_GB2312" w:eastAsia="仿宋_GB2312"/>
          <w:color w:val="0000FF"/>
          <w:sz w:val="24"/>
        </w:rPr>
        <w:t>【如果不存在业务咨询及分歧事项，应明确说明。】</w:t>
      </w:r>
    </w:p>
    <w:p w14:paraId="2CDB3F33">
      <w:pPr>
        <w:rPr>
          <w:rFonts w:ascii="仿宋_GB2312" w:eastAsia="仿宋_GB2312"/>
          <w:color w:val="0000FF"/>
          <w:sz w:val="24"/>
        </w:rPr>
      </w:pPr>
    </w:p>
    <w:p w14:paraId="1C634FBB">
      <w:pPr>
        <w:pStyle w:val="11"/>
        <w:jc w:val="left"/>
        <w:rPr>
          <w:rFonts w:ascii="仿宋_GB2312" w:eastAsia="仿宋_GB2312"/>
          <w:sz w:val="28"/>
          <w:szCs w:val="28"/>
        </w:rPr>
      </w:pPr>
      <w:bookmarkStart w:id="7" w:name="_Toc152693398"/>
      <w:r>
        <w:rPr>
          <w:rFonts w:hint="eastAsia" w:ascii="仿宋_GB2312" w:eastAsia="仿宋_GB2312"/>
          <w:sz w:val="28"/>
          <w:szCs w:val="28"/>
        </w:rPr>
        <w:t>六、对重大错报风险的应对措施执行情况</w:t>
      </w:r>
      <w:bookmarkEnd w:id="7"/>
    </w:p>
    <w:p w14:paraId="2AC7A0C0">
      <w:pPr>
        <w:spacing w:before="156" w:beforeLines="50" w:line="300" w:lineRule="auto"/>
        <w:ind w:firstLine="482" w:firstLineChars="200"/>
        <w:rPr>
          <w:rFonts w:ascii="仿宋_GB2312" w:eastAsia="仿宋_GB2312"/>
          <w:b/>
          <w:bCs/>
          <w:sz w:val="24"/>
        </w:rPr>
      </w:pPr>
      <w:r>
        <w:rPr>
          <w:rFonts w:hint="eastAsia" w:ascii="仿宋_GB2312" w:eastAsia="仿宋_GB2312"/>
          <w:b/>
          <w:bCs/>
          <w:sz w:val="24"/>
        </w:rPr>
        <w:t>（一）财务报表层次重大错报风险的总体应对措施</w:t>
      </w:r>
    </w:p>
    <w:tbl>
      <w:tblPr>
        <w:tblStyle w:val="12"/>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0"/>
        <w:gridCol w:w="3544"/>
      </w:tblGrid>
      <w:tr w14:paraId="5D26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920" w:type="dxa"/>
            <w:shd w:val="clear" w:color="auto" w:fill="D8D8D8" w:themeFill="background1" w:themeFillShade="D9"/>
            <w:vAlign w:val="center"/>
          </w:tcPr>
          <w:p w14:paraId="4A5797AA">
            <w:pPr>
              <w:jc w:val="center"/>
              <w:rPr>
                <w:rFonts w:ascii="Arial Narrow" w:hAnsi="Arial Narrow" w:eastAsia="仿宋_GB2312"/>
                <w:b/>
                <w:kern w:val="44"/>
                <w:sz w:val="24"/>
              </w:rPr>
            </w:pPr>
            <w:r>
              <w:rPr>
                <w:rFonts w:hint="eastAsia" w:ascii="Arial Narrow" w:hAnsi="Arial Narrow" w:eastAsia="仿宋_GB2312" w:cs="宋体"/>
                <w:b/>
                <w:kern w:val="44"/>
                <w:sz w:val="24"/>
              </w:rPr>
              <w:t>财务报表层次重大错报风险描述</w:t>
            </w:r>
          </w:p>
        </w:tc>
        <w:tc>
          <w:tcPr>
            <w:tcW w:w="3544" w:type="dxa"/>
            <w:shd w:val="clear" w:color="auto" w:fill="D8D8D8" w:themeFill="background1" w:themeFillShade="D9"/>
            <w:vAlign w:val="center"/>
          </w:tcPr>
          <w:p w14:paraId="1D623F62">
            <w:pPr>
              <w:jc w:val="center"/>
              <w:rPr>
                <w:rFonts w:ascii="Arial Narrow" w:hAnsi="Arial Narrow" w:eastAsia="仿宋_GB2312" w:cs="宋体"/>
                <w:b/>
                <w:kern w:val="44"/>
                <w:sz w:val="24"/>
              </w:rPr>
            </w:pPr>
            <w:r>
              <w:rPr>
                <w:rFonts w:hint="eastAsia" w:ascii="Arial Narrow" w:hAnsi="Arial Narrow" w:eastAsia="仿宋_GB2312" w:cs="宋体"/>
                <w:b/>
                <w:kern w:val="44"/>
                <w:sz w:val="24"/>
              </w:rPr>
              <w:t>总体应对措施的执行情况</w:t>
            </w:r>
          </w:p>
        </w:tc>
      </w:tr>
      <w:tr w14:paraId="6298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920" w:type="dxa"/>
            <w:vAlign w:val="center"/>
          </w:tcPr>
          <w:p w14:paraId="2315BF83">
            <w:pPr>
              <w:rPr>
                <w:rFonts w:ascii="Arial Narrow" w:hAnsi="Arial Narrow" w:eastAsia="仿宋_GB2312" w:cs="宋体"/>
                <w:iCs/>
                <w:color w:val="FF0000"/>
                <w:kern w:val="0"/>
                <w:sz w:val="24"/>
              </w:rPr>
            </w:pPr>
          </w:p>
        </w:tc>
        <w:tc>
          <w:tcPr>
            <w:tcW w:w="3544" w:type="dxa"/>
          </w:tcPr>
          <w:p w14:paraId="1460DA03">
            <w:pPr>
              <w:rPr>
                <w:rFonts w:ascii="Arial Narrow" w:hAnsi="Arial Narrow" w:eastAsia="仿宋_GB2312" w:cs="宋体"/>
                <w:iCs/>
                <w:color w:val="FF0000"/>
                <w:kern w:val="0"/>
                <w:sz w:val="24"/>
              </w:rPr>
            </w:pPr>
          </w:p>
        </w:tc>
      </w:tr>
      <w:tr w14:paraId="0A96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920" w:type="dxa"/>
            <w:vAlign w:val="center"/>
          </w:tcPr>
          <w:p w14:paraId="09F1FFB2">
            <w:pPr>
              <w:rPr>
                <w:rFonts w:ascii="Arial Narrow" w:hAnsi="Arial Narrow" w:eastAsia="仿宋_GB2312" w:cs="宋体"/>
                <w:iCs/>
                <w:color w:val="FF0000"/>
                <w:kern w:val="0"/>
                <w:sz w:val="24"/>
              </w:rPr>
            </w:pPr>
          </w:p>
        </w:tc>
        <w:tc>
          <w:tcPr>
            <w:tcW w:w="3544" w:type="dxa"/>
          </w:tcPr>
          <w:p w14:paraId="23EB07CA">
            <w:pPr>
              <w:rPr>
                <w:rFonts w:ascii="Arial Narrow" w:hAnsi="Arial Narrow" w:eastAsia="仿宋_GB2312" w:cs="宋体"/>
                <w:iCs/>
                <w:color w:val="FF0000"/>
                <w:kern w:val="0"/>
                <w:sz w:val="24"/>
              </w:rPr>
            </w:pPr>
          </w:p>
        </w:tc>
      </w:tr>
      <w:tr w14:paraId="72E9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920" w:type="dxa"/>
            <w:vAlign w:val="center"/>
          </w:tcPr>
          <w:p w14:paraId="4B953D5C">
            <w:pPr>
              <w:rPr>
                <w:rFonts w:ascii="Arial Narrow" w:hAnsi="Arial Narrow" w:eastAsia="仿宋_GB2312" w:cs="宋体"/>
                <w:iCs/>
                <w:color w:val="FF0000"/>
                <w:kern w:val="0"/>
                <w:sz w:val="24"/>
              </w:rPr>
            </w:pPr>
          </w:p>
        </w:tc>
        <w:tc>
          <w:tcPr>
            <w:tcW w:w="3544" w:type="dxa"/>
          </w:tcPr>
          <w:p w14:paraId="375FD7E0">
            <w:pPr>
              <w:rPr>
                <w:rFonts w:ascii="Arial Narrow" w:hAnsi="Arial Narrow" w:eastAsia="仿宋_GB2312" w:cs="宋体"/>
                <w:iCs/>
                <w:color w:val="FF0000"/>
                <w:kern w:val="0"/>
                <w:sz w:val="24"/>
              </w:rPr>
            </w:pPr>
          </w:p>
        </w:tc>
      </w:tr>
      <w:tr w14:paraId="55FB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920" w:type="dxa"/>
            <w:vAlign w:val="center"/>
          </w:tcPr>
          <w:p w14:paraId="03788189">
            <w:pPr>
              <w:rPr>
                <w:rFonts w:ascii="Arial Narrow" w:hAnsi="Arial Narrow" w:eastAsia="仿宋_GB2312" w:cs="宋体"/>
                <w:iCs/>
                <w:color w:val="FF0000"/>
                <w:kern w:val="0"/>
                <w:sz w:val="24"/>
              </w:rPr>
            </w:pPr>
          </w:p>
        </w:tc>
        <w:tc>
          <w:tcPr>
            <w:tcW w:w="3544" w:type="dxa"/>
          </w:tcPr>
          <w:p w14:paraId="410E2056">
            <w:pPr>
              <w:rPr>
                <w:rFonts w:ascii="Arial Narrow" w:hAnsi="Arial Narrow" w:eastAsia="仿宋_GB2312" w:cs="宋体"/>
                <w:iCs/>
                <w:color w:val="FF0000"/>
                <w:kern w:val="0"/>
                <w:sz w:val="24"/>
              </w:rPr>
            </w:pPr>
          </w:p>
        </w:tc>
      </w:tr>
    </w:tbl>
    <w:p w14:paraId="7C2F32C0">
      <w:pPr>
        <w:ind w:firstLine="566" w:firstLineChars="236"/>
        <w:rPr>
          <w:rFonts w:ascii="仿宋_GB2312" w:eastAsia="仿宋_GB2312"/>
          <w:sz w:val="24"/>
        </w:rPr>
      </w:pPr>
    </w:p>
    <w:p w14:paraId="12FCCF0D">
      <w:pPr>
        <w:spacing w:before="156" w:beforeLines="50" w:line="300" w:lineRule="auto"/>
        <w:ind w:firstLine="482" w:firstLineChars="200"/>
        <w:rPr>
          <w:rFonts w:ascii="仿宋_GB2312" w:eastAsia="仿宋_GB2312"/>
          <w:b/>
          <w:bCs/>
          <w:sz w:val="24"/>
        </w:rPr>
      </w:pPr>
      <w:r>
        <w:rPr>
          <w:rFonts w:hint="eastAsia" w:ascii="仿宋_GB2312" w:eastAsia="仿宋_GB2312"/>
          <w:b/>
          <w:bCs/>
          <w:sz w:val="24"/>
        </w:rPr>
        <w:t>（二）认定层次的重大错报风险及应对措施</w:t>
      </w:r>
    </w:p>
    <w:p w14:paraId="19FA2BF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0000FF"/>
          <w:sz w:val="24"/>
        </w:rPr>
        <w:t>【列举事项供参考，需项目组对照总体审计策略中识别的重大错报风险及应对措施，说明执行的情况及结果：】</w:t>
      </w:r>
    </w:p>
    <w:p w14:paraId="079FCFB0">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1、长期股权投资及减值准备</w:t>
      </w:r>
    </w:p>
    <w:p w14:paraId="18EF3BA0">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（1）简要介绍财务报表截止日合并及母公司长期股权投资结构（与附注一致），各被投资单位经营情况、投资回报情况，以及本次审计考虑的减值准备计提情况。</w:t>
      </w:r>
    </w:p>
    <w:p w14:paraId="2CCF34CE">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（2）说明报告期被审计单位收购和处置情况</w:t>
      </w:r>
    </w:p>
    <w:p w14:paraId="242987D9">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按被审计单位进行描述，审计发现的重大问题（包括背景、被审计单位的会计处理）以及审计情况（包括审计证据、判断、结论），比如，区分同一控制下或非同一控制下企业合并时，说明入账原则的判断、所采用公允价值是如何获取的以及合并报表的范围判断等。</w:t>
      </w:r>
    </w:p>
    <w:p w14:paraId="684D4E78">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（3）对非同一控制下企业合并的商誉及商誉减值测试情况</w:t>
      </w:r>
    </w:p>
    <w:p w14:paraId="78C84C19">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详细描述商誉形成背景、会计处理依据、减值测试过程，包括折现率的选择，结论等。</w:t>
      </w:r>
    </w:p>
    <w:p w14:paraId="371C5A9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（4）可供出售金融资产、交易性金融资产的会计处理，以及审计程序、判断、结论。</w:t>
      </w:r>
    </w:p>
    <w:p w14:paraId="55CCF281">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2、收入舞弊</w:t>
      </w:r>
    </w:p>
    <w:p w14:paraId="328024E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（1）审计期间被审计单位收入、成本构成及变动原因分析；</w:t>
      </w:r>
    </w:p>
    <w:p w14:paraId="79150DF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（2）被审计单位收入确认具体原则；</w:t>
      </w:r>
    </w:p>
    <w:p w14:paraId="37C64262">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（3）实施的主要审计程序执行情况；</w:t>
      </w:r>
    </w:p>
    <w:p w14:paraId="4BED682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（4）审计结论。</w:t>
      </w:r>
    </w:p>
    <w:p w14:paraId="6DC206C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3、减值准备</w:t>
      </w:r>
    </w:p>
    <w:p w14:paraId="478B9D65">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（1）被审计单位本期减值准备变动情况，详细说明变动原因及计提依据；</w:t>
      </w:r>
    </w:p>
    <w:p w14:paraId="52220B13">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（2）相关会计政策及变更情况；</w:t>
      </w:r>
    </w:p>
    <w:p w14:paraId="7F0FBA81">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（3）实施的审计程序、准则相关规定及审计执行情况；</w:t>
      </w:r>
    </w:p>
    <w:p w14:paraId="1972E891">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（4）判断计提充足性；</w:t>
      </w:r>
    </w:p>
    <w:p w14:paraId="6850C655">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（5）审计结论以及会计政策变更对报表的影响。</w:t>
      </w:r>
    </w:p>
    <w:p w14:paraId="7DD5ABE7">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4、对外担保、诉讼等或有事项</w:t>
      </w:r>
    </w:p>
    <w:p w14:paraId="0930B4E2">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（1）被审计单位对外担保、诉讼具体情况，对财务报表的影响及潜在风险；</w:t>
      </w:r>
    </w:p>
    <w:p w14:paraId="2C97EE3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（2）实施的审计程序；</w:t>
      </w:r>
    </w:p>
    <w:p w14:paraId="5B9B4D1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（3）判断或有事项对财务报表影响是否充分考虑；</w:t>
      </w:r>
    </w:p>
    <w:p w14:paraId="6FEA18CA">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（4）审计结论及信息披露情况。</w:t>
      </w:r>
    </w:p>
    <w:p w14:paraId="02C5F3A0">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5、购买资产</w:t>
      </w:r>
    </w:p>
    <w:p w14:paraId="7F1FE683">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（1）报告期被审计单位资产购买的具体描述，包括背景、审批手续、合同条款、付款金额及时间、收购资产情况、对财务报表的影响等；</w:t>
      </w:r>
    </w:p>
    <w:p w14:paraId="05DB21F0">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（2）实施的审计程序；</w:t>
      </w:r>
    </w:p>
    <w:p w14:paraId="42B19F6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（3）判断财务处理的正确；</w:t>
      </w:r>
    </w:p>
    <w:p w14:paraId="333DC4A8">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color w:val="FF0000"/>
          <w:sz w:val="24"/>
        </w:rPr>
        <w:t>（4）审计结论及信息披露情况。</w:t>
      </w:r>
    </w:p>
    <w:p w14:paraId="63AE3360">
      <w:pPr>
        <w:spacing w:before="156" w:beforeLines="50" w:line="300" w:lineRule="auto"/>
        <w:ind w:firstLine="482" w:firstLineChars="200"/>
        <w:rPr>
          <w:rFonts w:ascii="仿宋_GB2312" w:eastAsia="仿宋_GB2312"/>
          <w:b/>
          <w:bCs/>
          <w:sz w:val="24"/>
        </w:rPr>
      </w:pPr>
      <w:r>
        <w:rPr>
          <w:rFonts w:hint="eastAsia" w:ascii="仿宋_GB2312" w:eastAsia="仿宋_GB2312"/>
          <w:b/>
          <w:bCs/>
          <w:sz w:val="24"/>
        </w:rPr>
        <w:t>（三）“延伸检查”程序</w:t>
      </w:r>
    </w:p>
    <w:p w14:paraId="2CF5DB9E">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被审计单位的财务报告用于资本运作或融资目的、首次承接的公众利益实体的审计业务、被审计单位处于高风险行业的、审计过程中已发现舞弊或疑似舞弊迹象的审计业务，还需说明执行延伸检查程序的情况。“延伸检查”程序适用情形和具体内容详见事务所《审计提示第61号—财务报表审计中执行延伸检查程序的相关要求》】</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9"/>
        <w:gridCol w:w="1574"/>
        <w:gridCol w:w="1837"/>
        <w:gridCol w:w="1895"/>
        <w:gridCol w:w="1895"/>
      </w:tblGrid>
      <w:tr w14:paraId="1FC6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blHeader/>
        </w:trPr>
        <w:tc>
          <w:tcPr>
            <w:tcW w:w="1170" w:type="pct"/>
          </w:tcPr>
          <w:p w14:paraId="6EF70BE5">
            <w:pPr>
              <w:spacing w:before="156"/>
              <w:jc w:val="center"/>
              <w:rPr>
                <w:rFonts w:ascii="Arial Narrow" w:hAnsi="Arial Narrow" w:eastAsia="仿宋_GB2312"/>
                <w:b/>
                <w:sz w:val="24"/>
              </w:rPr>
            </w:pPr>
            <w:r>
              <w:rPr>
                <w:rFonts w:hint="eastAsia" w:ascii="Arial Narrow" w:hAnsi="Arial Narrow" w:eastAsia="仿宋_GB2312" w:cs="宋体"/>
                <w:b/>
                <w:sz w:val="24"/>
              </w:rPr>
              <w:t>实施“延伸检查”相关的领域或业务流程</w:t>
            </w:r>
          </w:p>
        </w:tc>
        <w:tc>
          <w:tcPr>
            <w:tcW w:w="837" w:type="pct"/>
          </w:tcPr>
          <w:p w14:paraId="169045AF">
            <w:pPr>
              <w:spacing w:before="156"/>
              <w:ind w:left="-109" w:leftChars="-52"/>
              <w:jc w:val="center"/>
              <w:rPr>
                <w:rFonts w:ascii="Arial Narrow" w:hAnsi="Arial Narrow" w:eastAsia="仿宋_GB2312" w:cs="宋体"/>
                <w:b/>
                <w:sz w:val="24"/>
              </w:rPr>
            </w:pPr>
            <w:r>
              <w:rPr>
                <w:rFonts w:hint="eastAsia" w:ascii="Arial Narrow" w:hAnsi="Arial Narrow" w:eastAsia="仿宋_GB2312" w:cs="宋体"/>
                <w:b/>
                <w:sz w:val="24"/>
              </w:rPr>
              <w:t>实施“延伸检查”的性质</w:t>
            </w:r>
          </w:p>
        </w:tc>
        <w:tc>
          <w:tcPr>
            <w:tcW w:w="977" w:type="pct"/>
          </w:tcPr>
          <w:p w14:paraId="37CDF6DC">
            <w:pPr>
              <w:spacing w:before="156"/>
              <w:jc w:val="center"/>
              <w:rPr>
                <w:rFonts w:ascii="Arial Narrow" w:hAnsi="Arial Narrow" w:eastAsia="仿宋_GB2312" w:cs="宋体"/>
                <w:b/>
                <w:sz w:val="24"/>
              </w:rPr>
            </w:pPr>
            <w:r>
              <w:rPr>
                <w:rFonts w:hint="eastAsia" w:ascii="Arial Narrow" w:hAnsi="Arial Narrow" w:eastAsia="仿宋_GB2312" w:cs="宋体"/>
                <w:b/>
                <w:sz w:val="24"/>
              </w:rPr>
              <w:t>实施“延伸检查”的范围</w:t>
            </w:r>
          </w:p>
        </w:tc>
        <w:tc>
          <w:tcPr>
            <w:tcW w:w="1008" w:type="pct"/>
          </w:tcPr>
          <w:p w14:paraId="738416CF">
            <w:pPr>
              <w:spacing w:before="156"/>
              <w:jc w:val="center"/>
              <w:rPr>
                <w:rFonts w:ascii="Arial Narrow" w:hAnsi="Arial Narrow" w:eastAsia="仿宋_GB2312" w:cs="宋体"/>
                <w:b/>
                <w:sz w:val="24"/>
              </w:rPr>
            </w:pPr>
            <w:r>
              <w:rPr>
                <w:rFonts w:hint="eastAsia" w:ascii="Arial Narrow" w:hAnsi="Arial Narrow" w:eastAsia="仿宋_GB2312" w:cs="宋体"/>
                <w:b/>
                <w:sz w:val="24"/>
              </w:rPr>
              <w:t>实施“延伸检查”的时间</w:t>
            </w:r>
          </w:p>
        </w:tc>
        <w:tc>
          <w:tcPr>
            <w:tcW w:w="1008" w:type="pct"/>
            <w:vAlign w:val="center"/>
          </w:tcPr>
          <w:p w14:paraId="2D6BE894">
            <w:pPr>
              <w:spacing w:before="156"/>
              <w:jc w:val="center"/>
              <w:rPr>
                <w:rFonts w:ascii="Arial Narrow" w:hAnsi="Arial Narrow" w:eastAsia="仿宋_GB2312" w:cs="宋体"/>
                <w:b/>
                <w:sz w:val="24"/>
              </w:rPr>
            </w:pPr>
            <w:r>
              <w:rPr>
                <w:rFonts w:hint="eastAsia" w:ascii="Arial Narrow" w:hAnsi="Arial Narrow" w:eastAsia="仿宋_GB2312" w:cs="宋体"/>
                <w:b/>
                <w:sz w:val="24"/>
              </w:rPr>
              <w:t>实施“延伸检查”的结果</w:t>
            </w:r>
          </w:p>
        </w:tc>
      </w:tr>
      <w:tr w14:paraId="1E82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70" w:type="pct"/>
            <w:vAlign w:val="center"/>
          </w:tcPr>
          <w:p w14:paraId="148A0EC3">
            <w:pPr>
              <w:spacing w:before="156"/>
              <w:rPr>
                <w:rFonts w:ascii="Arial Narrow" w:hAnsi="Arial Narrow" w:eastAsia="仿宋_GB2312"/>
                <w:color w:val="FF0000"/>
                <w:sz w:val="24"/>
              </w:rPr>
            </w:pPr>
          </w:p>
        </w:tc>
        <w:tc>
          <w:tcPr>
            <w:tcW w:w="837" w:type="pct"/>
            <w:vAlign w:val="center"/>
          </w:tcPr>
          <w:p w14:paraId="0F6505EA">
            <w:pPr>
              <w:spacing w:before="156"/>
              <w:rPr>
                <w:rFonts w:ascii="Arial Narrow" w:hAnsi="Arial Narrow" w:eastAsia="仿宋_GB2312"/>
                <w:bCs/>
                <w:color w:val="FF0000"/>
                <w:sz w:val="24"/>
              </w:rPr>
            </w:pPr>
            <w:r>
              <w:rPr>
                <w:rFonts w:hint="eastAsia" w:ascii="Arial Narrow" w:hAnsi="Arial Narrow" w:eastAsia="仿宋_GB2312"/>
                <w:bCs/>
                <w:color w:val="FF0000"/>
                <w:sz w:val="24"/>
              </w:rPr>
              <w:t>核查关联方资金流水</w:t>
            </w:r>
          </w:p>
        </w:tc>
        <w:tc>
          <w:tcPr>
            <w:tcW w:w="977" w:type="pct"/>
            <w:vAlign w:val="center"/>
          </w:tcPr>
          <w:p w14:paraId="31A0A8E4">
            <w:pPr>
              <w:spacing w:before="156"/>
              <w:rPr>
                <w:rFonts w:ascii="Arial Narrow" w:hAnsi="Arial Narrow" w:eastAsia="仿宋_GB2312"/>
                <w:bCs/>
                <w:color w:val="FF0000"/>
                <w:sz w:val="24"/>
              </w:rPr>
            </w:pPr>
          </w:p>
        </w:tc>
        <w:tc>
          <w:tcPr>
            <w:tcW w:w="1008" w:type="pct"/>
            <w:vAlign w:val="center"/>
          </w:tcPr>
          <w:p w14:paraId="7B7C0638">
            <w:pPr>
              <w:spacing w:before="156"/>
              <w:rPr>
                <w:rFonts w:ascii="Arial Narrow" w:hAnsi="Arial Narrow" w:eastAsia="仿宋_GB2312"/>
                <w:bCs/>
                <w:color w:val="FF0000"/>
                <w:sz w:val="24"/>
              </w:rPr>
            </w:pPr>
          </w:p>
        </w:tc>
        <w:tc>
          <w:tcPr>
            <w:tcW w:w="1008" w:type="pct"/>
            <w:vAlign w:val="center"/>
          </w:tcPr>
          <w:p w14:paraId="600798EA">
            <w:pPr>
              <w:spacing w:before="156"/>
              <w:rPr>
                <w:rFonts w:ascii="Arial Narrow" w:hAnsi="Arial Narrow" w:eastAsia="仿宋_GB2312"/>
                <w:bCs/>
                <w:color w:val="FF0000"/>
                <w:sz w:val="24"/>
              </w:rPr>
            </w:pPr>
          </w:p>
        </w:tc>
      </w:tr>
      <w:tr w14:paraId="6D73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70" w:type="pct"/>
            <w:vAlign w:val="center"/>
          </w:tcPr>
          <w:p w14:paraId="02CD2182">
            <w:pPr>
              <w:spacing w:before="156"/>
              <w:rPr>
                <w:rFonts w:ascii="Arial Narrow" w:hAnsi="Arial Narrow" w:eastAsia="仿宋_GB2312"/>
                <w:iCs/>
                <w:color w:val="FF0000"/>
                <w:sz w:val="24"/>
              </w:rPr>
            </w:pPr>
          </w:p>
        </w:tc>
        <w:tc>
          <w:tcPr>
            <w:tcW w:w="837" w:type="pct"/>
            <w:vAlign w:val="center"/>
          </w:tcPr>
          <w:p w14:paraId="128B1993">
            <w:pPr>
              <w:spacing w:before="156"/>
              <w:rPr>
                <w:rFonts w:ascii="Arial Narrow" w:hAnsi="Arial Narrow" w:eastAsia="仿宋_GB2312"/>
                <w:bCs/>
                <w:color w:val="FF0000"/>
                <w:sz w:val="24"/>
              </w:rPr>
            </w:pPr>
            <w:r>
              <w:rPr>
                <w:rFonts w:hint="eastAsia" w:ascii="Arial Narrow" w:hAnsi="Arial Narrow" w:eastAsia="仿宋_GB2312"/>
                <w:bCs/>
                <w:color w:val="FF0000"/>
                <w:sz w:val="24"/>
              </w:rPr>
              <w:t>实地走访主要客户</w:t>
            </w:r>
          </w:p>
        </w:tc>
        <w:tc>
          <w:tcPr>
            <w:tcW w:w="977" w:type="pct"/>
            <w:vAlign w:val="center"/>
          </w:tcPr>
          <w:p w14:paraId="7D60C95C">
            <w:pPr>
              <w:spacing w:before="156"/>
              <w:rPr>
                <w:rFonts w:ascii="Arial Narrow" w:hAnsi="Arial Narrow" w:eastAsia="仿宋_GB2312"/>
                <w:bCs/>
                <w:color w:val="FF0000"/>
                <w:sz w:val="24"/>
              </w:rPr>
            </w:pPr>
          </w:p>
        </w:tc>
        <w:tc>
          <w:tcPr>
            <w:tcW w:w="1008" w:type="pct"/>
            <w:vAlign w:val="center"/>
          </w:tcPr>
          <w:p w14:paraId="0519BEAB">
            <w:pPr>
              <w:spacing w:before="156"/>
              <w:rPr>
                <w:rFonts w:ascii="Arial Narrow" w:hAnsi="Arial Narrow" w:eastAsia="仿宋_GB2312"/>
                <w:bCs/>
                <w:color w:val="FF0000"/>
                <w:sz w:val="24"/>
              </w:rPr>
            </w:pPr>
          </w:p>
        </w:tc>
        <w:tc>
          <w:tcPr>
            <w:tcW w:w="1008" w:type="pct"/>
            <w:vAlign w:val="center"/>
          </w:tcPr>
          <w:p w14:paraId="47B45D7E">
            <w:pPr>
              <w:spacing w:before="156"/>
              <w:rPr>
                <w:rFonts w:ascii="Arial Narrow" w:hAnsi="Arial Narrow" w:eastAsia="仿宋_GB2312"/>
                <w:bCs/>
                <w:color w:val="FF0000"/>
                <w:sz w:val="24"/>
              </w:rPr>
            </w:pPr>
          </w:p>
        </w:tc>
      </w:tr>
      <w:tr w14:paraId="76B4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70" w:type="pct"/>
            <w:vAlign w:val="center"/>
          </w:tcPr>
          <w:p w14:paraId="05095D52">
            <w:pPr>
              <w:spacing w:before="156"/>
              <w:rPr>
                <w:rFonts w:ascii="Arial Narrow" w:hAnsi="Arial Narrow" w:eastAsia="仿宋_GB2312" w:cs="宋体"/>
                <w:iCs/>
                <w:color w:val="FF0000"/>
                <w:sz w:val="24"/>
              </w:rPr>
            </w:pPr>
          </w:p>
        </w:tc>
        <w:tc>
          <w:tcPr>
            <w:tcW w:w="837" w:type="pct"/>
            <w:vAlign w:val="center"/>
          </w:tcPr>
          <w:p w14:paraId="534DCE35">
            <w:pPr>
              <w:spacing w:before="156"/>
              <w:rPr>
                <w:rFonts w:ascii="Arial Narrow" w:hAnsi="Arial Narrow" w:eastAsia="仿宋_GB2312"/>
                <w:bCs/>
                <w:color w:val="FF0000"/>
                <w:sz w:val="24"/>
              </w:rPr>
            </w:pPr>
            <w:r>
              <w:rPr>
                <w:rFonts w:hint="eastAsia" w:ascii="Arial Narrow" w:hAnsi="Arial Narrow" w:eastAsia="仿宋_GB2312"/>
                <w:bCs/>
                <w:color w:val="FF0000"/>
                <w:sz w:val="24"/>
              </w:rPr>
              <w:t>利用企业信息查询工具检索未披露的关联关系</w:t>
            </w:r>
          </w:p>
        </w:tc>
        <w:tc>
          <w:tcPr>
            <w:tcW w:w="977" w:type="pct"/>
            <w:vAlign w:val="center"/>
          </w:tcPr>
          <w:p w14:paraId="6AECA2AA">
            <w:pPr>
              <w:spacing w:before="156"/>
              <w:rPr>
                <w:rFonts w:ascii="Arial Narrow" w:hAnsi="Arial Narrow" w:eastAsia="仿宋_GB2312"/>
                <w:bCs/>
                <w:color w:val="FF0000"/>
                <w:sz w:val="24"/>
              </w:rPr>
            </w:pPr>
          </w:p>
        </w:tc>
        <w:tc>
          <w:tcPr>
            <w:tcW w:w="1008" w:type="pct"/>
            <w:vAlign w:val="center"/>
          </w:tcPr>
          <w:p w14:paraId="132944AE">
            <w:pPr>
              <w:spacing w:before="156"/>
              <w:rPr>
                <w:rFonts w:ascii="Arial Narrow" w:hAnsi="Arial Narrow" w:eastAsia="仿宋_GB2312"/>
                <w:bCs/>
                <w:color w:val="FF0000"/>
                <w:sz w:val="24"/>
              </w:rPr>
            </w:pPr>
          </w:p>
        </w:tc>
        <w:tc>
          <w:tcPr>
            <w:tcW w:w="1008" w:type="pct"/>
            <w:vAlign w:val="center"/>
          </w:tcPr>
          <w:p w14:paraId="313C707F">
            <w:pPr>
              <w:spacing w:before="156"/>
              <w:rPr>
                <w:rFonts w:ascii="Arial Narrow" w:hAnsi="Arial Narrow" w:eastAsia="仿宋_GB2312"/>
                <w:bCs/>
                <w:color w:val="FF0000"/>
                <w:sz w:val="24"/>
              </w:rPr>
            </w:pPr>
          </w:p>
        </w:tc>
      </w:tr>
      <w:tr w14:paraId="3C0F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70" w:type="pct"/>
            <w:vAlign w:val="center"/>
          </w:tcPr>
          <w:p w14:paraId="08CC8FEF">
            <w:pPr>
              <w:spacing w:before="156"/>
              <w:rPr>
                <w:rFonts w:ascii="Arial Narrow" w:hAnsi="Arial Narrow" w:eastAsia="仿宋_GB2312" w:cs="宋体"/>
                <w:iCs/>
                <w:color w:val="FF0000"/>
                <w:sz w:val="24"/>
              </w:rPr>
            </w:pPr>
          </w:p>
        </w:tc>
        <w:tc>
          <w:tcPr>
            <w:tcW w:w="837" w:type="pct"/>
            <w:vAlign w:val="center"/>
          </w:tcPr>
          <w:p w14:paraId="2ABA858A">
            <w:pPr>
              <w:spacing w:before="156"/>
              <w:rPr>
                <w:rFonts w:ascii="Arial Narrow" w:hAnsi="Arial Narrow" w:eastAsia="仿宋_GB2312"/>
                <w:bCs/>
                <w:color w:val="FF0000"/>
                <w:sz w:val="24"/>
              </w:rPr>
            </w:pPr>
            <w:r>
              <w:rPr>
                <w:rFonts w:hint="eastAsia" w:ascii="Arial Narrow" w:hAnsi="Arial Narrow" w:eastAsia="仿宋_GB2312"/>
                <w:bCs/>
                <w:color w:val="FF0000"/>
                <w:sz w:val="24"/>
              </w:rPr>
              <w:t>检查经销商的最终销售实现情况</w:t>
            </w:r>
          </w:p>
        </w:tc>
        <w:tc>
          <w:tcPr>
            <w:tcW w:w="977" w:type="pct"/>
            <w:vAlign w:val="center"/>
          </w:tcPr>
          <w:p w14:paraId="50A1BE12">
            <w:pPr>
              <w:spacing w:before="156"/>
              <w:rPr>
                <w:rFonts w:ascii="Arial Narrow" w:hAnsi="Arial Narrow" w:eastAsia="仿宋_GB2312"/>
                <w:bCs/>
                <w:color w:val="FF0000"/>
                <w:sz w:val="24"/>
              </w:rPr>
            </w:pPr>
          </w:p>
        </w:tc>
        <w:tc>
          <w:tcPr>
            <w:tcW w:w="1008" w:type="pct"/>
            <w:vAlign w:val="center"/>
          </w:tcPr>
          <w:p w14:paraId="6805A88E">
            <w:pPr>
              <w:spacing w:before="156"/>
              <w:rPr>
                <w:rFonts w:ascii="Arial Narrow" w:hAnsi="Arial Narrow" w:eastAsia="仿宋_GB2312"/>
                <w:bCs/>
                <w:color w:val="FF0000"/>
                <w:sz w:val="24"/>
              </w:rPr>
            </w:pPr>
          </w:p>
        </w:tc>
        <w:tc>
          <w:tcPr>
            <w:tcW w:w="1008" w:type="pct"/>
            <w:vAlign w:val="center"/>
          </w:tcPr>
          <w:p w14:paraId="3C203EA1">
            <w:pPr>
              <w:spacing w:before="156"/>
              <w:rPr>
                <w:rFonts w:ascii="Arial Narrow" w:hAnsi="Arial Narrow" w:eastAsia="仿宋_GB2312"/>
                <w:bCs/>
                <w:color w:val="FF0000"/>
                <w:sz w:val="24"/>
              </w:rPr>
            </w:pPr>
          </w:p>
        </w:tc>
      </w:tr>
      <w:tr w14:paraId="5B30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70" w:type="pct"/>
            <w:vAlign w:val="center"/>
          </w:tcPr>
          <w:p w14:paraId="3AD49B84">
            <w:pPr>
              <w:spacing w:before="156"/>
              <w:rPr>
                <w:rFonts w:ascii="Arial Narrow" w:hAnsi="Arial Narrow" w:eastAsia="仿宋_GB2312" w:cs="宋体"/>
                <w:iCs/>
                <w:color w:val="FF0000"/>
                <w:sz w:val="24"/>
              </w:rPr>
            </w:pPr>
          </w:p>
        </w:tc>
        <w:tc>
          <w:tcPr>
            <w:tcW w:w="837" w:type="pct"/>
            <w:vAlign w:val="center"/>
          </w:tcPr>
          <w:p w14:paraId="095EDC1E">
            <w:pPr>
              <w:spacing w:before="156"/>
              <w:rPr>
                <w:rFonts w:ascii="Arial Narrow" w:hAnsi="Arial Narrow" w:eastAsia="仿宋_GB2312"/>
                <w:bCs/>
                <w:color w:val="FF0000"/>
                <w:sz w:val="24"/>
              </w:rPr>
            </w:pPr>
            <w:r>
              <w:rPr>
                <w:rFonts w:hint="eastAsia" w:ascii="Arial Narrow" w:hAnsi="Arial Narrow" w:eastAsia="仿宋_GB2312"/>
                <w:bCs/>
                <w:color w:val="FF0000"/>
                <w:sz w:val="24"/>
              </w:rPr>
              <w:t>……</w:t>
            </w:r>
          </w:p>
        </w:tc>
        <w:tc>
          <w:tcPr>
            <w:tcW w:w="977" w:type="pct"/>
            <w:vAlign w:val="center"/>
          </w:tcPr>
          <w:p w14:paraId="172F111D">
            <w:pPr>
              <w:spacing w:before="156"/>
              <w:rPr>
                <w:rFonts w:ascii="Arial Narrow" w:hAnsi="Arial Narrow" w:eastAsia="仿宋_GB2312"/>
                <w:bCs/>
                <w:color w:val="FF0000"/>
                <w:sz w:val="24"/>
              </w:rPr>
            </w:pPr>
          </w:p>
        </w:tc>
        <w:tc>
          <w:tcPr>
            <w:tcW w:w="1008" w:type="pct"/>
            <w:vAlign w:val="center"/>
          </w:tcPr>
          <w:p w14:paraId="03B05171">
            <w:pPr>
              <w:spacing w:before="156"/>
              <w:rPr>
                <w:rFonts w:ascii="Arial Narrow" w:hAnsi="Arial Narrow" w:eastAsia="仿宋_GB2312"/>
                <w:bCs/>
                <w:color w:val="FF0000"/>
                <w:sz w:val="24"/>
              </w:rPr>
            </w:pPr>
          </w:p>
        </w:tc>
        <w:tc>
          <w:tcPr>
            <w:tcW w:w="1008" w:type="pct"/>
            <w:vAlign w:val="center"/>
          </w:tcPr>
          <w:p w14:paraId="1E310F9B">
            <w:pPr>
              <w:spacing w:before="156"/>
              <w:rPr>
                <w:rFonts w:ascii="Arial Narrow" w:hAnsi="Arial Narrow" w:eastAsia="仿宋_GB2312"/>
                <w:bCs/>
                <w:color w:val="FF0000"/>
                <w:sz w:val="24"/>
              </w:rPr>
            </w:pPr>
          </w:p>
        </w:tc>
      </w:tr>
    </w:tbl>
    <w:p w14:paraId="69CFD2C2">
      <w:pPr>
        <w:spacing w:before="156" w:beforeLines="50" w:line="300" w:lineRule="auto"/>
        <w:ind w:firstLine="360" w:firstLineChars="150"/>
        <w:rPr>
          <w:rFonts w:ascii="仿宋_GB2312" w:eastAsia="仿宋_GB2312"/>
          <w:color w:val="0000FF"/>
          <w:sz w:val="24"/>
        </w:rPr>
      </w:pPr>
    </w:p>
    <w:p w14:paraId="64D55170">
      <w:pPr>
        <w:pStyle w:val="11"/>
        <w:jc w:val="left"/>
        <w:rPr>
          <w:rFonts w:ascii="仿宋_GB2312" w:eastAsia="仿宋_GB2312"/>
          <w:sz w:val="28"/>
          <w:szCs w:val="28"/>
        </w:rPr>
      </w:pPr>
      <w:bookmarkStart w:id="8" w:name="_Toc152693399"/>
      <w:r>
        <w:rPr>
          <w:rFonts w:hint="eastAsia" w:ascii="仿宋_GB2312" w:eastAsia="仿宋_GB2312"/>
          <w:sz w:val="28"/>
          <w:szCs w:val="28"/>
        </w:rPr>
        <w:t>七、利用专家的工作</w:t>
      </w:r>
      <w:bookmarkEnd w:id="8"/>
    </w:p>
    <w:p w14:paraId="66A22448">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利用专家工作：</w:t>
      </w:r>
    </w:p>
    <w:p w14:paraId="7556BBE3">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S</w:t>
      </w:r>
      <w:r>
        <w:rPr>
          <w:rFonts w:ascii="仿宋_GB2312" w:hAnsi="宋体" w:eastAsia="仿宋_GB2312"/>
          <w:color w:val="FF0000"/>
          <w:sz w:val="24"/>
        </w:rPr>
        <w:t>12</w:t>
      </w:r>
      <w:r>
        <w:rPr>
          <w:rFonts w:hint="eastAsia" w:ascii="仿宋_GB2312" w:hAnsi="宋体" w:eastAsia="仿宋_GB2312"/>
          <w:color w:val="0000FF"/>
          <w:sz w:val="24"/>
        </w:rPr>
        <w:t>（或 不适用）</w:t>
      </w:r>
    </w:p>
    <w:p w14:paraId="275115DE">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税务专家复核：</w:t>
      </w:r>
    </w:p>
    <w:p w14:paraId="6CC0B1D9">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A28</w:t>
      </w:r>
      <w:r>
        <w:rPr>
          <w:rFonts w:hint="eastAsia" w:ascii="仿宋_GB2312" w:hAnsi="宋体" w:eastAsia="仿宋_GB2312"/>
          <w:color w:val="0000FF"/>
          <w:sz w:val="24"/>
        </w:rPr>
        <w:t>（或 不适用）</w:t>
      </w:r>
    </w:p>
    <w:p w14:paraId="3773C79F">
      <w:pPr>
        <w:spacing w:before="156" w:beforeLines="50" w:line="300" w:lineRule="auto"/>
        <w:rPr>
          <w:rFonts w:ascii="仿宋_GB2312" w:eastAsia="仿宋_GB2312"/>
          <w:color w:val="0000FF"/>
          <w:sz w:val="24"/>
        </w:rPr>
      </w:pPr>
      <w:r>
        <w:rPr>
          <w:rFonts w:hint="eastAsia" w:ascii="仿宋_GB2312" w:eastAsia="仿宋_GB2312"/>
          <w:color w:val="0000FF"/>
          <w:sz w:val="24"/>
        </w:rPr>
        <w:t>【根据总体审计策略和具体审计过程中遇到的重大事项，需征求事务所内部（质量控制部、专业技术委员会）和外部专家的专业意见的，应详细说明在对外部专家进行了解的前提下，与之签约情况、咨询事项、咨询结果以及项目组的判评价，并索引至具体记录中。征求专家意见的内容包括但不限于：</w:t>
      </w:r>
    </w:p>
    <w:p w14:paraId="6FBDE6EA">
      <w:pPr>
        <w:spacing w:before="156" w:beforeLines="50" w:line="300" w:lineRule="auto"/>
        <w:rPr>
          <w:rFonts w:ascii="仿宋_GB2312" w:eastAsia="仿宋_GB2312"/>
          <w:color w:val="0000FF"/>
          <w:sz w:val="24"/>
        </w:rPr>
      </w:pPr>
      <w:r>
        <w:rPr>
          <w:rFonts w:hint="eastAsia" w:ascii="仿宋_GB2312" w:eastAsia="仿宋_GB2312"/>
          <w:color w:val="0000FF"/>
          <w:sz w:val="24"/>
        </w:rPr>
        <w:t>（1）对复杂的金融工具、土地及建筑特、厂和机器设备、珍宝、艺术品、古董、无形资产、企业合并中收购的资产和承担的负债，以及可能发生减值的资产；</w:t>
      </w:r>
    </w:p>
    <w:p w14:paraId="63509C23">
      <w:pPr>
        <w:spacing w:before="156" w:beforeLines="50" w:line="300" w:lineRule="auto"/>
        <w:rPr>
          <w:rFonts w:ascii="仿宋_GB2312" w:eastAsia="仿宋_GB2312"/>
          <w:color w:val="0000FF"/>
          <w:sz w:val="24"/>
        </w:rPr>
      </w:pPr>
      <w:r>
        <w:rPr>
          <w:rFonts w:hint="eastAsia" w:ascii="仿宋_GB2312" w:eastAsia="仿宋_GB2312"/>
          <w:color w:val="0000FF"/>
          <w:sz w:val="24"/>
        </w:rPr>
        <w:t>（2）对保险合同或员工福利计划相关的负债进行精算；</w:t>
      </w:r>
    </w:p>
    <w:p w14:paraId="2682D1BE">
      <w:pPr>
        <w:spacing w:before="156" w:beforeLines="50" w:line="300" w:lineRule="auto"/>
        <w:rPr>
          <w:rFonts w:ascii="仿宋_GB2312" w:eastAsia="仿宋_GB2312"/>
          <w:color w:val="0000FF"/>
          <w:sz w:val="24"/>
        </w:rPr>
      </w:pPr>
      <w:r>
        <w:rPr>
          <w:rFonts w:hint="eastAsia" w:ascii="仿宋_GB2312" w:eastAsia="仿宋_GB2312"/>
          <w:color w:val="0000FF"/>
          <w:sz w:val="24"/>
        </w:rPr>
        <w:t>（3）对石油和天然气储量进行估算；</w:t>
      </w:r>
    </w:p>
    <w:p w14:paraId="03B53680">
      <w:pPr>
        <w:spacing w:before="156" w:beforeLines="50" w:line="300" w:lineRule="auto"/>
        <w:rPr>
          <w:rFonts w:ascii="仿宋_GB2312" w:eastAsia="仿宋_GB2312"/>
          <w:color w:val="0000FF"/>
          <w:sz w:val="24"/>
        </w:rPr>
      </w:pPr>
      <w:r>
        <w:rPr>
          <w:rFonts w:hint="eastAsia" w:ascii="仿宋_GB2312" w:eastAsia="仿宋_GB2312"/>
          <w:color w:val="0000FF"/>
          <w:sz w:val="24"/>
        </w:rPr>
        <w:t>（4）对环境负债和场地清理费用进行估价；</w:t>
      </w:r>
    </w:p>
    <w:p w14:paraId="59F8831F">
      <w:pPr>
        <w:spacing w:before="156" w:beforeLines="50" w:line="300" w:lineRule="auto"/>
        <w:rPr>
          <w:rFonts w:ascii="仿宋_GB2312" w:eastAsia="仿宋_GB2312"/>
          <w:color w:val="0000FF"/>
          <w:sz w:val="24"/>
        </w:rPr>
      </w:pPr>
      <w:r>
        <w:rPr>
          <w:rFonts w:hint="eastAsia" w:ascii="仿宋_GB2312" w:eastAsia="仿宋_GB2312"/>
          <w:color w:val="0000FF"/>
          <w:sz w:val="24"/>
        </w:rPr>
        <w:t>（5）对合同、法律和法规进行解释；</w:t>
      </w:r>
    </w:p>
    <w:p w14:paraId="2DCB2610">
      <w:pPr>
        <w:spacing w:before="156" w:beforeLines="50" w:line="300" w:lineRule="auto"/>
        <w:rPr>
          <w:rFonts w:ascii="仿宋_GB2312" w:eastAsia="仿宋_GB2312"/>
          <w:color w:val="0000FF"/>
          <w:sz w:val="24"/>
        </w:rPr>
      </w:pPr>
      <w:r>
        <w:rPr>
          <w:rFonts w:hint="eastAsia" w:ascii="仿宋_GB2312" w:eastAsia="仿宋_GB2312"/>
          <w:color w:val="0000FF"/>
          <w:sz w:val="24"/>
        </w:rPr>
        <w:t>（6）对复杂或异常的纳税问题进行分析；</w:t>
      </w:r>
    </w:p>
    <w:p w14:paraId="657FF992">
      <w:pPr>
        <w:spacing w:before="156" w:beforeLines="50" w:line="300" w:lineRule="auto"/>
        <w:rPr>
          <w:rFonts w:ascii="仿宋_GB2312" w:eastAsia="仿宋_GB2312"/>
          <w:color w:val="0000FF"/>
          <w:sz w:val="24"/>
        </w:rPr>
      </w:pPr>
      <w:r>
        <w:rPr>
          <w:rFonts w:hint="eastAsia" w:ascii="仿宋_GB2312" w:eastAsia="仿宋_GB2312"/>
          <w:color w:val="0000FF"/>
          <w:sz w:val="24"/>
        </w:rPr>
        <w:t>（7）信息系统内部控制的设计和执行有效性。】</w:t>
      </w:r>
    </w:p>
    <w:p w14:paraId="799633FF">
      <w:pPr>
        <w:spacing w:before="156" w:beforeLines="50" w:line="300" w:lineRule="auto"/>
        <w:ind w:firstLine="420"/>
        <w:rPr>
          <w:rFonts w:ascii="仿宋_GB2312" w:eastAsia="仿宋_GB2312"/>
        </w:rPr>
      </w:pPr>
    </w:p>
    <w:p w14:paraId="1255B54D">
      <w:pPr>
        <w:pStyle w:val="11"/>
        <w:jc w:val="left"/>
        <w:rPr>
          <w:rFonts w:ascii="仿宋_GB2312" w:eastAsia="仿宋_GB2312"/>
          <w:sz w:val="28"/>
          <w:szCs w:val="28"/>
        </w:rPr>
      </w:pPr>
      <w:bookmarkStart w:id="9" w:name="_Toc152693400"/>
      <w:r>
        <w:rPr>
          <w:rFonts w:hint="eastAsia" w:ascii="仿宋_GB2312" w:eastAsia="仿宋_GB2312"/>
          <w:sz w:val="28"/>
          <w:szCs w:val="28"/>
        </w:rPr>
        <w:t>八、已审财务报表分析</w:t>
      </w:r>
      <w:bookmarkEnd w:id="9"/>
    </w:p>
    <w:p w14:paraId="7D190198">
      <w:pPr>
        <w:spacing w:before="156" w:after="156" w:afterLines="50"/>
        <w:ind w:firstLine="480" w:firstLineChars="200"/>
        <w:rPr>
          <w:rFonts w:ascii="Arial Narrow" w:hAnsi="Arial Narrow" w:eastAsia="仿宋_GB2312" w:cs="宋体"/>
          <w:sz w:val="24"/>
        </w:rPr>
      </w:pPr>
      <w:r>
        <w:rPr>
          <w:rFonts w:hint="eastAsia" w:ascii="Arial Narrow" w:hAnsi="Arial Narrow" w:eastAsia="仿宋_GB2312" w:cs="宋体"/>
          <w:iCs/>
          <w:color w:val="0000FF"/>
          <w:kern w:val="0"/>
          <w:sz w:val="24"/>
        </w:rPr>
        <w:t>【针对IPO审计，补充分析申报期前两年财务报表，关注是否有收入和成本费用截止性差异。】</w:t>
      </w:r>
    </w:p>
    <w:p w14:paraId="435F0E05">
      <w:pPr>
        <w:ind w:firstLine="482" w:firstLineChars="200"/>
        <w:rPr>
          <w:rFonts w:ascii="仿宋_GB2312" w:eastAsia="仿宋_GB2312"/>
          <w:b/>
          <w:bCs/>
          <w:sz w:val="24"/>
        </w:rPr>
      </w:pPr>
      <w:r>
        <w:rPr>
          <w:rFonts w:hint="eastAsia" w:ascii="仿宋_GB2312" w:eastAsia="仿宋_GB2312"/>
          <w:b/>
          <w:bCs/>
          <w:sz w:val="24"/>
        </w:rPr>
        <w:t>（一）已审财务报表分析</w:t>
      </w:r>
    </w:p>
    <w:p w14:paraId="30A99B93">
      <w:pPr>
        <w:spacing w:before="156" w:after="156" w:afterLines="50"/>
        <w:ind w:firstLine="482" w:firstLineChars="200"/>
        <w:rPr>
          <w:rFonts w:ascii="Arial Narrow" w:hAnsi="Arial Narrow" w:eastAsia="仿宋_GB2312"/>
          <w:b/>
          <w:kern w:val="0"/>
          <w:sz w:val="24"/>
        </w:rPr>
      </w:pPr>
      <w:r>
        <w:rPr>
          <w:rFonts w:hint="eastAsia" w:ascii="Arial Narrow" w:hAnsi="Arial Narrow" w:eastAsia="仿宋_GB2312"/>
          <w:b/>
          <w:kern w:val="0"/>
          <w:sz w:val="24"/>
        </w:rPr>
        <w:t>1、财务报表数据</w:t>
      </w:r>
    </w:p>
    <w:p w14:paraId="75C2345C">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报表项目分析：对于金额异常或年度间变动异常的报表项目（如两个期间的数据变动幅度达30%以上或超过执行重要性水平，或占公司报表日资产总额5%或报告期利润总额10%以上的）、非会计准则指定的报表项目、名称反映不出其性质或内容的报表项目，应当说明该项目的具体情况及变动原因。</w:t>
      </w:r>
    </w:p>
    <w:p w14:paraId="365FA515">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对于上述报表项目的变动情况，应结合风险评估和计划阶段评估出的重大错报风险、拟实施的审计程序，逐项说明已经实施的审计程序和审计结论。（注:和本小结第八项重复的，可以索引）】</w:t>
      </w:r>
    </w:p>
    <w:p w14:paraId="0E4CF39E">
      <w:pPr>
        <w:spacing w:before="156" w:beforeLines="50" w:line="300" w:lineRule="auto"/>
        <w:ind w:firstLine="480" w:firstLineChars="200"/>
        <w:rPr>
          <w:rFonts w:hint="eastAsia" w:ascii="仿宋_GB2312" w:hAnsi="宋体" w:eastAsia="仿宋_GB2312"/>
          <w:color w:val="0000FF"/>
          <w:sz w:val="24"/>
        </w:rPr>
      </w:pPr>
    </w:p>
    <w:p w14:paraId="392AB7D6">
      <w:pPr>
        <w:spacing w:before="156" w:after="156" w:afterLines="50"/>
        <w:ind w:firstLine="482" w:firstLineChars="200"/>
        <w:rPr>
          <w:rFonts w:ascii="Arial Narrow" w:hAnsi="Arial Narrow" w:eastAsia="仿宋_GB2312"/>
          <w:b/>
          <w:kern w:val="0"/>
          <w:sz w:val="24"/>
        </w:rPr>
      </w:pPr>
      <w:r>
        <w:rPr>
          <w:rFonts w:hint="eastAsia" w:ascii="Arial Narrow" w:hAnsi="Arial Narrow" w:eastAsia="仿宋_GB2312"/>
          <w:b/>
          <w:kern w:val="0"/>
          <w:sz w:val="24"/>
        </w:rPr>
        <w:t>2、财务指标</w:t>
      </w:r>
    </w:p>
    <w:p w14:paraId="36DB5280">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对财务指标进行分析，如：上市公司基本指标，包括每股收益、每股净资产、每股经营活动产生的现金流量净额；盈利能力指标，包括净资产收益率、总资产净利润、销售净利率、销售毛利率、期间费用净利率；营运能力指标，包括资产负债率、存货周转率、应收账款周转率；偿债能力指标，包括流动比率、速动比率等。】</w:t>
      </w:r>
    </w:p>
    <w:p w14:paraId="16F8D677">
      <w:pPr>
        <w:spacing w:before="156" w:beforeLines="50" w:line="300" w:lineRule="auto"/>
        <w:ind w:firstLine="480" w:firstLineChars="200"/>
        <w:rPr>
          <w:rFonts w:hint="eastAsia" w:ascii="仿宋_GB2312" w:hAnsi="宋体" w:eastAsia="仿宋_GB2312"/>
          <w:color w:val="0000FF"/>
          <w:sz w:val="24"/>
        </w:rPr>
      </w:pPr>
    </w:p>
    <w:p w14:paraId="63483E2A">
      <w:pPr>
        <w:ind w:firstLine="482" w:firstLineChars="200"/>
        <w:rPr>
          <w:rFonts w:ascii="仿宋_GB2312" w:eastAsia="仿宋_GB2312"/>
          <w:b/>
          <w:bCs/>
          <w:sz w:val="24"/>
        </w:rPr>
      </w:pPr>
      <w:r>
        <w:rPr>
          <w:rFonts w:hint="eastAsia" w:ascii="仿宋_GB2312" w:eastAsia="仿宋_GB2312"/>
          <w:b/>
          <w:bCs/>
          <w:sz w:val="24"/>
        </w:rPr>
        <w:t>（二）同行业公司对比分析</w:t>
      </w:r>
    </w:p>
    <w:p w14:paraId="6585AE2B">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【列表并描述重要财务指标（如净资产收益率、毛利率、存货周转率、应收账款周转率、销售费用率、管理费用率等）与3-5家同行业可比公司的对比分析。若存在数据、趋势的不一致，分析原因及其合理性。】</w:t>
      </w:r>
    </w:p>
    <w:p w14:paraId="54778A73">
      <w:pPr>
        <w:spacing w:before="156" w:beforeLines="50" w:line="300" w:lineRule="auto"/>
        <w:ind w:firstLine="480" w:firstLineChars="200"/>
        <w:rPr>
          <w:rFonts w:hint="eastAsia" w:ascii="仿宋_GB2312" w:hAnsi="宋体" w:eastAsia="仿宋_GB2312"/>
          <w:color w:val="0000FF"/>
          <w:sz w:val="24"/>
        </w:rPr>
      </w:pPr>
    </w:p>
    <w:p w14:paraId="09074E06">
      <w:pPr>
        <w:ind w:firstLine="482" w:firstLineChars="200"/>
        <w:rPr>
          <w:rFonts w:ascii="仿宋_GB2312" w:eastAsia="仿宋_GB2312"/>
          <w:b/>
          <w:bCs/>
          <w:sz w:val="24"/>
        </w:rPr>
      </w:pPr>
      <w:r>
        <w:rPr>
          <w:rFonts w:hint="eastAsia" w:ascii="仿宋_GB2312" w:eastAsia="仿宋_GB2312"/>
          <w:b/>
          <w:bCs/>
          <w:sz w:val="24"/>
        </w:rPr>
        <w:t>（三）财务与非财务信息印证</w:t>
      </w:r>
    </w:p>
    <w:p w14:paraId="7848F366">
      <w:pPr>
        <w:spacing w:before="156" w:after="156" w:afterLines="50"/>
        <w:ind w:firstLine="482" w:firstLineChars="200"/>
        <w:rPr>
          <w:rFonts w:ascii="Arial Narrow" w:hAnsi="Arial Narrow" w:eastAsia="仿宋_GB2312" w:cs="宋体"/>
          <w:b/>
          <w:sz w:val="24"/>
        </w:rPr>
      </w:pPr>
      <w:r>
        <w:rPr>
          <w:rFonts w:hint="eastAsia" w:ascii="Arial Narrow" w:hAnsi="Arial Narrow" w:eastAsia="仿宋_GB2312" w:cs="宋体"/>
          <w:b/>
          <w:sz w:val="24"/>
        </w:rPr>
        <w:t>1、整体经营情况与财务数据的一致性</w:t>
      </w:r>
    </w:p>
    <w:p w14:paraId="21AE8B3D">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【结合一，分析公司整体经营情况与营业收入、营业成本、管理费用、销售费用等财务数据的一致性】</w:t>
      </w:r>
    </w:p>
    <w:p w14:paraId="40206E50">
      <w:pPr>
        <w:spacing w:before="156" w:after="156" w:afterLines="50"/>
        <w:ind w:firstLine="482" w:firstLineChars="200"/>
        <w:rPr>
          <w:rFonts w:ascii="Arial Narrow" w:hAnsi="Arial Narrow" w:eastAsia="仿宋_GB2312" w:cs="宋体"/>
          <w:b/>
          <w:sz w:val="24"/>
        </w:rPr>
      </w:pPr>
      <w:r>
        <w:rPr>
          <w:rFonts w:hint="eastAsia" w:ascii="Arial Narrow" w:hAnsi="Arial Narrow" w:eastAsia="仿宋_GB2312" w:cs="宋体"/>
          <w:b/>
          <w:sz w:val="24"/>
        </w:rPr>
        <w:t>2、财务与非财务信息的印证</w:t>
      </w:r>
    </w:p>
    <w:p w14:paraId="3734D405">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【分析已审报表与公司招股说明书、法律意见书中相关信息的一致性；其他非财务信息与财务信息的一致性，如公司的水、电、煤消耗量变动情况及一线生产员工人数的变动情况与产量的变动情况是否匹配。】</w:t>
      </w:r>
    </w:p>
    <w:p w14:paraId="00B69F4F">
      <w:pPr>
        <w:spacing w:before="156" w:after="156" w:afterLines="50"/>
        <w:ind w:firstLine="482" w:firstLineChars="200"/>
        <w:rPr>
          <w:rFonts w:ascii="Arial Narrow" w:hAnsi="Arial Narrow" w:eastAsia="仿宋_GB2312" w:cs="宋体"/>
          <w:b/>
          <w:sz w:val="24"/>
        </w:rPr>
      </w:pPr>
      <w:r>
        <w:rPr>
          <w:rFonts w:hint="eastAsia" w:ascii="Arial Narrow" w:hAnsi="Arial Narrow" w:eastAsia="仿宋_GB2312" w:cs="宋体"/>
          <w:b/>
          <w:sz w:val="24"/>
        </w:rPr>
        <w:t>3、关注财务异常信息</w:t>
      </w:r>
    </w:p>
    <w:p w14:paraId="790A44DB">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【分析公司会计政策、会计估计的一致性、与同行业的可比性；财务数据异常变动原因及合理性分析；财务指标与同行业其他公司对比分析；公司人工成本、固定资产和在建工程余额、变动的合理性分析。】</w:t>
      </w:r>
    </w:p>
    <w:p w14:paraId="1A007761">
      <w:pPr>
        <w:spacing w:before="156" w:beforeLines="50" w:line="300" w:lineRule="auto"/>
        <w:ind w:firstLine="480" w:firstLineChars="200"/>
        <w:rPr>
          <w:rFonts w:hint="eastAsia" w:ascii="仿宋_GB2312" w:hAnsi="宋体" w:eastAsia="仿宋_GB2312"/>
          <w:sz w:val="24"/>
        </w:rPr>
      </w:pPr>
    </w:p>
    <w:p w14:paraId="55072AF2">
      <w:pPr>
        <w:pStyle w:val="11"/>
        <w:jc w:val="left"/>
        <w:rPr>
          <w:rFonts w:ascii="仿宋_GB2312" w:eastAsia="仿宋_GB2312"/>
          <w:sz w:val="28"/>
          <w:szCs w:val="28"/>
        </w:rPr>
      </w:pPr>
      <w:bookmarkStart w:id="10" w:name="_Toc152693401"/>
      <w:r>
        <w:rPr>
          <w:rFonts w:hint="eastAsia" w:ascii="仿宋_GB2312" w:eastAsia="仿宋_GB2312"/>
          <w:sz w:val="28"/>
          <w:szCs w:val="28"/>
        </w:rPr>
        <w:t>九、对关联方及关联方交易的结论</w:t>
      </w:r>
      <w:bookmarkEnd w:id="10"/>
    </w:p>
    <w:p w14:paraId="0F0769A6">
      <w:pPr>
        <w:spacing w:before="156" w:beforeLines="50" w:line="300" w:lineRule="auto"/>
        <w:rPr>
          <w:rFonts w:ascii="仿宋_GB2312" w:eastAsia="仿宋_GB2312"/>
          <w:color w:val="0000FF"/>
          <w:sz w:val="24"/>
        </w:rPr>
      </w:pPr>
      <w:r>
        <w:rPr>
          <w:rFonts w:hint="eastAsia" w:ascii="仿宋_GB2312" w:eastAsia="仿宋_GB2312"/>
          <w:color w:val="0000FF"/>
          <w:sz w:val="24"/>
        </w:rPr>
        <w:t>【评价重大错报风险评估和应对过程中识别出的关联方关系及其交易的主要会计处理和披露，获取管理层和治理层对全部已知关联方名称、特征、关系及其交易，且其对交易进行恰当会计处理和披露的书面声明。】</w:t>
      </w:r>
    </w:p>
    <w:p w14:paraId="2A6CAFB7">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A7</w:t>
      </w:r>
    </w:p>
    <w:p w14:paraId="269DD1FA">
      <w:pPr>
        <w:spacing w:before="156" w:beforeLines="50" w:line="300" w:lineRule="auto"/>
        <w:ind w:firstLine="480" w:firstLineChars="200"/>
        <w:rPr>
          <w:rFonts w:hint="eastAsia" w:ascii="仿宋_GB2312" w:hAnsi="宋体" w:eastAsia="仿宋_GB2312"/>
          <w:sz w:val="24"/>
        </w:rPr>
      </w:pPr>
    </w:p>
    <w:p w14:paraId="0F8D3D23">
      <w:pPr>
        <w:pStyle w:val="11"/>
        <w:jc w:val="left"/>
        <w:rPr>
          <w:rFonts w:ascii="仿宋_GB2312" w:eastAsia="仿宋_GB2312"/>
          <w:sz w:val="28"/>
          <w:szCs w:val="28"/>
        </w:rPr>
      </w:pPr>
      <w:bookmarkStart w:id="11" w:name="_Toc152693402"/>
      <w:r>
        <w:rPr>
          <w:rFonts w:hint="eastAsia" w:ascii="仿宋_GB2312" w:eastAsia="仿宋_GB2312"/>
          <w:sz w:val="28"/>
          <w:szCs w:val="28"/>
        </w:rPr>
        <w:t>十、基于持续经营假设的考虑</w:t>
      </w:r>
      <w:bookmarkEnd w:id="11"/>
    </w:p>
    <w:p w14:paraId="386F2EF9">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通过实施持续经营能力的审计程序后，对被审计单位生产经营能力、产品市场占有率、现金流量的分析、潜在风险等因素以及被审计单位董事会对未来的经营判断，总结得出对被审计单位的持续经营假设未发现异常。</w:t>
      </w:r>
    </w:p>
    <w:p w14:paraId="1C69D655">
      <w:pPr>
        <w:spacing w:before="156" w:beforeLines="50" w:line="300" w:lineRule="auto"/>
        <w:ind w:firstLine="480" w:firstLineChars="200"/>
        <w:rPr>
          <w:rFonts w:hint="eastAsia" w:ascii="仿宋_GB2312" w:hAnsi="宋体" w:eastAsia="仿宋_GB2312"/>
          <w:color w:val="0000FF"/>
          <w:sz w:val="24"/>
        </w:rPr>
      </w:pPr>
      <w:r>
        <w:rPr>
          <w:rFonts w:hint="eastAsia" w:ascii="仿宋_GB2312" w:hAnsi="宋体" w:eastAsia="仿宋_GB2312"/>
          <w:color w:val="0000FF"/>
          <w:sz w:val="24"/>
        </w:rPr>
        <w:t>如得出的结论是否认被审计单位的持续经营假设或不能消除可能导致对持续经营能力产生重大疑虑的事项时，应考虑出具非无保留意见审计意见。</w:t>
      </w:r>
    </w:p>
    <w:p w14:paraId="2350467C">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A15</w:t>
      </w:r>
    </w:p>
    <w:p w14:paraId="59ACC116">
      <w:pPr>
        <w:spacing w:before="156" w:beforeLines="50" w:line="300" w:lineRule="auto"/>
        <w:ind w:firstLine="480" w:firstLineChars="200"/>
        <w:rPr>
          <w:rFonts w:hint="eastAsia" w:ascii="仿宋_GB2312" w:hAnsi="宋体" w:eastAsia="仿宋_GB2312"/>
          <w:sz w:val="24"/>
        </w:rPr>
      </w:pPr>
    </w:p>
    <w:p w14:paraId="5378521E">
      <w:pPr>
        <w:pStyle w:val="11"/>
        <w:jc w:val="left"/>
        <w:rPr>
          <w:rFonts w:ascii="仿宋_GB2312" w:eastAsia="仿宋_GB2312"/>
          <w:sz w:val="28"/>
          <w:szCs w:val="28"/>
        </w:rPr>
      </w:pPr>
      <w:bookmarkStart w:id="12" w:name="_Toc152693403"/>
      <w:r>
        <w:rPr>
          <w:rFonts w:hint="eastAsia" w:ascii="仿宋_GB2312" w:eastAsia="仿宋_GB2312"/>
          <w:sz w:val="28"/>
          <w:szCs w:val="28"/>
        </w:rPr>
        <w:t>十一、对期后事项形成的结论</w:t>
      </w:r>
      <w:bookmarkEnd w:id="12"/>
    </w:p>
    <w:p w14:paraId="49F31CAB">
      <w:pPr>
        <w:spacing w:before="156" w:beforeLines="50" w:line="300" w:lineRule="auto"/>
        <w:rPr>
          <w:rFonts w:hint="eastAsia" w:ascii="仿宋_GB2312" w:hAnsi="宋体" w:eastAsia="仿宋_GB2312"/>
          <w:color w:val="0000FF"/>
          <w:sz w:val="24"/>
        </w:rPr>
      </w:pPr>
      <w:r>
        <w:rPr>
          <w:rFonts w:hint="eastAsia" w:ascii="仿宋_GB2312" w:hAnsi="宋体" w:eastAsia="仿宋_GB2312"/>
          <w:color w:val="0000FF"/>
          <w:sz w:val="24"/>
        </w:rPr>
        <w:t>【已获取充分、适当的审计证据，确定财务报表日止审计报告日之间发生的、需要在财务报表中调整或披露的事项已经按照适用的财务报告编制基础在财务报表中得到恰当反映。】</w:t>
      </w:r>
    </w:p>
    <w:p w14:paraId="0E9FA8D0">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A11</w:t>
      </w:r>
    </w:p>
    <w:p w14:paraId="1E1BDB21">
      <w:pPr>
        <w:pStyle w:val="11"/>
        <w:jc w:val="left"/>
        <w:rPr>
          <w:rFonts w:ascii="仿宋_GB2312" w:eastAsia="仿宋_GB2312"/>
          <w:sz w:val="28"/>
          <w:szCs w:val="28"/>
        </w:rPr>
      </w:pPr>
      <w:bookmarkStart w:id="13" w:name="_Toc152693404"/>
      <w:r>
        <w:rPr>
          <w:rFonts w:hint="eastAsia" w:ascii="仿宋_GB2312" w:eastAsia="仿宋_GB2312"/>
          <w:sz w:val="28"/>
          <w:szCs w:val="28"/>
        </w:rPr>
        <w:t>十二、拟在审计报告中沟通的关键审计事项</w:t>
      </w:r>
      <w:bookmarkEnd w:id="13"/>
    </w:p>
    <w:p w14:paraId="6D1BE58E">
      <w:pPr>
        <w:spacing w:before="156" w:beforeLines="50" w:line="300" w:lineRule="auto"/>
        <w:rPr>
          <w:rFonts w:hint="eastAsia" w:ascii="仿宋_GB2312" w:hAnsi="宋体" w:eastAsia="仿宋_GB2312"/>
          <w:color w:val="0000FF"/>
          <w:sz w:val="24"/>
        </w:rPr>
      </w:pPr>
      <w:r>
        <w:rPr>
          <w:rFonts w:hint="eastAsia" w:ascii="仿宋_GB2312" w:hAnsi="宋体" w:eastAsia="仿宋_GB2312"/>
          <w:color w:val="0000FF"/>
          <w:sz w:val="24"/>
        </w:rPr>
        <w:t>【此部分内容如不适用请删除。】</w:t>
      </w:r>
    </w:p>
    <w:p w14:paraId="302712DD">
      <w:pPr>
        <w:spacing w:before="156" w:beforeLines="50" w:line="300" w:lineRule="auto"/>
        <w:rPr>
          <w:rFonts w:hint="eastAsia" w:ascii="仿宋_GB2312" w:hAnsi="宋体" w:eastAsia="仿宋_GB2312"/>
          <w:sz w:val="24"/>
        </w:rPr>
      </w:pPr>
      <w:r>
        <w:rPr>
          <w:rFonts w:hint="eastAsia" w:ascii="仿宋_GB2312" w:hAnsi="宋体" w:eastAsia="仿宋_GB2312"/>
          <w:color w:val="0000FF"/>
          <w:sz w:val="24"/>
        </w:rPr>
        <w:t>【前述四（一）至（五）中的需合伙人关注事项中，如果未作为关键审计事项，需在A</w:t>
      </w:r>
      <w:r>
        <w:rPr>
          <w:rFonts w:ascii="仿宋_GB2312" w:hAnsi="宋体" w:eastAsia="仿宋_GB2312"/>
          <w:color w:val="0000FF"/>
          <w:sz w:val="24"/>
        </w:rPr>
        <w:t>17-2-1</w:t>
      </w:r>
      <w:r>
        <w:rPr>
          <w:rFonts w:hint="eastAsia" w:ascii="仿宋_GB2312" w:hAnsi="宋体" w:eastAsia="仿宋_GB2312"/>
          <w:color w:val="0000FF"/>
          <w:sz w:val="24"/>
        </w:rPr>
        <w:t>底稿中说明判断理由。】</w:t>
      </w:r>
    </w:p>
    <w:p w14:paraId="2DB230DE">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根据我们的职业判断，我们认为，下列事项是对本期财务报表审计最为重要的事项，从而构成关键审计事项：</w:t>
      </w:r>
    </w:p>
    <w:p w14:paraId="2809911D">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（一）</w:t>
      </w:r>
    </w:p>
    <w:p w14:paraId="1210BE8F">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（二）</w:t>
      </w:r>
    </w:p>
    <w:p w14:paraId="276B3032">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（三）</w:t>
      </w:r>
    </w:p>
    <w:p w14:paraId="5624A323">
      <w:pPr>
        <w:spacing w:before="156" w:beforeLines="50" w:line="300" w:lineRule="auto"/>
        <w:ind w:firstLine="480" w:firstLineChars="200"/>
        <w:rPr>
          <w:rFonts w:hint="eastAsia" w:ascii="仿宋_GB2312" w:hAnsi="宋体" w:eastAsia="仿宋_GB2312"/>
          <w:color w:val="FF0000"/>
          <w:sz w:val="24"/>
        </w:rPr>
      </w:pPr>
      <w:r>
        <w:rPr>
          <w:rFonts w:ascii="仿宋_GB2312" w:hAnsi="宋体" w:eastAsia="仿宋_GB2312"/>
          <w:color w:val="FF0000"/>
          <w:sz w:val="24"/>
        </w:rPr>
        <w:t>……</w:t>
      </w:r>
    </w:p>
    <w:p w14:paraId="56935FAA">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A17-2-1 重大事项概要—关键审计事项。</w:t>
      </w:r>
    </w:p>
    <w:p w14:paraId="6EC9D073">
      <w:pPr>
        <w:pStyle w:val="11"/>
        <w:jc w:val="left"/>
        <w:rPr>
          <w:rFonts w:ascii="仿宋_GB2312" w:eastAsia="仿宋_GB2312"/>
          <w:sz w:val="28"/>
          <w:szCs w:val="28"/>
        </w:rPr>
      </w:pPr>
      <w:bookmarkStart w:id="14" w:name="_Toc152693405"/>
      <w:r>
        <w:rPr>
          <w:rFonts w:hint="eastAsia" w:ascii="仿宋_GB2312" w:eastAsia="仿宋_GB2312"/>
          <w:sz w:val="28"/>
          <w:szCs w:val="28"/>
        </w:rPr>
        <w:t>十三、其他信息</w:t>
      </w:r>
      <w:bookmarkEnd w:id="14"/>
    </w:p>
    <w:p w14:paraId="2E796956">
      <w:pPr>
        <w:spacing w:before="156" w:beforeLines="50" w:line="300" w:lineRule="auto"/>
        <w:rPr>
          <w:rFonts w:hint="eastAsia" w:ascii="仿宋_GB2312" w:hAnsi="宋体" w:eastAsia="仿宋_GB2312"/>
          <w:color w:val="FF0000"/>
          <w:sz w:val="24"/>
        </w:rPr>
      </w:pPr>
      <w:r>
        <w:rPr>
          <w:rFonts w:hint="eastAsia" w:ascii="仿宋_GB2312" w:hAnsi="宋体" w:eastAsia="仿宋_GB2312"/>
          <w:color w:val="0000FF"/>
          <w:sz w:val="24"/>
        </w:rPr>
        <w:t>【此部分内容如不适用请删除。】</w:t>
      </w:r>
    </w:p>
    <w:p w14:paraId="4F4EC7DC">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公司的年度报告是指“2016年年度报告”【</w:t>
      </w:r>
      <w:r>
        <w:rPr>
          <w:rFonts w:hint="eastAsia" w:ascii="仿宋_GB2312" w:hAnsi="宋体" w:eastAsia="仿宋_GB2312"/>
          <w:color w:val="0000FF"/>
          <w:sz w:val="24"/>
        </w:rPr>
        <w:t>或者</w:t>
      </w:r>
      <w:r>
        <w:rPr>
          <w:rFonts w:hint="eastAsia" w:ascii="仿宋_GB2312" w:hAnsi="宋体" w:eastAsia="仿宋_GB2312"/>
          <w:color w:val="FF0000"/>
          <w:sz w:val="24"/>
        </w:rPr>
        <w:t xml:space="preserve"> 公司的年度报告包含下述文件：（1）董事会报告；（2）公司董事会、监事会及董事、监事、高级管理人员保证年度报告内容的真实、准确、完整，不存在虚假记载、误导性陈述或重大遗漏，并承担个别和连带法律责任的声明；（3）公司治理情况说明；（4）内部控制自我评价报告。】。其他信息是指在年度报告中包含的除财务报表和审计报告以外的财务信息和非财务信息。</w:t>
      </w:r>
    </w:p>
    <w:p w14:paraId="1C5614F9">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我们已经获取了年度报告，并阅读了其他信息。其他信息与财务报表之间不存在重大不一致；其他信息与我们在审计中了解到的情况之间未存在重大不一致。【</w:t>
      </w:r>
      <w:r>
        <w:rPr>
          <w:rFonts w:hint="eastAsia" w:ascii="仿宋_GB2312" w:hAnsi="宋体" w:eastAsia="仿宋_GB2312"/>
          <w:color w:val="0000FF"/>
          <w:sz w:val="24"/>
        </w:rPr>
        <w:t xml:space="preserve">或者 </w:t>
      </w:r>
      <w:r>
        <w:rPr>
          <w:rFonts w:hint="eastAsia" w:ascii="仿宋_GB2312" w:hAnsi="宋体" w:eastAsia="仿宋_GB2312"/>
          <w:color w:val="FF0000"/>
          <w:sz w:val="24"/>
        </w:rPr>
        <w:t>我们阅读公司的年度报告中的其他信息时，发现其与财务报表存在重大不一致/其存在对事实的重大错报。对于这些重大不一致/对事实的重大错报，公司管理层拒绝更正。其他信息与财务报表存在重大不一致之处如下/其他信息存在对事实的重大错报如下：】</w:t>
      </w:r>
    </w:p>
    <w:p w14:paraId="2D6F43F7">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详见</w:t>
      </w:r>
      <w:r>
        <w:rPr>
          <w:rFonts w:hint="eastAsia" w:ascii="仿宋_GB2312" w:hAnsi="宋体" w:eastAsia="仿宋_GB2312"/>
          <w:color w:val="FF0000"/>
          <w:sz w:val="24"/>
        </w:rPr>
        <w:t>A</w:t>
      </w:r>
      <w:r>
        <w:rPr>
          <w:rFonts w:ascii="仿宋_GB2312" w:hAnsi="宋体" w:eastAsia="仿宋_GB2312"/>
          <w:color w:val="FF0000"/>
          <w:sz w:val="24"/>
        </w:rPr>
        <w:t>8</w:t>
      </w:r>
      <w:r>
        <w:rPr>
          <w:rFonts w:hint="eastAsia" w:ascii="仿宋_GB2312" w:hAnsi="宋体" w:eastAsia="仿宋_GB2312"/>
          <w:color w:val="FF0000"/>
          <w:sz w:val="24"/>
        </w:rPr>
        <w:t xml:space="preserve"> 其他信息。</w:t>
      </w:r>
    </w:p>
    <w:p w14:paraId="208F145A">
      <w:pPr>
        <w:spacing w:before="156" w:beforeLines="50" w:line="300" w:lineRule="auto"/>
        <w:ind w:firstLine="480" w:firstLineChars="200"/>
        <w:rPr>
          <w:rFonts w:hint="eastAsia" w:ascii="仿宋_GB2312" w:hAnsi="宋体" w:eastAsia="仿宋_GB2312"/>
          <w:sz w:val="24"/>
        </w:rPr>
      </w:pPr>
    </w:p>
    <w:p w14:paraId="2C0C8E53">
      <w:pPr>
        <w:pStyle w:val="11"/>
        <w:jc w:val="left"/>
        <w:rPr>
          <w:rFonts w:ascii="仿宋_GB2312" w:eastAsia="仿宋_GB2312"/>
          <w:sz w:val="28"/>
          <w:szCs w:val="28"/>
        </w:rPr>
      </w:pPr>
      <w:bookmarkStart w:id="15" w:name="_Toc152693406"/>
      <w:r>
        <w:rPr>
          <w:rFonts w:hint="eastAsia" w:ascii="仿宋_GB2312" w:eastAsia="仿宋_GB2312"/>
          <w:sz w:val="28"/>
          <w:szCs w:val="28"/>
        </w:rPr>
        <w:t>十四、财务报表审计</w:t>
      </w:r>
      <w:bookmarkEnd w:id="15"/>
      <w:r>
        <w:rPr>
          <w:rFonts w:hint="eastAsia" w:ascii="仿宋_GB2312" w:eastAsia="仿宋_GB2312"/>
          <w:sz w:val="28"/>
          <w:szCs w:val="28"/>
        </w:rPr>
        <w:t>意见</w:t>
      </w:r>
    </w:p>
    <w:p w14:paraId="78BCC085">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综上分析判断，我们认为：</w:t>
      </w:r>
    </w:p>
    <w:p w14:paraId="7C329B42">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1、按照中国注册会计师审计准则的规定执行了审计工作，获取的审计证据是充分、适当的，为发表审计意见提供了基础。</w:t>
      </w:r>
    </w:p>
    <w:p w14:paraId="3C7B3760">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2、</w:t>
      </w:r>
      <w:r>
        <w:rPr>
          <w:rFonts w:hint="eastAsia" w:ascii="仿宋_GB2312" w:hAnsi="宋体" w:eastAsia="仿宋_GB2312"/>
          <w:color w:val="FF0000"/>
          <w:sz w:val="24"/>
        </w:rPr>
        <w:t>XX</w:t>
      </w:r>
      <w:r>
        <w:rPr>
          <w:rFonts w:hint="eastAsia" w:ascii="仿宋_GB2312" w:hAnsi="宋体" w:eastAsia="仿宋_GB2312"/>
          <w:sz w:val="24"/>
        </w:rPr>
        <w:t>公司财务报表在所有重大方面按照企业会计准则的规定编制，公允反映了</w:t>
      </w:r>
      <w:r>
        <w:rPr>
          <w:rFonts w:hint="eastAsia" w:ascii="仿宋_GB2312" w:hAnsi="宋体" w:eastAsia="仿宋_GB2312"/>
          <w:color w:val="FF0000"/>
          <w:sz w:val="24"/>
        </w:rPr>
        <w:t>XX公司201X年X月X日的财务状况以及201X年度的经营成果和现金流量</w:t>
      </w:r>
      <w:r>
        <w:rPr>
          <w:rFonts w:hint="eastAsia" w:ascii="仿宋_GB2312" w:hAnsi="宋体" w:eastAsia="仿宋_GB2312"/>
          <w:sz w:val="24"/>
        </w:rPr>
        <w:t>。</w:t>
      </w:r>
    </w:p>
    <w:p w14:paraId="5E083637">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3、</w:t>
      </w:r>
      <w:r>
        <w:rPr>
          <w:rFonts w:hint="eastAsia" w:ascii="仿宋_GB2312" w:hAnsi="宋体" w:eastAsia="仿宋_GB2312"/>
          <w:color w:val="FF0000"/>
          <w:sz w:val="24"/>
        </w:rPr>
        <w:t>可以出具无保留意见审计报告</w:t>
      </w:r>
      <w:r>
        <w:rPr>
          <w:rFonts w:hint="eastAsia" w:ascii="仿宋_GB2312" w:hAnsi="宋体" w:eastAsia="仿宋_GB2312"/>
          <w:sz w:val="24"/>
        </w:rPr>
        <w:t>。</w:t>
      </w:r>
    </w:p>
    <w:p w14:paraId="427320BF">
      <w:pPr>
        <w:spacing w:before="156" w:beforeLines="50" w:line="300" w:lineRule="auto"/>
        <w:rPr>
          <w:rFonts w:hint="eastAsia" w:ascii="仿宋_GB2312" w:hAnsi="宋体" w:eastAsia="仿宋_GB2312"/>
          <w:color w:val="0000FF"/>
          <w:sz w:val="24"/>
        </w:rPr>
      </w:pPr>
      <w:r>
        <w:rPr>
          <w:rFonts w:hint="eastAsia" w:ascii="仿宋_GB2312" w:hAnsi="宋体" w:eastAsia="仿宋_GB2312"/>
          <w:color w:val="0000FF"/>
          <w:sz w:val="24"/>
        </w:rPr>
        <w:t>【如出具非无保留意见审计报告，应说明具体意见。A、B类业务出具非无保留意见审计报告的，按照事务所的质量控制制度规定，还应通过专业技术委员会审核，在此应当说明专业技术委员会审核结论及进一步的措施。】</w:t>
      </w:r>
    </w:p>
    <w:p w14:paraId="55BC0631">
      <w:pPr>
        <w:spacing w:before="156" w:beforeLines="50" w:line="300" w:lineRule="auto"/>
        <w:ind w:firstLine="480" w:firstLineChars="200"/>
        <w:rPr>
          <w:rFonts w:hint="eastAsia" w:ascii="仿宋_GB2312" w:hAnsi="宋体" w:eastAsia="仿宋_GB2312"/>
          <w:sz w:val="24"/>
        </w:rPr>
      </w:pPr>
    </w:p>
    <w:p w14:paraId="657E50C9">
      <w:pPr>
        <w:pStyle w:val="11"/>
        <w:jc w:val="left"/>
        <w:rPr>
          <w:rFonts w:ascii="仿宋_GB2312" w:eastAsia="仿宋_GB2312"/>
          <w:sz w:val="28"/>
          <w:szCs w:val="28"/>
        </w:rPr>
      </w:pPr>
      <w:bookmarkStart w:id="16" w:name="_Toc152693407"/>
      <w:r>
        <w:rPr>
          <w:rFonts w:hint="eastAsia" w:ascii="仿宋_GB2312" w:eastAsia="仿宋_GB2312"/>
          <w:sz w:val="28"/>
          <w:szCs w:val="28"/>
        </w:rPr>
        <w:t>十五、其他特殊考虑事项</w:t>
      </w:r>
      <w:bookmarkEnd w:id="16"/>
    </w:p>
    <w:p w14:paraId="54D32F7D">
      <w:pPr>
        <w:spacing w:before="156" w:beforeLines="50" w:after="156" w:afterLines="50"/>
        <w:rPr>
          <w:rFonts w:ascii="仿宋_GB2312" w:eastAsia="仿宋_GB2312"/>
          <w:b/>
          <w:bCs/>
          <w:sz w:val="24"/>
        </w:rPr>
      </w:pPr>
      <w:r>
        <w:rPr>
          <w:rFonts w:hint="eastAsia" w:ascii="仿宋_GB2312" w:hAnsi="宋体" w:eastAsia="仿宋_GB2312"/>
          <w:color w:val="0000FF"/>
          <w:sz w:val="24"/>
        </w:rPr>
        <w:t>【此部分内容如不适用请删除。】</w:t>
      </w:r>
    </w:p>
    <w:p w14:paraId="1D6E5373">
      <w:pPr>
        <w:ind w:firstLine="482" w:firstLineChars="200"/>
        <w:rPr>
          <w:rFonts w:ascii="仿宋_GB2312" w:eastAsia="仿宋_GB2312"/>
          <w:b/>
          <w:bCs/>
          <w:sz w:val="24"/>
        </w:rPr>
      </w:pPr>
      <w:r>
        <w:rPr>
          <w:rFonts w:hint="eastAsia" w:ascii="仿宋_GB2312" w:eastAsia="仿宋_GB2312"/>
          <w:b/>
          <w:bCs/>
          <w:sz w:val="24"/>
        </w:rPr>
        <w:t>（一）出具内部控制审计意见的考虑</w:t>
      </w:r>
    </w:p>
    <w:p w14:paraId="2C842251">
      <w:pPr>
        <w:spacing w:before="156" w:after="156" w:afterLines="50"/>
        <w:ind w:firstLine="482" w:firstLineChars="200"/>
        <w:rPr>
          <w:rFonts w:ascii="Arial Narrow" w:hAnsi="Arial Narrow" w:eastAsia="仿宋_GB2312"/>
          <w:b/>
          <w:kern w:val="0"/>
          <w:sz w:val="24"/>
        </w:rPr>
      </w:pPr>
      <w:r>
        <w:rPr>
          <w:rFonts w:hint="eastAsia" w:ascii="Arial Narrow" w:hAnsi="Arial Narrow" w:eastAsia="仿宋_GB2312"/>
          <w:b/>
          <w:kern w:val="0"/>
          <w:sz w:val="24"/>
        </w:rPr>
        <w:t>1、识别出的内部控制缺陷汇总</w:t>
      </w:r>
    </w:p>
    <w:p w14:paraId="4B80D527">
      <w:pPr>
        <w:spacing w:before="156" w:beforeLines="50" w:line="300" w:lineRule="auto"/>
        <w:ind w:firstLine="480" w:firstLineChars="200"/>
        <w:rPr>
          <w:rFonts w:hint="eastAsia" w:ascii="仿宋_GB2312" w:hAnsi="宋体" w:eastAsia="仿宋_GB2312"/>
          <w:bCs/>
          <w:sz w:val="24"/>
        </w:rPr>
      </w:pPr>
      <w:r>
        <w:rPr>
          <w:rFonts w:hint="eastAsia" w:ascii="仿宋_GB2312" w:hAnsi="宋体" w:eastAsia="仿宋_GB2312"/>
          <w:bCs/>
          <w:sz w:val="24"/>
        </w:rPr>
        <w:t>（1）财务报告内部控制缺陷汇总</w:t>
      </w:r>
    </w:p>
    <w:tbl>
      <w:tblPr>
        <w:tblStyle w:val="12"/>
        <w:tblW w:w="5000" w:type="pct"/>
        <w:tblInd w:w="0" w:type="dxa"/>
        <w:tblLayout w:type="autofit"/>
        <w:tblCellMar>
          <w:top w:w="0" w:type="dxa"/>
          <w:left w:w="108" w:type="dxa"/>
          <w:bottom w:w="0" w:type="dxa"/>
          <w:right w:w="108" w:type="dxa"/>
        </w:tblCellMar>
      </w:tblPr>
      <w:tblGrid>
        <w:gridCol w:w="1083"/>
        <w:gridCol w:w="1540"/>
        <w:gridCol w:w="1120"/>
        <w:gridCol w:w="981"/>
        <w:gridCol w:w="1261"/>
        <w:gridCol w:w="837"/>
        <w:gridCol w:w="1414"/>
        <w:gridCol w:w="1164"/>
      </w:tblGrid>
      <w:tr w14:paraId="1AA3E327">
        <w:tblPrEx>
          <w:tblCellMar>
            <w:top w:w="0" w:type="dxa"/>
            <w:left w:w="108" w:type="dxa"/>
            <w:bottom w:w="0" w:type="dxa"/>
            <w:right w:w="108" w:type="dxa"/>
          </w:tblCellMar>
        </w:tblPrEx>
        <w:trPr>
          <w:trHeight w:val="312" w:hRule="atLeast"/>
          <w:tblHeader/>
        </w:trPr>
        <w:tc>
          <w:tcPr>
            <w:tcW w:w="576" w:type="pct"/>
            <w:vMerge w:val="restart"/>
            <w:tcBorders>
              <w:top w:val="single" w:color="auto" w:sz="4" w:space="0"/>
              <w:left w:val="single" w:color="auto" w:sz="4" w:space="0"/>
              <w:bottom w:val="single" w:color="auto" w:sz="4" w:space="0"/>
              <w:right w:val="single" w:color="auto" w:sz="4" w:space="0"/>
            </w:tcBorders>
            <w:vAlign w:val="center"/>
          </w:tcPr>
          <w:p w14:paraId="059B3434">
            <w:pPr>
              <w:widowControl/>
              <w:jc w:val="center"/>
              <w:rPr>
                <w:rFonts w:ascii="Arial" w:hAnsi="Arial" w:cs="Arial"/>
                <w:b/>
                <w:bCs/>
                <w:color w:val="000000"/>
                <w:kern w:val="0"/>
                <w:sz w:val="20"/>
                <w:szCs w:val="20"/>
              </w:rPr>
            </w:pPr>
            <w:r>
              <w:rPr>
                <w:rFonts w:hint="eastAsia" w:ascii="Arial" w:hAnsi="Arial" w:cs="Arial"/>
                <w:b/>
                <w:bCs/>
                <w:color w:val="000000"/>
                <w:kern w:val="0"/>
                <w:sz w:val="20"/>
                <w:szCs w:val="20"/>
              </w:rPr>
              <w:t>组成部分</w:t>
            </w:r>
          </w:p>
        </w:tc>
        <w:tc>
          <w:tcPr>
            <w:tcW w:w="819" w:type="pct"/>
            <w:vMerge w:val="restart"/>
            <w:tcBorders>
              <w:top w:val="single" w:color="auto" w:sz="4" w:space="0"/>
              <w:left w:val="single" w:color="auto" w:sz="4" w:space="0"/>
              <w:bottom w:val="single" w:color="auto" w:sz="4" w:space="0"/>
              <w:right w:val="single" w:color="auto" w:sz="4" w:space="0"/>
            </w:tcBorders>
            <w:vAlign w:val="center"/>
          </w:tcPr>
          <w:p w14:paraId="2E2E4FDC">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相关业务流程、应用系统</w:t>
            </w:r>
          </w:p>
        </w:tc>
        <w:tc>
          <w:tcPr>
            <w:tcW w:w="596" w:type="pct"/>
            <w:vMerge w:val="restart"/>
            <w:tcBorders>
              <w:top w:val="single" w:color="auto" w:sz="4" w:space="0"/>
              <w:left w:val="single" w:color="auto" w:sz="4" w:space="0"/>
              <w:bottom w:val="single" w:color="auto" w:sz="4" w:space="0"/>
              <w:right w:val="single" w:color="auto" w:sz="4" w:space="0"/>
            </w:tcBorders>
            <w:vAlign w:val="center"/>
          </w:tcPr>
          <w:p w14:paraId="41BA81C4">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内部控制缺陷描述及影响</w:t>
            </w:r>
          </w:p>
        </w:tc>
        <w:tc>
          <w:tcPr>
            <w:tcW w:w="522" w:type="pct"/>
            <w:vMerge w:val="restart"/>
            <w:tcBorders>
              <w:top w:val="single" w:color="auto" w:sz="4" w:space="0"/>
              <w:left w:val="single" w:color="auto" w:sz="4" w:space="0"/>
              <w:bottom w:val="single" w:color="auto" w:sz="4" w:space="0"/>
              <w:right w:val="single" w:color="auto" w:sz="4" w:space="0"/>
            </w:tcBorders>
            <w:vAlign w:val="center"/>
          </w:tcPr>
          <w:p w14:paraId="2B1103B0">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缺陷类型（设计/运行）</w:t>
            </w:r>
          </w:p>
        </w:tc>
        <w:tc>
          <w:tcPr>
            <w:tcW w:w="671" w:type="pct"/>
            <w:vMerge w:val="restart"/>
            <w:tcBorders>
              <w:top w:val="single" w:color="auto" w:sz="4" w:space="0"/>
              <w:left w:val="single" w:color="auto" w:sz="4" w:space="0"/>
              <w:bottom w:val="single" w:color="auto" w:sz="4" w:space="0"/>
              <w:right w:val="single" w:color="auto" w:sz="4" w:space="0"/>
            </w:tcBorders>
            <w:vAlign w:val="center"/>
          </w:tcPr>
          <w:p w14:paraId="46C7355A">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所影响的账户、交易、披露及相关认定</w:t>
            </w:r>
          </w:p>
        </w:tc>
        <w:tc>
          <w:tcPr>
            <w:tcW w:w="445" w:type="pct"/>
            <w:vMerge w:val="restart"/>
            <w:tcBorders>
              <w:top w:val="single" w:color="auto" w:sz="4" w:space="0"/>
              <w:left w:val="single" w:color="auto" w:sz="4" w:space="0"/>
              <w:bottom w:val="single" w:color="auto" w:sz="4" w:space="0"/>
              <w:right w:val="single" w:color="auto" w:sz="4" w:space="0"/>
            </w:tcBorders>
            <w:vAlign w:val="center"/>
          </w:tcPr>
          <w:p w14:paraId="0DC38024">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补偿性控制</w:t>
            </w:r>
          </w:p>
        </w:tc>
        <w:tc>
          <w:tcPr>
            <w:tcW w:w="752" w:type="pct"/>
            <w:vMerge w:val="restart"/>
            <w:tcBorders>
              <w:top w:val="single" w:color="auto" w:sz="4" w:space="0"/>
              <w:left w:val="single" w:color="auto" w:sz="4" w:space="0"/>
              <w:bottom w:val="single" w:color="auto" w:sz="4" w:space="0"/>
              <w:right w:val="single" w:color="auto" w:sz="4" w:space="0"/>
            </w:tcBorders>
            <w:vAlign w:val="center"/>
          </w:tcPr>
          <w:p w14:paraId="20179D47">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发生错报的可能性及错报的严重程序分析</w:t>
            </w:r>
          </w:p>
        </w:tc>
        <w:tc>
          <w:tcPr>
            <w:tcW w:w="619" w:type="pct"/>
            <w:vMerge w:val="restart"/>
            <w:tcBorders>
              <w:top w:val="single" w:color="auto" w:sz="4" w:space="0"/>
              <w:left w:val="single" w:color="auto" w:sz="4" w:space="0"/>
              <w:bottom w:val="single" w:color="auto" w:sz="4" w:space="0"/>
              <w:right w:val="single" w:color="auto" w:sz="4" w:space="0"/>
            </w:tcBorders>
            <w:vAlign w:val="center"/>
          </w:tcPr>
          <w:p w14:paraId="44F9691C">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缺陷认定结论</w:t>
            </w:r>
          </w:p>
        </w:tc>
      </w:tr>
      <w:tr w14:paraId="7D2329C0">
        <w:tblPrEx>
          <w:tblCellMar>
            <w:top w:w="0" w:type="dxa"/>
            <w:left w:w="108" w:type="dxa"/>
            <w:bottom w:w="0" w:type="dxa"/>
            <w:right w:w="108" w:type="dxa"/>
          </w:tblCellMar>
        </w:tblPrEx>
        <w:trPr>
          <w:trHeight w:val="750" w:hRule="atLeast"/>
          <w:tblHeader/>
        </w:trPr>
        <w:tc>
          <w:tcPr>
            <w:tcW w:w="576" w:type="pct"/>
            <w:vMerge w:val="continue"/>
            <w:tcBorders>
              <w:top w:val="single" w:color="auto" w:sz="4" w:space="0"/>
              <w:left w:val="single" w:color="auto" w:sz="4" w:space="0"/>
              <w:bottom w:val="single" w:color="auto" w:sz="4" w:space="0"/>
              <w:right w:val="single" w:color="auto" w:sz="4" w:space="0"/>
            </w:tcBorders>
            <w:vAlign w:val="center"/>
          </w:tcPr>
          <w:p w14:paraId="76EAEF91">
            <w:pPr>
              <w:widowControl/>
              <w:jc w:val="left"/>
              <w:rPr>
                <w:rFonts w:ascii="Arial" w:hAnsi="Arial" w:cs="Arial"/>
                <w:b/>
                <w:bCs/>
                <w:color w:val="000000"/>
                <w:kern w:val="0"/>
                <w:sz w:val="20"/>
                <w:szCs w:val="20"/>
              </w:rPr>
            </w:pPr>
          </w:p>
        </w:tc>
        <w:tc>
          <w:tcPr>
            <w:tcW w:w="819" w:type="pct"/>
            <w:vMerge w:val="continue"/>
            <w:tcBorders>
              <w:top w:val="single" w:color="auto" w:sz="4" w:space="0"/>
              <w:left w:val="single" w:color="auto" w:sz="4" w:space="0"/>
              <w:bottom w:val="single" w:color="auto" w:sz="4" w:space="0"/>
              <w:right w:val="single" w:color="auto" w:sz="4" w:space="0"/>
            </w:tcBorders>
            <w:vAlign w:val="center"/>
          </w:tcPr>
          <w:p w14:paraId="2DF597D8">
            <w:pPr>
              <w:widowControl/>
              <w:jc w:val="left"/>
              <w:rPr>
                <w:rFonts w:ascii="Arial" w:hAnsi="Arial" w:cs="Arial"/>
                <w:b/>
                <w:bCs/>
                <w:color w:val="000000"/>
                <w:kern w:val="0"/>
                <w:sz w:val="20"/>
                <w:szCs w:val="20"/>
              </w:rPr>
            </w:pPr>
          </w:p>
        </w:tc>
        <w:tc>
          <w:tcPr>
            <w:tcW w:w="596" w:type="pct"/>
            <w:vMerge w:val="continue"/>
            <w:tcBorders>
              <w:top w:val="single" w:color="auto" w:sz="4" w:space="0"/>
              <w:left w:val="single" w:color="auto" w:sz="4" w:space="0"/>
              <w:bottom w:val="single" w:color="auto" w:sz="4" w:space="0"/>
              <w:right w:val="single" w:color="auto" w:sz="4" w:space="0"/>
            </w:tcBorders>
            <w:vAlign w:val="center"/>
          </w:tcPr>
          <w:p w14:paraId="41CF1136">
            <w:pPr>
              <w:widowControl/>
              <w:jc w:val="left"/>
              <w:rPr>
                <w:rFonts w:hint="eastAsia" w:ascii="宋体" w:hAnsi="宋体" w:cs="宋体"/>
                <w:b/>
                <w:bCs/>
                <w:color w:val="000000"/>
                <w:kern w:val="0"/>
                <w:sz w:val="20"/>
                <w:szCs w:val="20"/>
              </w:rPr>
            </w:pPr>
          </w:p>
        </w:tc>
        <w:tc>
          <w:tcPr>
            <w:tcW w:w="522" w:type="pct"/>
            <w:vMerge w:val="continue"/>
            <w:tcBorders>
              <w:top w:val="single" w:color="auto" w:sz="4" w:space="0"/>
              <w:left w:val="single" w:color="auto" w:sz="4" w:space="0"/>
              <w:bottom w:val="single" w:color="auto" w:sz="4" w:space="0"/>
              <w:right w:val="single" w:color="auto" w:sz="4" w:space="0"/>
            </w:tcBorders>
            <w:vAlign w:val="center"/>
          </w:tcPr>
          <w:p w14:paraId="3FD412FE">
            <w:pPr>
              <w:widowControl/>
              <w:jc w:val="left"/>
              <w:rPr>
                <w:rFonts w:hint="eastAsia" w:ascii="宋体" w:hAnsi="宋体" w:cs="宋体"/>
                <w:b/>
                <w:bCs/>
                <w:color w:val="000000"/>
                <w:kern w:val="0"/>
                <w:sz w:val="20"/>
                <w:szCs w:val="20"/>
              </w:rPr>
            </w:pPr>
          </w:p>
        </w:tc>
        <w:tc>
          <w:tcPr>
            <w:tcW w:w="671" w:type="pct"/>
            <w:vMerge w:val="continue"/>
            <w:tcBorders>
              <w:top w:val="single" w:color="auto" w:sz="4" w:space="0"/>
              <w:left w:val="single" w:color="auto" w:sz="4" w:space="0"/>
              <w:bottom w:val="single" w:color="auto" w:sz="4" w:space="0"/>
              <w:right w:val="single" w:color="auto" w:sz="4" w:space="0"/>
            </w:tcBorders>
            <w:vAlign w:val="center"/>
          </w:tcPr>
          <w:p w14:paraId="45E973F6">
            <w:pPr>
              <w:widowControl/>
              <w:jc w:val="left"/>
              <w:rPr>
                <w:rFonts w:ascii="Arial" w:hAnsi="Arial" w:cs="Arial"/>
                <w:b/>
                <w:bCs/>
                <w:color w:val="000000"/>
                <w:kern w:val="0"/>
                <w:sz w:val="20"/>
                <w:szCs w:val="20"/>
              </w:rPr>
            </w:pPr>
          </w:p>
        </w:tc>
        <w:tc>
          <w:tcPr>
            <w:tcW w:w="445" w:type="pct"/>
            <w:vMerge w:val="continue"/>
            <w:tcBorders>
              <w:top w:val="single" w:color="auto" w:sz="4" w:space="0"/>
              <w:left w:val="single" w:color="auto" w:sz="4" w:space="0"/>
              <w:bottom w:val="single" w:color="auto" w:sz="4" w:space="0"/>
              <w:right w:val="single" w:color="auto" w:sz="4" w:space="0"/>
            </w:tcBorders>
            <w:vAlign w:val="center"/>
          </w:tcPr>
          <w:p w14:paraId="44E4ED58">
            <w:pPr>
              <w:widowControl/>
              <w:jc w:val="left"/>
              <w:rPr>
                <w:rFonts w:ascii="Arial" w:hAnsi="Arial" w:cs="Arial"/>
                <w:b/>
                <w:bCs/>
                <w:color w:val="000000"/>
                <w:kern w:val="0"/>
                <w:sz w:val="20"/>
                <w:szCs w:val="20"/>
              </w:rPr>
            </w:pPr>
          </w:p>
        </w:tc>
        <w:tc>
          <w:tcPr>
            <w:tcW w:w="752" w:type="pct"/>
            <w:vMerge w:val="continue"/>
            <w:tcBorders>
              <w:top w:val="single" w:color="auto" w:sz="4" w:space="0"/>
              <w:left w:val="single" w:color="auto" w:sz="4" w:space="0"/>
              <w:bottom w:val="single" w:color="auto" w:sz="4" w:space="0"/>
              <w:right w:val="single" w:color="auto" w:sz="4" w:space="0"/>
            </w:tcBorders>
            <w:vAlign w:val="center"/>
          </w:tcPr>
          <w:p w14:paraId="1D7225CF">
            <w:pPr>
              <w:widowControl/>
              <w:jc w:val="left"/>
              <w:rPr>
                <w:rFonts w:ascii="Arial" w:hAnsi="Arial" w:cs="Arial"/>
                <w:b/>
                <w:bCs/>
                <w:color w:val="000000"/>
                <w:kern w:val="0"/>
                <w:sz w:val="20"/>
                <w:szCs w:val="20"/>
              </w:rPr>
            </w:pPr>
          </w:p>
        </w:tc>
        <w:tc>
          <w:tcPr>
            <w:tcW w:w="619" w:type="pct"/>
            <w:vMerge w:val="continue"/>
            <w:tcBorders>
              <w:top w:val="single" w:color="auto" w:sz="4" w:space="0"/>
              <w:left w:val="single" w:color="auto" w:sz="4" w:space="0"/>
              <w:bottom w:val="single" w:color="auto" w:sz="4" w:space="0"/>
              <w:right w:val="single" w:color="auto" w:sz="4" w:space="0"/>
            </w:tcBorders>
            <w:vAlign w:val="center"/>
          </w:tcPr>
          <w:p w14:paraId="3F212BB3">
            <w:pPr>
              <w:widowControl/>
              <w:jc w:val="left"/>
              <w:rPr>
                <w:rFonts w:hint="eastAsia" w:ascii="宋体" w:hAnsi="宋体" w:cs="宋体"/>
                <w:b/>
                <w:bCs/>
                <w:color w:val="000000"/>
                <w:kern w:val="0"/>
                <w:sz w:val="20"/>
                <w:szCs w:val="20"/>
              </w:rPr>
            </w:pPr>
          </w:p>
        </w:tc>
      </w:tr>
      <w:tr w14:paraId="139444F2">
        <w:tblPrEx>
          <w:tblCellMar>
            <w:top w:w="0" w:type="dxa"/>
            <w:left w:w="108" w:type="dxa"/>
            <w:bottom w:w="0" w:type="dxa"/>
            <w:right w:w="108" w:type="dxa"/>
          </w:tblCellMar>
        </w:tblPrEx>
        <w:trPr>
          <w:trHeight w:val="2550" w:hRule="atLeast"/>
        </w:trPr>
        <w:tc>
          <w:tcPr>
            <w:tcW w:w="576" w:type="pct"/>
            <w:tcBorders>
              <w:top w:val="single" w:color="auto" w:sz="4" w:space="0"/>
              <w:left w:val="single" w:color="auto" w:sz="4" w:space="0"/>
              <w:bottom w:val="single" w:color="auto" w:sz="4" w:space="0"/>
              <w:right w:val="single" w:color="auto" w:sz="4" w:space="0"/>
            </w:tcBorders>
            <w:vAlign w:val="center"/>
          </w:tcPr>
          <w:p w14:paraId="7942A6F9">
            <w:pPr>
              <w:widowControl/>
              <w:rPr>
                <w:rFonts w:hint="eastAsia" w:ascii="仿宋_GB2312" w:hAnsi="宋体" w:eastAsia="仿宋_GB2312" w:cs="宋体"/>
                <w:kern w:val="0"/>
                <w:sz w:val="20"/>
                <w:szCs w:val="20"/>
              </w:rPr>
            </w:pPr>
          </w:p>
        </w:tc>
        <w:tc>
          <w:tcPr>
            <w:tcW w:w="819" w:type="pct"/>
            <w:tcBorders>
              <w:top w:val="single" w:color="auto" w:sz="4" w:space="0"/>
              <w:left w:val="nil"/>
              <w:bottom w:val="single" w:color="auto" w:sz="4" w:space="0"/>
              <w:right w:val="single" w:color="auto" w:sz="4" w:space="0"/>
            </w:tcBorders>
            <w:vAlign w:val="center"/>
          </w:tcPr>
          <w:p w14:paraId="0D0C8483">
            <w:pPr>
              <w:widowControl/>
              <w:rPr>
                <w:rFonts w:hint="eastAsia" w:ascii="仿宋_GB2312" w:hAnsi="宋体" w:eastAsia="仿宋_GB2312" w:cs="宋体"/>
                <w:kern w:val="0"/>
                <w:sz w:val="20"/>
                <w:szCs w:val="20"/>
              </w:rPr>
            </w:pPr>
          </w:p>
        </w:tc>
        <w:tc>
          <w:tcPr>
            <w:tcW w:w="596" w:type="pct"/>
            <w:tcBorders>
              <w:top w:val="single" w:color="auto" w:sz="4" w:space="0"/>
              <w:left w:val="nil"/>
              <w:bottom w:val="single" w:color="auto" w:sz="4" w:space="0"/>
              <w:right w:val="single" w:color="auto" w:sz="4" w:space="0"/>
            </w:tcBorders>
            <w:vAlign w:val="center"/>
          </w:tcPr>
          <w:p w14:paraId="3444585A">
            <w:pPr>
              <w:widowControl/>
              <w:jc w:val="left"/>
              <w:rPr>
                <w:rFonts w:hint="eastAsia" w:ascii="仿宋_GB2312" w:hAnsi="宋体" w:eastAsia="仿宋_GB2312" w:cs="宋体"/>
                <w:kern w:val="0"/>
                <w:sz w:val="20"/>
                <w:szCs w:val="20"/>
              </w:rPr>
            </w:pPr>
          </w:p>
        </w:tc>
        <w:tc>
          <w:tcPr>
            <w:tcW w:w="522" w:type="pct"/>
            <w:tcBorders>
              <w:top w:val="single" w:color="auto" w:sz="4" w:space="0"/>
              <w:left w:val="nil"/>
              <w:bottom w:val="single" w:color="auto" w:sz="4" w:space="0"/>
              <w:right w:val="single" w:color="auto" w:sz="4" w:space="0"/>
            </w:tcBorders>
            <w:vAlign w:val="center"/>
          </w:tcPr>
          <w:p w14:paraId="3CFE4877">
            <w:pPr>
              <w:widowControl/>
              <w:rPr>
                <w:rFonts w:hint="eastAsia" w:ascii="仿宋_GB2312" w:hAnsi="宋体" w:eastAsia="仿宋_GB2312" w:cs="宋体"/>
                <w:kern w:val="0"/>
                <w:sz w:val="20"/>
                <w:szCs w:val="20"/>
              </w:rPr>
            </w:pPr>
          </w:p>
        </w:tc>
        <w:tc>
          <w:tcPr>
            <w:tcW w:w="671" w:type="pct"/>
            <w:tcBorders>
              <w:top w:val="single" w:color="auto" w:sz="4" w:space="0"/>
              <w:left w:val="nil"/>
              <w:bottom w:val="single" w:color="auto" w:sz="4" w:space="0"/>
              <w:right w:val="single" w:color="auto" w:sz="4" w:space="0"/>
            </w:tcBorders>
            <w:vAlign w:val="center"/>
          </w:tcPr>
          <w:p w14:paraId="022ED9EC">
            <w:pPr>
              <w:widowControl/>
              <w:rPr>
                <w:rFonts w:hint="eastAsia" w:ascii="仿宋_GB2312" w:hAnsi="宋体" w:eastAsia="仿宋_GB2312" w:cs="宋体"/>
                <w:kern w:val="0"/>
                <w:sz w:val="20"/>
                <w:szCs w:val="20"/>
              </w:rPr>
            </w:pPr>
          </w:p>
        </w:tc>
        <w:tc>
          <w:tcPr>
            <w:tcW w:w="445" w:type="pct"/>
            <w:tcBorders>
              <w:top w:val="single" w:color="auto" w:sz="4" w:space="0"/>
              <w:left w:val="nil"/>
              <w:bottom w:val="single" w:color="auto" w:sz="4" w:space="0"/>
              <w:right w:val="single" w:color="auto" w:sz="4" w:space="0"/>
            </w:tcBorders>
            <w:vAlign w:val="center"/>
          </w:tcPr>
          <w:p w14:paraId="7E5C513D">
            <w:pPr>
              <w:widowControl/>
              <w:rPr>
                <w:rFonts w:hint="eastAsia" w:ascii="仿宋_GB2312" w:hAnsi="宋体" w:eastAsia="仿宋_GB2312" w:cs="宋体"/>
                <w:kern w:val="0"/>
                <w:sz w:val="20"/>
                <w:szCs w:val="20"/>
              </w:rPr>
            </w:pPr>
          </w:p>
        </w:tc>
        <w:tc>
          <w:tcPr>
            <w:tcW w:w="752" w:type="pct"/>
            <w:tcBorders>
              <w:top w:val="single" w:color="auto" w:sz="4" w:space="0"/>
              <w:left w:val="nil"/>
              <w:bottom w:val="single" w:color="auto" w:sz="4" w:space="0"/>
              <w:right w:val="single" w:color="auto" w:sz="4" w:space="0"/>
            </w:tcBorders>
            <w:vAlign w:val="center"/>
          </w:tcPr>
          <w:p w14:paraId="36A58F57">
            <w:pPr>
              <w:widowControl/>
              <w:jc w:val="left"/>
              <w:rPr>
                <w:rFonts w:hint="eastAsia" w:ascii="仿宋_GB2312" w:hAnsi="宋体" w:eastAsia="仿宋_GB2312" w:cs="宋体"/>
                <w:kern w:val="0"/>
                <w:sz w:val="20"/>
                <w:szCs w:val="20"/>
              </w:rPr>
            </w:pPr>
          </w:p>
        </w:tc>
        <w:tc>
          <w:tcPr>
            <w:tcW w:w="619" w:type="pct"/>
            <w:tcBorders>
              <w:top w:val="single" w:color="auto" w:sz="4" w:space="0"/>
              <w:left w:val="nil"/>
              <w:bottom w:val="single" w:color="auto" w:sz="4" w:space="0"/>
              <w:right w:val="single" w:color="auto" w:sz="4" w:space="0"/>
            </w:tcBorders>
            <w:vAlign w:val="center"/>
          </w:tcPr>
          <w:p w14:paraId="0878D1F4">
            <w:pPr>
              <w:widowControl/>
              <w:rPr>
                <w:rFonts w:hint="eastAsia" w:ascii="仿宋_GB2312" w:hAnsi="宋体" w:eastAsia="仿宋_GB2312" w:cs="宋体"/>
                <w:kern w:val="0"/>
                <w:sz w:val="20"/>
                <w:szCs w:val="20"/>
              </w:rPr>
            </w:pPr>
          </w:p>
        </w:tc>
      </w:tr>
      <w:tr w14:paraId="41DEFE89">
        <w:tblPrEx>
          <w:tblCellMar>
            <w:top w:w="0" w:type="dxa"/>
            <w:left w:w="108" w:type="dxa"/>
            <w:bottom w:w="0" w:type="dxa"/>
            <w:right w:w="108" w:type="dxa"/>
          </w:tblCellMar>
        </w:tblPrEx>
        <w:trPr>
          <w:trHeight w:val="450" w:hRule="atLeast"/>
        </w:trPr>
        <w:tc>
          <w:tcPr>
            <w:tcW w:w="576" w:type="pct"/>
            <w:tcBorders>
              <w:top w:val="nil"/>
              <w:left w:val="single" w:color="auto" w:sz="4" w:space="0"/>
              <w:bottom w:val="single" w:color="auto" w:sz="4" w:space="0"/>
              <w:right w:val="single" w:color="auto" w:sz="4" w:space="0"/>
            </w:tcBorders>
            <w:vAlign w:val="center"/>
          </w:tcPr>
          <w:p w14:paraId="52D0C5A1">
            <w:pPr>
              <w:widowControl/>
              <w:rPr>
                <w:rFonts w:hint="eastAsia" w:ascii="仿宋_GB2312" w:hAnsi="宋体" w:eastAsia="仿宋_GB2312" w:cs="宋体"/>
                <w:color w:val="000000"/>
                <w:kern w:val="0"/>
                <w:sz w:val="20"/>
                <w:szCs w:val="20"/>
              </w:rPr>
            </w:pPr>
          </w:p>
        </w:tc>
        <w:tc>
          <w:tcPr>
            <w:tcW w:w="819" w:type="pct"/>
            <w:tcBorders>
              <w:top w:val="nil"/>
              <w:left w:val="nil"/>
              <w:bottom w:val="single" w:color="auto" w:sz="4" w:space="0"/>
              <w:right w:val="single" w:color="auto" w:sz="4" w:space="0"/>
            </w:tcBorders>
            <w:vAlign w:val="center"/>
          </w:tcPr>
          <w:p w14:paraId="2E3A8629">
            <w:pPr>
              <w:widowControl/>
              <w:rPr>
                <w:rFonts w:hint="eastAsia" w:ascii="仿宋_GB2312" w:hAnsi="宋体" w:eastAsia="仿宋_GB2312" w:cs="宋体"/>
                <w:color w:val="000000"/>
                <w:kern w:val="0"/>
                <w:sz w:val="20"/>
                <w:szCs w:val="20"/>
              </w:rPr>
            </w:pPr>
          </w:p>
        </w:tc>
        <w:tc>
          <w:tcPr>
            <w:tcW w:w="596" w:type="pct"/>
            <w:tcBorders>
              <w:top w:val="nil"/>
              <w:left w:val="nil"/>
              <w:bottom w:val="single" w:color="auto" w:sz="4" w:space="0"/>
              <w:right w:val="single" w:color="auto" w:sz="4" w:space="0"/>
            </w:tcBorders>
            <w:vAlign w:val="center"/>
          </w:tcPr>
          <w:p w14:paraId="1639901D">
            <w:pPr>
              <w:widowControl/>
              <w:jc w:val="left"/>
              <w:rPr>
                <w:rFonts w:hint="eastAsia" w:ascii="仿宋_GB2312" w:hAnsi="宋体" w:eastAsia="仿宋_GB2312" w:cs="宋体"/>
                <w:color w:val="000000"/>
                <w:kern w:val="0"/>
                <w:sz w:val="20"/>
                <w:szCs w:val="20"/>
              </w:rPr>
            </w:pPr>
          </w:p>
        </w:tc>
        <w:tc>
          <w:tcPr>
            <w:tcW w:w="522" w:type="pct"/>
            <w:tcBorders>
              <w:top w:val="nil"/>
              <w:left w:val="nil"/>
              <w:bottom w:val="single" w:color="auto" w:sz="4" w:space="0"/>
              <w:right w:val="single" w:color="auto" w:sz="4" w:space="0"/>
            </w:tcBorders>
            <w:vAlign w:val="center"/>
          </w:tcPr>
          <w:p w14:paraId="395A6B5F">
            <w:pPr>
              <w:widowControl/>
              <w:rPr>
                <w:rFonts w:hint="eastAsia" w:ascii="仿宋_GB2312" w:hAnsi="宋体" w:eastAsia="仿宋_GB2312" w:cs="宋体"/>
                <w:color w:val="000000"/>
                <w:kern w:val="0"/>
                <w:sz w:val="20"/>
                <w:szCs w:val="20"/>
              </w:rPr>
            </w:pPr>
          </w:p>
        </w:tc>
        <w:tc>
          <w:tcPr>
            <w:tcW w:w="671" w:type="pct"/>
            <w:tcBorders>
              <w:top w:val="nil"/>
              <w:left w:val="nil"/>
              <w:bottom w:val="single" w:color="auto" w:sz="4" w:space="0"/>
              <w:right w:val="single" w:color="auto" w:sz="4" w:space="0"/>
            </w:tcBorders>
            <w:vAlign w:val="center"/>
          </w:tcPr>
          <w:p w14:paraId="5CD5F640">
            <w:pPr>
              <w:widowControl/>
              <w:rPr>
                <w:rFonts w:hint="eastAsia" w:ascii="仿宋_GB2312" w:hAnsi="宋体" w:eastAsia="仿宋_GB2312" w:cs="宋体"/>
                <w:color w:val="000000"/>
                <w:kern w:val="0"/>
                <w:sz w:val="20"/>
                <w:szCs w:val="20"/>
              </w:rPr>
            </w:pPr>
          </w:p>
        </w:tc>
        <w:tc>
          <w:tcPr>
            <w:tcW w:w="445" w:type="pct"/>
            <w:tcBorders>
              <w:top w:val="nil"/>
              <w:left w:val="nil"/>
              <w:bottom w:val="single" w:color="auto" w:sz="4" w:space="0"/>
              <w:right w:val="single" w:color="auto" w:sz="4" w:space="0"/>
            </w:tcBorders>
            <w:vAlign w:val="center"/>
          </w:tcPr>
          <w:p w14:paraId="19F02EF2">
            <w:pPr>
              <w:widowControl/>
              <w:rPr>
                <w:rFonts w:hint="eastAsia" w:ascii="仿宋_GB2312" w:hAnsi="宋体" w:eastAsia="仿宋_GB2312" w:cs="宋体"/>
                <w:color w:val="000000"/>
                <w:kern w:val="0"/>
                <w:sz w:val="20"/>
                <w:szCs w:val="20"/>
              </w:rPr>
            </w:pPr>
          </w:p>
        </w:tc>
        <w:tc>
          <w:tcPr>
            <w:tcW w:w="752" w:type="pct"/>
            <w:tcBorders>
              <w:top w:val="nil"/>
              <w:left w:val="nil"/>
              <w:bottom w:val="single" w:color="auto" w:sz="4" w:space="0"/>
              <w:right w:val="single" w:color="auto" w:sz="4" w:space="0"/>
            </w:tcBorders>
            <w:vAlign w:val="center"/>
          </w:tcPr>
          <w:p w14:paraId="2E45A779">
            <w:pPr>
              <w:widowControl/>
              <w:jc w:val="left"/>
              <w:rPr>
                <w:rFonts w:hint="eastAsia" w:ascii="仿宋_GB2312" w:hAnsi="宋体" w:eastAsia="仿宋_GB2312" w:cs="宋体"/>
                <w:color w:val="000000"/>
                <w:kern w:val="0"/>
                <w:sz w:val="20"/>
                <w:szCs w:val="20"/>
              </w:rPr>
            </w:pPr>
          </w:p>
        </w:tc>
        <w:tc>
          <w:tcPr>
            <w:tcW w:w="619" w:type="pct"/>
            <w:tcBorders>
              <w:top w:val="nil"/>
              <w:left w:val="nil"/>
              <w:bottom w:val="single" w:color="auto" w:sz="4" w:space="0"/>
              <w:right w:val="single" w:color="auto" w:sz="4" w:space="0"/>
            </w:tcBorders>
            <w:vAlign w:val="center"/>
          </w:tcPr>
          <w:p w14:paraId="41369138">
            <w:pPr>
              <w:widowControl/>
              <w:rPr>
                <w:rFonts w:hint="eastAsia" w:ascii="仿宋_GB2312" w:hAnsi="宋体" w:eastAsia="仿宋_GB2312" w:cs="宋体"/>
                <w:color w:val="000000"/>
                <w:kern w:val="0"/>
                <w:sz w:val="20"/>
                <w:szCs w:val="20"/>
              </w:rPr>
            </w:pPr>
          </w:p>
        </w:tc>
      </w:tr>
    </w:tbl>
    <w:p w14:paraId="170EEAD0">
      <w:pPr>
        <w:spacing w:before="156" w:beforeLines="50" w:line="300" w:lineRule="auto"/>
        <w:ind w:firstLine="480" w:firstLineChars="200"/>
        <w:rPr>
          <w:rFonts w:hint="eastAsia" w:ascii="仿宋_GB2312" w:hAnsi="宋体" w:eastAsia="仿宋_GB2312"/>
          <w:bCs/>
          <w:sz w:val="24"/>
        </w:rPr>
      </w:pPr>
      <w:r>
        <w:rPr>
          <w:rFonts w:hint="eastAsia" w:ascii="仿宋_GB2312" w:hAnsi="宋体" w:eastAsia="仿宋_GB2312"/>
          <w:bCs/>
          <w:sz w:val="24"/>
        </w:rPr>
        <w:t>（2）非财务报告内部控制重大缺陷</w:t>
      </w:r>
    </w:p>
    <w:tbl>
      <w:tblPr>
        <w:tblStyle w:val="12"/>
        <w:tblW w:w="4964" w:type="pct"/>
        <w:tblInd w:w="0" w:type="dxa"/>
        <w:tblLayout w:type="autofit"/>
        <w:tblCellMar>
          <w:top w:w="0" w:type="dxa"/>
          <w:left w:w="108" w:type="dxa"/>
          <w:bottom w:w="0" w:type="dxa"/>
          <w:right w:w="108" w:type="dxa"/>
        </w:tblCellMar>
      </w:tblPr>
      <w:tblGrid>
        <w:gridCol w:w="1081"/>
        <w:gridCol w:w="1540"/>
        <w:gridCol w:w="2165"/>
        <w:gridCol w:w="1558"/>
        <w:gridCol w:w="840"/>
        <w:gridCol w:w="2148"/>
      </w:tblGrid>
      <w:tr w14:paraId="621C2AFE">
        <w:tblPrEx>
          <w:tblCellMar>
            <w:top w:w="0" w:type="dxa"/>
            <w:left w:w="108" w:type="dxa"/>
            <w:bottom w:w="0" w:type="dxa"/>
            <w:right w:w="108" w:type="dxa"/>
          </w:tblCellMar>
        </w:tblPrEx>
        <w:trPr>
          <w:trHeight w:val="312" w:hRule="atLeast"/>
          <w:tblHeader/>
        </w:trPr>
        <w:tc>
          <w:tcPr>
            <w:tcW w:w="579" w:type="pct"/>
            <w:vMerge w:val="restart"/>
            <w:tcBorders>
              <w:top w:val="single" w:color="auto" w:sz="4" w:space="0"/>
              <w:left w:val="single" w:color="auto" w:sz="4" w:space="0"/>
              <w:bottom w:val="single" w:color="auto" w:sz="4" w:space="0"/>
              <w:right w:val="single" w:color="auto" w:sz="4" w:space="0"/>
            </w:tcBorders>
            <w:vAlign w:val="center"/>
          </w:tcPr>
          <w:p w14:paraId="65850E57">
            <w:pPr>
              <w:widowControl/>
              <w:jc w:val="center"/>
              <w:rPr>
                <w:rFonts w:ascii="Arial" w:hAnsi="Arial" w:cs="Arial"/>
                <w:b/>
                <w:bCs/>
                <w:color w:val="000000"/>
                <w:kern w:val="0"/>
                <w:sz w:val="20"/>
                <w:szCs w:val="20"/>
              </w:rPr>
            </w:pPr>
            <w:r>
              <w:rPr>
                <w:rFonts w:hint="eastAsia" w:ascii="Arial" w:hAnsi="Arial" w:cs="Arial"/>
                <w:b/>
                <w:bCs/>
                <w:color w:val="000000"/>
                <w:kern w:val="0"/>
                <w:sz w:val="20"/>
                <w:szCs w:val="20"/>
              </w:rPr>
              <w:t>组成部分</w:t>
            </w:r>
          </w:p>
        </w:tc>
        <w:tc>
          <w:tcPr>
            <w:tcW w:w="825" w:type="pct"/>
            <w:vMerge w:val="restart"/>
            <w:tcBorders>
              <w:top w:val="single" w:color="auto" w:sz="4" w:space="0"/>
              <w:left w:val="single" w:color="auto" w:sz="4" w:space="0"/>
              <w:bottom w:val="single" w:color="auto" w:sz="4" w:space="0"/>
              <w:right w:val="single" w:color="auto" w:sz="4" w:space="0"/>
            </w:tcBorders>
            <w:vAlign w:val="center"/>
          </w:tcPr>
          <w:p w14:paraId="3C8404E9">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相关业务流程、应用系统</w:t>
            </w:r>
          </w:p>
        </w:tc>
        <w:tc>
          <w:tcPr>
            <w:tcW w:w="1160" w:type="pct"/>
            <w:vMerge w:val="restart"/>
            <w:tcBorders>
              <w:top w:val="single" w:color="auto" w:sz="4" w:space="0"/>
              <w:left w:val="single" w:color="auto" w:sz="4" w:space="0"/>
              <w:bottom w:val="single" w:color="auto" w:sz="4" w:space="0"/>
              <w:right w:val="single" w:color="auto" w:sz="4" w:space="0"/>
            </w:tcBorders>
            <w:vAlign w:val="center"/>
          </w:tcPr>
          <w:p w14:paraId="2FBD284D">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内部控制缺陷描述及影响（说明影响的方面，例如经营效率或合规性等）</w:t>
            </w:r>
          </w:p>
        </w:tc>
        <w:tc>
          <w:tcPr>
            <w:tcW w:w="835" w:type="pct"/>
            <w:vMerge w:val="restart"/>
            <w:tcBorders>
              <w:top w:val="single" w:color="auto" w:sz="4" w:space="0"/>
              <w:left w:val="single" w:color="auto" w:sz="4" w:space="0"/>
              <w:bottom w:val="single" w:color="auto" w:sz="4" w:space="0"/>
              <w:right w:val="single" w:color="auto" w:sz="4" w:space="0"/>
            </w:tcBorders>
            <w:vAlign w:val="center"/>
          </w:tcPr>
          <w:p w14:paraId="06BFDAA8">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缺陷类型（设计/运行）</w:t>
            </w:r>
          </w:p>
        </w:tc>
        <w:tc>
          <w:tcPr>
            <w:tcW w:w="450" w:type="pct"/>
            <w:vMerge w:val="restart"/>
            <w:tcBorders>
              <w:top w:val="single" w:color="auto" w:sz="4" w:space="0"/>
              <w:left w:val="single" w:color="auto" w:sz="4" w:space="0"/>
              <w:bottom w:val="single" w:color="auto" w:sz="4" w:space="0"/>
              <w:right w:val="single" w:color="auto" w:sz="4" w:space="0"/>
            </w:tcBorders>
            <w:vAlign w:val="center"/>
          </w:tcPr>
          <w:p w14:paraId="2ED08A3A">
            <w:pPr>
              <w:widowControl/>
              <w:jc w:val="center"/>
              <w:rPr>
                <w:rFonts w:ascii="Arial" w:hAnsi="Arial" w:cs="Arial"/>
                <w:b/>
                <w:bCs/>
                <w:color w:val="000000"/>
                <w:kern w:val="0"/>
                <w:sz w:val="20"/>
                <w:szCs w:val="20"/>
              </w:rPr>
            </w:pPr>
            <w:r>
              <w:rPr>
                <w:rFonts w:hint="eastAsia" w:ascii="宋体" w:hAnsi="宋体" w:cs="Arial"/>
                <w:b/>
                <w:bCs/>
                <w:color w:val="000000"/>
                <w:kern w:val="0"/>
                <w:sz w:val="20"/>
                <w:szCs w:val="20"/>
              </w:rPr>
              <w:t>补偿性控制</w:t>
            </w:r>
          </w:p>
        </w:tc>
        <w:tc>
          <w:tcPr>
            <w:tcW w:w="1151" w:type="pct"/>
            <w:vMerge w:val="restart"/>
            <w:tcBorders>
              <w:top w:val="single" w:color="auto" w:sz="4" w:space="0"/>
              <w:left w:val="single" w:color="auto" w:sz="4" w:space="0"/>
              <w:bottom w:val="single" w:color="auto" w:sz="4" w:space="0"/>
              <w:right w:val="single" w:color="auto" w:sz="4" w:space="0"/>
            </w:tcBorders>
            <w:vAlign w:val="center"/>
          </w:tcPr>
          <w:p w14:paraId="1A68FB75">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缺陷认定结论</w:t>
            </w:r>
          </w:p>
          <w:p w14:paraId="4F03DC02">
            <w:pPr>
              <w:widowControl/>
              <w:jc w:val="center"/>
              <w:rPr>
                <w:rFonts w:hint="eastAsia" w:ascii="宋体" w:hAnsi="宋体" w:cs="宋体"/>
                <w:b/>
                <w:bCs/>
                <w:color w:val="000000"/>
                <w:kern w:val="0"/>
                <w:sz w:val="20"/>
                <w:szCs w:val="20"/>
              </w:rPr>
            </w:pPr>
            <w:r>
              <w:rPr>
                <w:rFonts w:hint="eastAsia" w:ascii="宋体" w:hAnsi="宋体" w:cs="宋体"/>
                <w:b/>
                <w:bCs/>
                <w:color w:val="000000"/>
                <w:kern w:val="0"/>
                <w:sz w:val="20"/>
                <w:szCs w:val="20"/>
              </w:rPr>
              <w:t>（说明判断为重大缺陷的理由）</w:t>
            </w:r>
          </w:p>
        </w:tc>
      </w:tr>
      <w:tr w14:paraId="75115ADA">
        <w:tblPrEx>
          <w:tblCellMar>
            <w:top w:w="0" w:type="dxa"/>
            <w:left w:w="108" w:type="dxa"/>
            <w:bottom w:w="0" w:type="dxa"/>
            <w:right w:w="108" w:type="dxa"/>
          </w:tblCellMar>
        </w:tblPrEx>
        <w:trPr>
          <w:trHeight w:val="750" w:hRule="atLeast"/>
          <w:tblHeader/>
        </w:trPr>
        <w:tc>
          <w:tcPr>
            <w:tcW w:w="579" w:type="pct"/>
            <w:vMerge w:val="continue"/>
            <w:tcBorders>
              <w:top w:val="single" w:color="auto" w:sz="4" w:space="0"/>
              <w:left w:val="single" w:color="auto" w:sz="4" w:space="0"/>
              <w:bottom w:val="single" w:color="auto" w:sz="4" w:space="0"/>
              <w:right w:val="single" w:color="auto" w:sz="4" w:space="0"/>
            </w:tcBorders>
            <w:vAlign w:val="center"/>
          </w:tcPr>
          <w:p w14:paraId="6DAA2C2F">
            <w:pPr>
              <w:widowControl/>
              <w:jc w:val="left"/>
              <w:rPr>
                <w:rFonts w:ascii="Arial" w:hAnsi="Arial" w:cs="Arial"/>
                <w:b/>
                <w:bCs/>
                <w:color w:val="000000"/>
                <w:kern w:val="0"/>
                <w:sz w:val="20"/>
                <w:szCs w:val="20"/>
              </w:rPr>
            </w:pPr>
          </w:p>
        </w:tc>
        <w:tc>
          <w:tcPr>
            <w:tcW w:w="825" w:type="pct"/>
            <w:vMerge w:val="continue"/>
            <w:tcBorders>
              <w:top w:val="single" w:color="auto" w:sz="4" w:space="0"/>
              <w:left w:val="single" w:color="auto" w:sz="4" w:space="0"/>
              <w:bottom w:val="single" w:color="auto" w:sz="4" w:space="0"/>
              <w:right w:val="single" w:color="auto" w:sz="4" w:space="0"/>
            </w:tcBorders>
            <w:vAlign w:val="center"/>
          </w:tcPr>
          <w:p w14:paraId="346E0614">
            <w:pPr>
              <w:widowControl/>
              <w:jc w:val="left"/>
              <w:rPr>
                <w:rFonts w:ascii="Arial" w:hAnsi="Arial" w:cs="Arial"/>
                <w:b/>
                <w:bCs/>
                <w:color w:val="000000"/>
                <w:kern w:val="0"/>
                <w:sz w:val="20"/>
                <w:szCs w:val="20"/>
              </w:rPr>
            </w:pPr>
          </w:p>
        </w:tc>
        <w:tc>
          <w:tcPr>
            <w:tcW w:w="1160" w:type="pct"/>
            <w:vMerge w:val="continue"/>
            <w:tcBorders>
              <w:top w:val="single" w:color="auto" w:sz="4" w:space="0"/>
              <w:left w:val="single" w:color="auto" w:sz="4" w:space="0"/>
              <w:bottom w:val="single" w:color="auto" w:sz="4" w:space="0"/>
              <w:right w:val="single" w:color="auto" w:sz="4" w:space="0"/>
            </w:tcBorders>
            <w:vAlign w:val="center"/>
          </w:tcPr>
          <w:p w14:paraId="7BEC029B">
            <w:pPr>
              <w:widowControl/>
              <w:jc w:val="left"/>
              <w:rPr>
                <w:rFonts w:hint="eastAsia" w:ascii="宋体" w:hAnsi="宋体" w:cs="宋体"/>
                <w:b/>
                <w:bCs/>
                <w:color w:val="000000"/>
                <w:kern w:val="0"/>
                <w:sz w:val="20"/>
                <w:szCs w:val="20"/>
              </w:rPr>
            </w:pPr>
          </w:p>
        </w:tc>
        <w:tc>
          <w:tcPr>
            <w:tcW w:w="835" w:type="pct"/>
            <w:vMerge w:val="continue"/>
            <w:tcBorders>
              <w:top w:val="single" w:color="auto" w:sz="4" w:space="0"/>
              <w:left w:val="single" w:color="auto" w:sz="4" w:space="0"/>
              <w:bottom w:val="single" w:color="auto" w:sz="4" w:space="0"/>
              <w:right w:val="single" w:color="auto" w:sz="4" w:space="0"/>
            </w:tcBorders>
            <w:vAlign w:val="center"/>
          </w:tcPr>
          <w:p w14:paraId="282CF03E">
            <w:pPr>
              <w:widowControl/>
              <w:jc w:val="left"/>
              <w:rPr>
                <w:rFonts w:hint="eastAsia" w:ascii="宋体" w:hAnsi="宋体" w:cs="宋体"/>
                <w:b/>
                <w:bCs/>
                <w:color w:val="000000"/>
                <w:kern w:val="0"/>
                <w:sz w:val="20"/>
                <w:szCs w:val="20"/>
              </w:rPr>
            </w:pPr>
          </w:p>
        </w:tc>
        <w:tc>
          <w:tcPr>
            <w:tcW w:w="450" w:type="pct"/>
            <w:vMerge w:val="continue"/>
            <w:tcBorders>
              <w:top w:val="single" w:color="auto" w:sz="4" w:space="0"/>
              <w:left w:val="single" w:color="auto" w:sz="4" w:space="0"/>
              <w:bottom w:val="single" w:color="auto" w:sz="4" w:space="0"/>
              <w:right w:val="single" w:color="auto" w:sz="4" w:space="0"/>
            </w:tcBorders>
            <w:vAlign w:val="center"/>
          </w:tcPr>
          <w:p w14:paraId="00BA6AB5">
            <w:pPr>
              <w:widowControl/>
              <w:jc w:val="left"/>
              <w:rPr>
                <w:rFonts w:ascii="Arial" w:hAnsi="Arial" w:cs="Arial"/>
                <w:b/>
                <w:bCs/>
                <w:color w:val="000000"/>
                <w:kern w:val="0"/>
                <w:sz w:val="20"/>
                <w:szCs w:val="20"/>
              </w:rPr>
            </w:pPr>
          </w:p>
        </w:tc>
        <w:tc>
          <w:tcPr>
            <w:tcW w:w="1151" w:type="pct"/>
            <w:vMerge w:val="continue"/>
            <w:tcBorders>
              <w:top w:val="single" w:color="auto" w:sz="4" w:space="0"/>
              <w:left w:val="single" w:color="auto" w:sz="4" w:space="0"/>
              <w:bottom w:val="single" w:color="auto" w:sz="4" w:space="0"/>
              <w:right w:val="single" w:color="auto" w:sz="4" w:space="0"/>
            </w:tcBorders>
            <w:vAlign w:val="center"/>
          </w:tcPr>
          <w:p w14:paraId="2A114F06">
            <w:pPr>
              <w:widowControl/>
              <w:jc w:val="left"/>
              <w:rPr>
                <w:rFonts w:hint="eastAsia" w:ascii="宋体" w:hAnsi="宋体" w:cs="宋体"/>
                <w:b/>
                <w:bCs/>
                <w:color w:val="000000"/>
                <w:kern w:val="0"/>
                <w:sz w:val="20"/>
                <w:szCs w:val="20"/>
              </w:rPr>
            </w:pPr>
          </w:p>
        </w:tc>
      </w:tr>
      <w:tr w14:paraId="7F0DF512">
        <w:tblPrEx>
          <w:tblCellMar>
            <w:top w:w="0" w:type="dxa"/>
            <w:left w:w="108" w:type="dxa"/>
            <w:bottom w:w="0" w:type="dxa"/>
            <w:right w:w="108" w:type="dxa"/>
          </w:tblCellMar>
        </w:tblPrEx>
        <w:trPr>
          <w:trHeight w:val="2550" w:hRule="atLeast"/>
        </w:trPr>
        <w:tc>
          <w:tcPr>
            <w:tcW w:w="579" w:type="pct"/>
            <w:tcBorders>
              <w:top w:val="single" w:color="auto" w:sz="4" w:space="0"/>
              <w:left w:val="single" w:color="auto" w:sz="4" w:space="0"/>
              <w:bottom w:val="single" w:color="auto" w:sz="4" w:space="0"/>
              <w:right w:val="single" w:color="auto" w:sz="4" w:space="0"/>
            </w:tcBorders>
            <w:vAlign w:val="center"/>
          </w:tcPr>
          <w:p w14:paraId="35D75232">
            <w:pPr>
              <w:widowControl/>
              <w:rPr>
                <w:rFonts w:hint="eastAsia" w:ascii="仿宋_GB2312" w:hAnsi="宋体" w:eastAsia="仿宋_GB2312" w:cs="宋体"/>
                <w:kern w:val="0"/>
                <w:sz w:val="20"/>
                <w:szCs w:val="20"/>
              </w:rPr>
            </w:pPr>
          </w:p>
        </w:tc>
        <w:tc>
          <w:tcPr>
            <w:tcW w:w="825" w:type="pct"/>
            <w:tcBorders>
              <w:top w:val="single" w:color="auto" w:sz="4" w:space="0"/>
              <w:left w:val="nil"/>
              <w:bottom w:val="single" w:color="auto" w:sz="4" w:space="0"/>
              <w:right w:val="single" w:color="auto" w:sz="4" w:space="0"/>
            </w:tcBorders>
            <w:vAlign w:val="center"/>
          </w:tcPr>
          <w:p w14:paraId="2079271A">
            <w:pPr>
              <w:widowControl/>
              <w:rPr>
                <w:rFonts w:hint="eastAsia" w:ascii="仿宋_GB2312" w:hAnsi="宋体" w:eastAsia="仿宋_GB2312" w:cs="宋体"/>
                <w:kern w:val="0"/>
                <w:sz w:val="20"/>
                <w:szCs w:val="20"/>
              </w:rPr>
            </w:pPr>
          </w:p>
        </w:tc>
        <w:tc>
          <w:tcPr>
            <w:tcW w:w="1160" w:type="pct"/>
            <w:tcBorders>
              <w:top w:val="single" w:color="auto" w:sz="4" w:space="0"/>
              <w:left w:val="nil"/>
              <w:bottom w:val="single" w:color="auto" w:sz="4" w:space="0"/>
              <w:right w:val="single" w:color="auto" w:sz="4" w:space="0"/>
            </w:tcBorders>
            <w:vAlign w:val="center"/>
          </w:tcPr>
          <w:p w14:paraId="62DDC93D">
            <w:pPr>
              <w:widowControl/>
              <w:jc w:val="left"/>
              <w:rPr>
                <w:rFonts w:hint="eastAsia" w:ascii="仿宋_GB2312" w:hAnsi="宋体" w:eastAsia="仿宋_GB2312" w:cs="宋体"/>
                <w:kern w:val="0"/>
                <w:sz w:val="20"/>
                <w:szCs w:val="20"/>
              </w:rPr>
            </w:pPr>
          </w:p>
        </w:tc>
        <w:tc>
          <w:tcPr>
            <w:tcW w:w="835" w:type="pct"/>
            <w:tcBorders>
              <w:top w:val="single" w:color="auto" w:sz="4" w:space="0"/>
              <w:left w:val="nil"/>
              <w:bottom w:val="single" w:color="auto" w:sz="4" w:space="0"/>
              <w:right w:val="single" w:color="auto" w:sz="4" w:space="0"/>
            </w:tcBorders>
            <w:vAlign w:val="center"/>
          </w:tcPr>
          <w:p w14:paraId="717E1D39">
            <w:pPr>
              <w:widowControl/>
              <w:rPr>
                <w:rFonts w:hint="eastAsia" w:ascii="仿宋_GB2312" w:hAnsi="宋体" w:eastAsia="仿宋_GB2312" w:cs="宋体"/>
                <w:kern w:val="0"/>
                <w:sz w:val="20"/>
                <w:szCs w:val="20"/>
              </w:rPr>
            </w:pPr>
          </w:p>
        </w:tc>
        <w:tc>
          <w:tcPr>
            <w:tcW w:w="450" w:type="pct"/>
            <w:tcBorders>
              <w:top w:val="single" w:color="auto" w:sz="4" w:space="0"/>
              <w:left w:val="nil"/>
              <w:bottom w:val="single" w:color="auto" w:sz="4" w:space="0"/>
              <w:right w:val="single" w:color="auto" w:sz="4" w:space="0"/>
            </w:tcBorders>
            <w:vAlign w:val="center"/>
          </w:tcPr>
          <w:p w14:paraId="7B40AD9A">
            <w:pPr>
              <w:widowControl/>
              <w:rPr>
                <w:rFonts w:hint="eastAsia" w:ascii="仿宋_GB2312" w:hAnsi="宋体" w:eastAsia="仿宋_GB2312" w:cs="宋体"/>
                <w:kern w:val="0"/>
                <w:sz w:val="20"/>
                <w:szCs w:val="20"/>
              </w:rPr>
            </w:pPr>
          </w:p>
        </w:tc>
        <w:tc>
          <w:tcPr>
            <w:tcW w:w="1151" w:type="pct"/>
            <w:tcBorders>
              <w:top w:val="single" w:color="auto" w:sz="4" w:space="0"/>
              <w:left w:val="nil"/>
              <w:bottom w:val="single" w:color="auto" w:sz="4" w:space="0"/>
              <w:right w:val="single" w:color="auto" w:sz="4" w:space="0"/>
            </w:tcBorders>
            <w:vAlign w:val="center"/>
          </w:tcPr>
          <w:p w14:paraId="6B5034FE">
            <w:pPr>
              <w:widowControl/>
              <w:rPr>
                <w:rFonts w:hint="eastAsia" w:ascii="仿宋_GB2312" w:hAnsi="宋体" w:eastAsia="仿宋_GB2312" w:cs="宋体"/>
                <w:kern w:val="0"/>
                <w:sz w:val="20"/>
                <w:szCs w:val="20"/>
              </w:rPr>
            </w:pPr>
          </w:p>
        </w:tc>
      </w:tr>
      <w:tr w14:paraId="10C0F224">
        <w:tblPrEx>
          <w:tblCellMar>
            <w:top w:w="0" w:type="dxa"/>
            <w:left w:w="108" w:type="dxa"/>
            <w:bottom w:w="0" w:type="dxa"/>
            <w:right w:w="108" w:type="dxa"/>
          </w:tblCellMar>
        </w:tblPrEx>
        <w:trPr>
          <w:trHeight w:val="450" w:hRule="atLeast"/>
        </w:trPr>
        <w:tc>
          <w:tcPr>
            <w:tcW w:w="579" w:type="pct"/>
            <w:tcBorders>
              <w:top w:val="nil"/>
              <w:left w:val="single" w:color="auto" w:sz="4" w:space="0"/>
              <w:bottom w:val="single" w:color="auto" w:sz="4" w:space="0"/>
              <w:right w:val="single" w:color="auto" w:sz="4" w:space="0"/>
            </w:tcBorders>
            <w:vAlign w:val="center"/>
          </w:tcPr>
          <w:p w14:paraId="557FBD08">
            <w:pPr>
              <w:widowControl/>
              <w:rPr>
                <w:rFonts w:hint="eastAsia" w:ascii="仿宋_GB2312" w:hAnsi="宋体" w:eastAsia="仿宋_GB2312" w:cs="宋体"/>
                <w:color w:val="000000"/>
                <w:kern w:val="0"/>
                <w:sz w:val="20"/>
                <w:szCs w:val="20"/>
              </w:rPr>
            </w:pPr>
          </w:p>
        </w:tc>
        <w:tc>
          <w:tcPr>
            <w:tcW w:w="825" w:type="pct"/>
            <w:tcBorders>
              <w:top w:val="nil"/>
              <w:left w:val="nil"/>
              <w:bottom w:val="single" w:color="auto" w:sz="4" w:space="0"/>
              <w:right w:val="single" w:color="auto" w:sz="4" w:space="0"/>
            </w:tcBorders>
            <w:vAlign w:val="center"/>
          </w:tcPr>
          <w:p w14:paraId="2083C1BC">
            <w:pPr>
              <w:widowControl/>
              <w:rPr>
                <w:rFonts w:hint="eastAsia" w:ascii="仿宋_GB2312" w:hAnsi="宋体" w:eastAsia="仿宋_GB2312" w:cs="宋体"/>
                <w:color w:val="000000"/>
                <w:kern w:val="0"/>
                <w:sz w:val="20"/>
                <w:szCs w:val="20"/>
              </w:rPr>
            </w:pPr>
          </w:p>
        </w:tc>
        <w:tc>
          <w:tcPr>
            <w:tcW w:w="1160" w:type="pct"/>
            <w:tcBorders>
              <w:top w:val="nil"/>
              <w:left w:val="nil"/>
              <w:bottom w:val="single" w:color="auto" w:sz="4" w:space="0"/>
              <w:right w:val="single" w:color="auto" w:sz="4" w:space="0"/>
            </w:tcBorders>
            <w:vAlign w:val="center"/>
          </w:tcPr>
          <w:p w14:paraId="79AC1D5D">
            <w:pPr>
              <w:widowControl/>
              <w:jc w:val="left"/>
              <w:rPr>
                <w:rFonts w:hint="eastAsia" w:ascii="仿宋_GB2312" w:hAnsi="宋体" w:eastAsia="仿宋_GB2312" w:cs="宋体"/>
                <w:color w:val="000000"/>
                <w:kern w:val="0"/>
                <w:sz w:val="20"/>
                <w:szCs w:val="20"/>
              </w:rPr>
            </w:pPr>
          </w:p>
        </w:tc>
        <w:tc>
          <w:tcPr>
            <w:tcW w:w="835" w:type="pct"/>
            <w:tcBorders>
              <w:top w:val="nil"/>
              <w:left w:val="nil"/>
              <w:bottom w:val="single" w:color="auto" w:sz="4" w:space="0"/>
              <w:right w:val="single" w:color="auto" w:sz="4" w:space="0"/>
            </w:tcBorders>
            <w:vAlign w:val="center"/>
          </w:tcPr>
          <w:p w14:paraId="5AEF7158">
            <w:pPr>
              <w:widowControl/>
              <w:rPr>
                <w:rFonts w:hint="eastAsia" w:ascii="仿宋_GB2312" w:hAnsi="宋体" w:eastAsia="仿宋_GB2312" w:cs="宋体"/>
                <w:color w:val="000000"/>
                <w:kern w:val="0"/>
                <w:sz w:val="20"/>
                <w:szCs w:val="20"/>
              </w:rPr>
            </w:pPr>
          </w:p>
        </w:tc>
        <w:tc>
          <w:tcPr>
            <w:tcW w:w="450" w:type="pct"/>
            <w:tcBorders>
              <w:top w:val="nil"/>
              <w:left w:val="nil"/>
              <w:bottom w:val="single" w:color="auto" w:sz="4" w:space="0"/>
              <w:right w:val="single" w:color="auto" w:sz="4" w:space="0"/>
            </w:tcBorders>
            <w:vAlign w:val="center"/>
          </w:tcPr>
          <w:p w14:paraId="4DE5038A">
            <w:pPr>
              <w:widowControl/>
              <w:rPr>
                <w:rFonts w:hint="eastAsia" w:ascii="仿宋_GB2312" w:hAnsi="宋体" w:eastAsia="仿宋_GB2312" w:cs="宋体"/>
                <w:color w:val="000000"/>
                <w:kern w:val="0"/>
                <w:sz w:val="20"/>
                <w:szCs w:val="20"/>
              </w:rPr>
            </w:pPr>
          </w:p>
        </w:tc>
        <w:tc>
          <w:tcPr>
            <w:tcW w:w="1151" w:type="pct"/>
            <w:tcBorders>
              <w:top w:val="nil"/>
              <w:left w:val="nil"/>
              <w:bottom w:val="single" w:color="auto" w:sz="4" w:space="0"/>
              <w:right w:val="single" w:color="auto" w:sz="4" w:space="0"/>
            </w:tcBorders>
            <w:vAlign w:val="center"/>
          </w:tcPr>
          <w:p w14:paraId="6CDA60D0">
            <w:pPr>
              <w:widowControl/>
              <w:rPr>
                <w:rFonts w:hint="eastAsia" w:ascii="仿宋_GB2312" w:hAnsi="宋体" w:eastAsia="仿宋_GB2312" w:cs="宋体"/>
                <w:color w:val="000000"/>
                <w:kern w:val="0"/>
                <w:sz w:val="20"/>
                <w:szCs w:val="20"/>
              </w:rPr>
            </w:pPr>
          </w:p>
        </w:tc>
      </w:tr>
    </w:tbl>
    <w:p w14:paraId="6BC77F83">
      <w:pPr>
        <w:spacing w:before="156" w:after="156" w:afterLines="50"/>
        <w:ind w:firstLine="480" w:firstLineChars="200"/>
        <w:rPr>
          <w:rFonts w:hint="eastAsia" w:ascii="仿宋_GB2312" w:hAnsi="宋体" w:eastAsia="仿宋_GB2312"/>
          <w:bCs/>
          <w:sz w:val="24"/>
        </w:rPr>
      </w:pPr>
      <w:r>
        <w:rPr>
          <w:rFonts w:hint="eastAsia" w:ascii="仿宋_GB2312" w:hAnsi="宋体" w:eastAsia="仿宋_GB2312"/>
          <w:bCs/>
          <w:sz w:val="24"/>
        </w:rPr>
        <w:t>（</w:t>
      </w:r>
      <w:r>
        <w:rPr>
          <w:rFonts w:ascii="仿宋_GB2312" w:hAnsi="宋体" w:eastAsia="仿宋_GB2312"/>
          <w:bCs/>
          <w:sz w:val="24"/>
        </w:rPr>
        <w:t>3</w:t>
      </w:r>
      <w:r>
        <w:rPr>
          <w:rFonts w:hint="eastAsia" w:ascii="仿宋_GB2312" w:hAnsi="宋体" w:eastAsia="仿宋_GB2312"/>
          <w:bCs/>
          <w:sz w:val="24"/>
        </w:rPr>
        <w:t>）内部控制缺陷在期后的整改情况</w:t>
      </w:r>
    </w:p>
    <w:p w14:paraId="43F48728">
      <w:pPr>
        <w:spacing w:before="156" w:after="156" w:afterLines="50"/>
        <w:ind w:firstLine="480" w:firstLineChars="200"/>
        <w:rPr>
          <w:rFonts w:ascii="Arial Narrow" w:hAnsi="Arial Narrow" w:eastAsia="仿宋_GB2312"/>
          <w:b/>
          <w:color w:val="FF0000"/>
          <w:kern w:val="0"/>
          <w:sz w:val="24"/>
        </w:rPr>
      </w:pPr>
      <w:r>
        <w:rPr>
          <w:rFonts w:hint="eastAsia" w:ascii="仿宋_GB2312" w:hAnsi="宋体" w:eastAsia="仿宋_GB2312"/>
          <w:bCs/>
          <w:color w:val="FF0000"/>
          <w:sz w:val="24"/>
        </w:rPr>
        <w:t>……</w:t>
      </w:r>
    </w:p>
    <w:p w14:paraId="6027CC98">
      <w:pPr>
        <w:spacing w:before="156" w:after="156" w:afterLines="50"/>
        <w:ind w:firstLine="482" w:firstLineChars="200"/>
        <w:rPr>
          <w:rFonts w:ascii="Arial Narrow" w:hAnsi="Arial Narrow" w:eastAsia="仿宋_GB2312"/>
          <w:b/>
          <w:kern w:val="0"/>
          <w:sz w:val="24"/>
        </w:rPr>
      </w:pPr>
      <w:r>
        <w:rPr>
          <w:rFonts w:hint="eastAsia" w:ascii="Arial Narrow" w:hAnsi="Arial Narrow" w:eastAsia="仿宋_GB2312"/>
          <w:b/>
          <w:kern w:val="0"/>
          <w:sz w:val="24"/>
        </w:rPr>
        <w:t>2、拟发表的内部控制审计意见类型</w:t>
      </w:r>
    </w:p>
    <w:p w14:paraId="14878129">
      <w:pPr>
        <w:spacing w:before="156" w:beforeLines="50" w:line="300" w:lineRule="auto"/>
        <w:ind w:firstLine="480" w:firstLineChars="200"/>
        <w:rPr>
          <w:rFonts w:ascii="仿宋_GB2312" w:eastAsia="仿宋_GB2312"/>
          <w:sz w:val="24"/>
        </w:rPr>
      </w:pPr>
      <w:r>
        <w:rPr>
          <w:rFonts w:hint="eastAsia" w:ascii="仿宋_GB2312" w:eastAsia="仿宋_GB2312"/>
          <w:sz w:val="24"/>
        </w:rPr>
        <w:t>已经评价了对控制的测试结果、财务报表审计中发现的错报以及已识别的所有控制缺陷。在评价审计据时，查阅了本年度涉及内部控制的内部审计报告或类似报告，并评价了这些报告中指出的控制缺陷</w:t>
      </w:r>
      <w:r>
        <w:rPr>
          <w:rFonts w:hint="eastAsia" w:ascii="仿宋_GB2312" w:eastAsia="仿宋_GB2312"/>
          <w:color w:val="0000FF"/>
          <w:sz w:val="24"/>
        </w:rPr>
        <w:t>（如适用）</w:t>
      </w:r>
      <w:r>
        <w:rPr>
          <w:rFonts w:hint="eastAsia" w:ascii="仿宋_GB2312" w:eastAsia="仿宋_GB2312"/>
          <w:sz w:val="24"/>
        </w:rPr>
        <w:t>。</w:t>
      </w:r>
    </w:p>
    <w:p w14:paraId="2D72C3E8">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已经取得经企业签署的书面声明，详见</w:t>
      </w:r>
      <w:r>
        <w:rPr>
          <w:rFonts w:hint="eastAsia" w:ascii="仿宋_GB2312" w:hAnsi="宋体" w:eastAsia="仿宋_GB2312"/>
          <w:color w:val="FF0000"/>
          <w:sz w:val="24"/>
        </w:rPr>
        <w:t>A16。</w:t>
      </w:r>
    </w:p>
    <w:p w14:paraId="26D27619">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sz w:val="24"/>
        </w:rPr>
        <w:t>已经考虑了期后事项的影响，详见</w:t>
      </w:r>
      <w:r>
        <w:rPr>
          <w:rFonts w:hint="eastAsia" w:ascii="仿宋_GB2312" w:hAnsi="宋体" w:eastAsia="仿宋_GB2312"/>
          <w:color w:val="FF0000"/>
          <w:sz w:val="24"/>
        </w:rPr>
        <w:t>A11。</w:t>
      </w:r>
    </w:p>
    <w:p w14:paraId="73095640">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已经评价企业内部控制评价报告对相关法律法规规定的要素列报的完整性和恰当性。详见</w:t>
      </w:r>
      <w:r>
        <w:rPr>
          <w:rFonts w:hint="eastAsia" w:ascii="仿宋_GB2312" w:hAnsi="宋体" w:eastAsia="仿宋_GB2312"/>
          <w:color w:val="FF0000"/>
          <w:sz w:val="24"/>
        </w:rPr>
        <w:t>B11-2。</w:t>
      </w:r>
    </w:p>
    <w:p w14:paraId="483EC5CB">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综上分析判断，我们认为：</w:t>
      </w:r>
    </w:p>
    <w:p w14:paraId="2B36CFFE">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（1）注册会计师按照《企业内部控制审计指引》的要求计划和实施了审计工作，在审计过程中未受到限制，获取的审计证据是充分、适当的，为发表审计意见提供了基础。</w:t>
      </w:r>
    </w:p>
    <w:p w14:paraId="70D6158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（2）公司按照《企业内部控制基本规范》、《企业内部控制指引》、《企业内部控制评价指引》以及自身内部控制制度的要求，在所有重大方面保持了有效的内部控制。</w:t>
      </w:r>
    </w:p>
    <w:p w14:paraId="60056044">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（2）可以出具标准无保留意见内部控制审计报告。</w:t>
      </w:r>
    </w:p>
    <w:p w14:paraId="494B0AC3">
      <w:pPr>
        <w:spacing w:before="156" w:beforeLines="50" w:line="300" w:lineRule="auto"/>
        <w:rPr>
          <w:rFonts w:ascii="仿宋_GB2312" w:eastAsia="仿宋_GB2312"/>
          <w:color w:val="0000FF"/>
          <w:sz w:val="24"/>
        </w:rPr>
      </w:pPr>
      <w:r>
        <w:rPr>
          <w:rFonts w:hint="eastAsia" w:ascii="仿宋_GB2312" w:eastAsia="仿宋_GB2312"/>
          <w:color w:val="0000FF"/>
          <w:sz w:val="24"/>
        </w:rPr>
        <w:t>【关于内部控制审计报告意见类型的确定，可参考“审计指引第31（4）号—内部控制审计报告”。】</w:t>
      </w:r>
    </w:p>
    <w:p w14:paraId="5EE8B08E">
      <w:pPr>
        <w:spacing w:before="156" w:beforeLines="50" w:after="156" w:afterLines="50" w:line="300" w:lineRule="auto"/>
        <w:rPr>
          <w:rFonts w:ascii="仿宋_GB2312" w:eastAsia="仿宋_GB2312"/>
          <w:color w:val="0000FF"/>
          <w:sz w:val="24"/>
        </w:rPr>
      </w:pPr>
      <w:r>
        <w:rPr>
          <w:rFonts w:hint="eastAsia" w:ascii="仿宋_GB2312" w:eastAsia="仿宋_GB2312"/>
          <w:color w:val="0000FF"/>
          <w:sz w:val="24"/>
        </w:rPr>
        <w:t>【如出具非标准无保留意见内部控制审计报告，应说明具体情况，并按照事务所的质量控制制度规定提交专业技术委员会审核。】</w:t>
      </w:r>
    </w:p>
    <w:p w14:paraId="15C4B1B9">
      <w:pPr>
        <w:ind w:firstLine="482" w:firstLineChars="200"/>
        <w:rPr>
          <w:rFonts w:ascii="仿宋_GB2312" w:eastAsia="仿宋_GB2312"/>
          <w:b/>
          <w:bCs/>
          <w:sz w:val="24"/>
        </w:rPr>
      </w:pPr>
      <w:r>
        <w:rPr>
          <w:rFonts w:hint="eastAsia" w:ascii="仿宋_GB2312" w:eastAsia="仿宋_GB2312"/>
          <w:b/>
          <w:bCs/>
          <w:sz w:val="24"/>
        </w:rPr>
        <w:t>（二）发债业务的特殊考虑</w:t>
      </w:r>
    </w:p>
    <w:p w14:paraId="4E59167E">
      <w:pPr>
        <w:spacing w:before="156" w:beforeLines="50"/>
        <w:ind w:firstLine="480" w:firstLineChars="200"/>
        <w:rPr>
          <w:rFonts w:ascii="仿宋_GB2312" w:eastAsia="仿宋_GB2312"/>
          <w:sz w:val="24"/>
        </w:rPr>
      </w:pPr>
      <w:bookmarkStart w:id="17" w:name="_Toc485656982"/>
      <w:r>
        <w:rPr>
          <w:rFonts w:hint="eastAsia" w:ascii="仿宋_GB2312" w:eastAsia="仿宋_GB2312"/>
          <w:sz w:val="24"/>
        </w:rPr>
        <w:t>1、非经营性资产</w:t>
      </w:r>
      <w:bookmarkEnd w:id="17"/>
    </w:p>
    <w:p w14:paraId="4AC0BBB6">
      <w:pPr>
        <w:spacing w:before="156" w:after="156" w:afterLines="50"/>
        <w:ind w:firstLine="480" w:firstLineChars="200"/>
        <w:rPr>
          <w:rFonts w:ascii="Arial Narrow" w:hAnsi="Arial Narrow" w:eastAsia="仿宋_GB2312"/>
          <w:color w:val="0000FF"/>
          <w:kern w:val="0"/>
          <w:sz w:val="24"/>
        </w:rPr>
      </w:pPr>
      <w:r>
        <w:rPr>
          <w:rFonts w:hint="eastAsia" w:ascii="Arial Narrow" w:hAnsi="Arial Narrow" w:eastAsia="仿宋_GB2312"/>
          <w:color w:val="0000FF"/>
          <w:kern w:val="0"/>
          <w:sz w:val="24"/>
        </w:rPr>
        <w:t>【描述被审计单位控制或受托管理的非经营性资产情况，包括政府办公场所、公园、医院、学校、事业单位资产以及不产生收益的市政道路、桥梁、博物馆等纯公益性资产。说明对非经营性资产列报和披露是否符合企业会计准则的规定，以及项目组所执行的主要审计程序。】</w:t>
      </w:r>
    </w:p>
    <w:p w14:paraId="5EEE0A16">
      <w:pPr>
        <w:spacing w:before="156" w:beforeLines="50"/>
        <w:ind w:firstLine="480" w:firstLineChars="200"/>
        <w:rPr>
          <w:rFonts w:ascii="仿宋_GB2312" w:eastAsia="仿宋_GB2312"/>
          <w:sz w:val="24"/>
        </w:rPr>
      </w:pPr>
      <w:bookmarkStart w:id="18" w:name="_Toc485656983"/>
      <w:r>
        <w:rPr>
          <w:rFonts w:hint="eastAsia" w:ascii="仿宋_GB2312" w:eastAsia="仿宋_GB2312"/>
          <w:sz w:val="24"/>
        </w:rPr>
        <w:t>2、偿债能力</w:t>
      </w:r>
      <w:bookmarkEnd w:id="18"/>
      <w:r>
        <w:rPr>
          <w:rFonts w:hint="eastAsia" w:ascii="仿宋_GB2312" w:eastAsia="仿宋_GB2312"/>
          <w:sz w:val="24"/>
        </w:rPr>
        <w:t>分析</w:t>
      </w:r>
    </w:p>
    <w:p w14:paraId="11B34959">
      <w:pPr>
        <w:spacing w:before="156" w:after="156" w:afterLines="50"/>
        <w:ind w:firstLine="480" w:firstLineChars="200"/>
        <w:rPr>
          <w:rFonts w:ascii="Arial Narrow" w:hAnsi="Arial Narrow" w:eastAsia="仿宋_GB2312"/>
          <w:color w:val="0000FF"/>
          <w:kern w:val="0"/>
          <w:sz w:val="24"/>
        </w:rPr>
      </w:pPr>
      <w:r>
        <w:rPr>
          <w:rFonts w:hint="eastAsia" w:ascii="Arial Narrow" w:hAnsi="Arial Narrow" w:eastAsia="仿宋_GB2312"/>
          <w:color w:val="0000FF"/>
          <w:kern w:val="0"/>
          <w:sz w:val="24"/>
        </w:rPr>
        <w:t>【根据审定财务报表数据，分析被审计单位自身偿债能力及偿债保障措施。发行人累计债券余额（含本期）应小于最近一年全口径所有者权益（包含少数股东权益）的40%。发行人最近3年平均净利润应能覆盖本期债券1 年的利息。对于资产负债率超过65% 的项目，需要对其负债率进行专项分析，说明其有息资产负债率等。对于超过资产负债率在80% 至90%之间的发债申请企业，必须要求提供担保。资产负债率超过90% ，不予核准发行债券。】</w:t>
      </w:r>
    </w:p>
    <w:p w14:paraId="26119135">
      <w:pPr>
        <w:spacing w:before="156" w:beforeLines="50"/>
        <w:ind w:firstLine="480" w:firstLineChars="200"/>
        <w:rPr>
          <w:rFonts w:ascii="仿宋_GB2312" w:eastAsia="仿宋_GB2312"/>
          <w:sz w:val="24"/>
        </w:rPr>
      </w:pPr>
      <w:bookmarkStart w:id="19" w:name="_Toc485656984"/>
      <w:r>
        <w:rPr>
          <w:rFonts w:hint="eastAsia" w:ascii="仿宋_GB2312" w:eastAsia="仿宋_GB2312"/>
          <w:sz w:val="24"/>
        </w:rPr>
        <w:t>3、担保情况</w:t>
      </w:r>
      <w:bookmarkEnd w:id="19"/>
    </w:p>
    <w:p w14:paraId="0AFC68BC">
      <w:pPr>
        <w:spacing w:before="156" w:after="156" w:afterLines="50"/>
        <w:ind w:firstLine="480" w:firstLineChars="200"/>
        <w:rPr>
          <w:rFonts w:ascii="Arial Narrow" w:hAnsi="Arial Narrow" w:eastAsia="仿宋_GB2312"/>
          <w:color w:val="0000FF"/>
          <w:kern w:val="0"/>
          <w:sz w:val="24"/>
        </w:rPr>
      </w:pPr>
      <w:r>
        <w:rPr>
          <w:rFonts w:hint="eastAsia" w:ascii="Arial Narrow" w:hAnsi="Arial Narrow" w:eastAsia="仿宋_GB2312"/>
          <w:color w:val="0000FF"/>
          <w:kern w:val="0"/>
          <w:sz w:val="24"/>
        </w:rPr>
        <w:t>【描述被审计单位债券担保的有效性，抵押担保是否存在一物多押，抵质押资产是否是易变现有效资产，第三方担保的是否存在互保或连环保。说明对担保事项列报、披露完整性执行的审计程序。】</w:t>
      </w:r>
    </w:p>
    <w:p w14:paraId="7D46A109">
      <w:pPr>
        <w:ind w:firstLine="482" w:firstLineChars="200"/>
        <w:rPr>
          <w:rFonts w:ascii="仿宋_GB2312" w:eastAsia="仿宋_GB2312"/>
          <w:b/>
          <w:bCs/>
          <w:sz w:val="24"/>
        </w:rPr>
      </w:pPr>
      <w:r>
        <w:rPr>
          <w:rFonts w:hint="eastAsia" w:ascii="仿宋_GB2312" w:eastAsia="仿宋_GB2312"/>
          <w:b/>
          <w:bCs/>
          <w:sz w:val="24"/>
        </w:rPr>
        <w:t>（三）新三板审计业务特殊核查事项</w:t>
      </w:r>
    </w:p>
    <w:p w14:paraId="0C78C2A7">
      <w:pPr>
        <w:spacing w:before="156" w:beforeLines="50"/>
        <w:ind w:firstLine="480" w:firstLineChars="200"/>
        <w:rPr>
          <w:rFonts w:ascii="仿宋_GB2312" w:eastAsia="仿宋_GB2312"/>
          <w:sz w:val="24"/>
        </w:rPr>
      </w:pPr>
      <w:r>
        <w:rPr>
          <w:rFonts w:hint="eastAsia" w:ascii="仿宋_GB2312" w:eastAsia="仿宋_GB2312"/>
          <w:sz w:val="24"/>
        </w:rPr>
        <w:t>1、被审计单位是否存在会计监管6号提及的以下情形</w:t>
      </w:r>
    </w:p>
    <w:tbl>
      <w:tblPr>
        <w:tblStyle w:val="12"/>
        <w:tblW w:w="9796" w:type="dxa"/>
        <w:tblInd w:w="93" w:type="dxa"/>
        <w:tblLayout w:type="autofit"/>
        <w:tblCellMar>
          <w:top w:w="0" w:type="dxa"/>
          <w:left w:w="108" w:type="dxa"/>
          <w:bottom w:w="0" w:type="dxa"/>
          <w:right w:w="108" w:type="dxa"/>
        </w:tblCellMar>
      </w:tblPr>
      <w:tblGrid>
        <w:gridCol w:w="818"/>
        <w:gridCol w:w="1129"/>
        <w:gridCol w:w="4022"/>
        <w:gridCol w:w="1559"/>
        <w:gridCol w:w="2268"/>
      </w:tblGrid>
      <w:tr w14:paraId="7F21F7BB">
        <w:tblPrEx>
          <w:tblCellMar>
            <w:top w:w="0" w:type="dxa"/>
            <w:left w:w="108" w:type="dxa"/>
            <w:bottom w:w="0" w:type="dxa"/>
            <w:right w:w="108" w:type="dxa"/>
          </w:tblCellMar>
        </w:tblPrEx>
        <w:trPr>
          <w:trHeight w:val="300" w:hRule="atLeast"/>
          <w:tblHeader/>
        </w:trPr>
        <w:tc>
          <w:tcPr>
            <w:tcW w:w="5969" w:type="dxa"/>
            <w:gridSpan w:val="3"/>
            <w:tcBorders>
              <w:top w:val="single" w:color="auto" w:sz="8" w:space="0"/>
              <w:left w:val="single" w:color="auto" w:sz="8" w:space="0"/>
              <w:bottom w:val="single" w:color="auto" w:sz="8" w:space="0"/>
              <w:right w:val="single" w:color="000000" w:sz="8" w:space="0"/>
            </w:tcBorders>
            <w:noWrap/>
            <w:vAlign w:val="center"/>
          </w:tcPr>
          <w:p w14:paraId="0FD039D7">
            <w:pPr>
              <w:widowControl/>
              <w:jc w:val="center"/>
              <w:rPr>
                <w:rFonts w:hint="eastAsia" w:ascii="仿宋_GB2312" w:hAnsi="仿宋" w:eastAsia="仿宋_GB2312" w:cs="宋体"/>
                <w:b/>
                <w:bCs/>
                <w:color w:val="000000"/>
                <w:kern w:val="0"/>
                <w:sz w:val="24"/>
              </w:rPr>
            </w:pPr>
            <w:r>
              <w:rPr>
                <w:rFonts w:hint="eastAsia" w:ascii="仿宋_GB2312" w:hAnsi="仿宋" w:eastAsia="仿宋_GB2312" w:cs="宋体"/>
                <w:b/>
                <w:bCs/>
                <w:color w:val="000000"/>
                <w:kern w:val="0"/>
                <w:sz w:val="24"/>
              </w:rPr>
              <w:t>项目</w:t>
            </w:r>
          </w:p>
        </w:tc>
        <w:tc>
          <w:tcPr>
            <w:tcW w:w="1559" w:type="dxa"/>
            <w:tcBorders>
              <w:top w:val="single" w:color="auto" w:sz="8" w:space="0"/>
              <w:left w:val="nil"/>
              <w:bottom w:val="single" w:color="auto" w:sz="8" w:space="0"/>
              <w:right w:val="single" w:color="auto" w:sz="8" w:space="0"/>
            </w:tcBorders>
            <w:vAlign w:val="center"/>
          </w:tcPr>
          <w:p w14:paraId="4247B749">
            <w:pPr>
              <w:widowControl/>
              <w:jc w:val="center"/>
              <w:rPr>
                <w:rFonts w:hint="eastAsia" w:ascii="仿宋_GB2312" w:hAnsi="仿宋" w:eastAsia="仿宋_GB2312" w:cs="宋体"/>
                <w:b/>
                <w:bCs/>
                <w:color w:val="000000"/>
                <w:kern w:val="0"/>
                <w:sz w:val="24"/>
              </w:rPr>
            </w:pPr>
            <w:r>
              <w:rPr>
                <w:rFonts w:hint="eastAsia" w:ascii="仿宋_GB2312" w:hAnsi="仿宋" w:eastAsia="仿宋_GB2312" w:cs="宋体"/>
                <w:b/>
                <w:bCs/>
                <w:color w:val="000000"/>
                <w:kern w:val="0"/>
                <w:sz w:val="24"/>
              </w:rPr>
              <w:t>被审计单位是否适用</w:t>
            </w:r>
          </w:p>
        </w:tc>
        <w:tc>
          <w:tcPr>
            <w:tcW w:w="2268" w:type="dxa"/>
            <w:tcBorders>
              <w:top w:val="single" w:color="auto" w:sz="8" w:space="0"/>
              <w:left w:val="nil"/>
              <w:bottom w:val="single" w:color="auto" w:sz="8" w:space="0"/>
              <w:right w:val="single" w:color="auto" w:sz="8" w:space="0"/>
            </w:tcBorders>
            <w:noWrap/>
            <w:vAlign w:val="center"/>
          </w:tcPr>
          <w:p w14:paraId="544F3E9D">
            <w:pPr>
              <w:widowControl/>
              <w:jc w:val="center"/>
              <w:rPr>
                <w:rFonts w:hint="eastAsia" w:ascii="仿宋_GB2312" w:hAnsi="仿宋" w:eastAsia="仿宋_GB2312" w:cs="宋体"/>
                <w:b/>
                <w:bCs/>
                <w:color w:val="000000"/>
                <w:kern w:val="0"/>
                <w:sz w:val="24"/>
              </w:rPr>
            </w:pPr>
            <w:r>
              <w:rPr>
                <w:rFonts w:hint="eastAsia" w:ascii="仿宋_GB2312" w:hAnsi="仿宋" w:eastAsia="仿宋_GB2312" w:cs="宋体"/>
                <w:b/>
                <w:bCs/>
                <w:color w:val="000000"/>
                <w:kern w:val="0"/>
                <w:sz w:val="24"/>
              </w:rPr>
              <w:t>具体情况说明</w:t>
            </w:r>
          </w:p>
        </w:tc>
      </w:tr>
      <w:tr w14:paraId="47F92E1D">
        <w:tblPrEx>
          <w:tblCellMar>
            <w:top w:w="0" w:type="dxa"/>
            <w:left w:w="108" w:type="dxa"/>
            <w:bottom w:w="0" w:type="dxa"/>
            <w:right w:w="108" w:type="dxa"/>
          </w:tblCellMar>
        </w:tblPrEx>
        <w:trPr>
          <w:trHeight w:val="300" w:hRule="atLeast"/>
        </w:trPr>
        <w:tc>
          <w:tcPr>
            <w:tcW w:w="818" w:type="dxa"/>
            <w:vMerge w:val="restart"/>
            <w:tcBorders>
              <w:top w:val="nil"/>
              <w:left w:val="single" w:color="auto" w:sz="8" w:space="0"/>
              <w:bottom w:val="single" w:color="000000" w:sz="8" w:space="0"/>
              <w:right w:val="single" w:color="auto" w:sz="8" w:space="0"/>
            </w:tcBorders>
            <w:noWrap/>
            <w:vAlign w:val="center"/>
          </w:tcPr>
          <w:p w14:paraId="5529B3F3">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情形一</w:t>
            </w:r>
          </w:p>
        </w:tc>
        <w:tc>
          <w:tcPr>
            <w:tcW w:w="1129" w:type="dxa"/>
            <w:vMerge w:val="restart"/>
            <w:tcBorders>
              <w:top w:val="nil"/>
              <w:left w:val="single" w:color="auto" w:sz="8" w:space="0"/>
              <w:bottom w:val="single" w:color="000000" w:sz="8" w:space="0"/>
              <w:right w:val="single" w:color="auto" w:sz="8" w:space="0"/>
            </w:tcBorders>
            <w:vAlign w:val="center"/>
          </w:tcPr>
          <w:p w14:paraId="3BE94439">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企业类型</w:t>
            </w:r>
          </w:p>
        </w:tc>
        <w:tc>
          <w:tcPr>
            <w:tcW w:w="4022" w:type="dxa"/>
            <w:tcBorders>
              <w:top w:val="nil"/>
              <w:left w:val="nil"/>
              <w:bottom w:val="single" w:color="auto" w:sz="8" w:space="0"/>
              <w:right w:val="single" w:color="auto" w:sz="8" w:space="0"/>
            </w:tcBorders>
            <w:noWrap/>
            <w:vAlign w:val="center"/>
          </w:tcPr>
          <w:p w14:paraId="7EEB1B77">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融资需求</w:t>
            </w:r>
          </w:p>
        </w:tc>
        <w:tc>
          <w:tcPr>
            <w:tcW w:w="1559" w:type="dxa"/>
            <w:tcBorders>
              <w:top w:val="nil"/>
              <w:left w:val="nil"/>
              <w:bottom w:val="single" w:color="auto" w:sz="8" w:space="0"/>
              <w:right w:val="single" w:color="auto" w:sz="8" w:space="0"/>
            </w:tcBorders>
            <w:noWrap/>
            <w:vAlign w:val="center"/>
          </w:tcPr>
          <w:p w14:paraId="1C899F7D">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66B8509B">
            <w:pPr>
              <w:widowControl/>
              <w:jc w:val="left"/>
              <w:rPr>
                <w:rFonts w:hint="eastAsia" w:ascii="仿宋_GB2312" w:hAnsi="仿宋" w:eastAsia="仿宋_GB2312" w:cs="宋体"/>
                <w:color w:val="000000"/>
                <w:kern w:val="0"/>
                <w:sz w:val="24"/>
              </w:rPr>
            </w:pPr>
          </w:p>
        </w:tc>
      </w:tr>
      <w:tr w14:paraId="220C4480">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3D6AE647">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4911002B">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2C404B50">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分层调整动机</w:t>
            </w:r>
          </w:p>
        </w:tc>
        <w:tc>
          <w:tcPr>
            <w:tcW w:w="1559" w:type="dxa"/>
            <w:tcBorders>
              <w:top w:val="nil"/>
              <w:left w:val="nil"/>
              <w:bottom w:val="single" w:color="auto" w:sz="8" w:space="0"/>
              <w:right w:val="single" w:color="auto" w:sz="8" w:space="0"/>
            </w:tcBorders>
            <w:noWrap/>
            <w:vAlign w:val="center"/>
          </w:tcPr>
          <w:p w14:paraId="3995FFCC">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4A8316BE">
            <w:pPr>
              <w:widowControl/>
              <w:jc w:val="left"/>
              <w:rPr>
                <w:rFonts w:hint="eastAsia" w:ascii="仿宋_GB2312" w:hAnsi="仿宋" w:eastAsia="仿宋_GB2312" w:cs="宋体"/>
                <w:color w:val="000000"/>
                <w:kern w:val="0"/>
                <w:sz w:val="24"/>
              </w:rPr>
            </w:pPr>
          </w:p>
        </w:tc>
      </w:tr>
      <w:tr w14:paraId="4B2BAFCE">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4BACB54C">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3BB3F36F">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018EC677">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首次公开发行股票</w:t>
            </w:r>
          </w:p>
        </w:tc>
        <w:tc>
          <w:tcPr>
            <w:tcW w:w="1559" w:type="dxa"/>
            <w:tcBorders>
              <w:top w:val="nil"/>
              <w:left w:val="nil"/>
              <w:bottom w:val="single" w:color="auto" w:sz="8" w:space="0"/>
              <w:right w:val="single" w:color="auto" w:sz="8" w:space="0"/>
            </w:tcBorders>
            <w:noWrap/>
            <w:vAlign w:val="center"/>
          </w:tcPr>
          <w:p w14:paraId="5D606E3D">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5771FE0A">
            <w:pPr>
              <w:widowControl/>
              <w:jc w:val="left"/>
              <w:rPr>
                <w:rFonts w:hint="eastAsia" w:ascii="仿宋_GB2312" w:hAnsi="仿宋" w:eastAsia="仿宋_GB2312" w:cs="宋体"/>
                <w:color w:val="000000"/>
                <w:kern w:val="0"/>
                <w:sz w:val="24"/>
              </w:rPr>
            </w:pPr>
          </w:p>
        </w:tc>
      </w:tr>
      <w:tr w14:paraId="0A308CBD">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66045A6F">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500E440B">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4E552D2A">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有对赌协议</w:t>
            </w:r>
          </w:p>
        </w:tc>
        <w:tc>
          <w:tcPr>
            <w:tcW w:w="1559" w:type="dxa"/>
            <w:tcBorders>
              <w:top w:val="nil"/>
              <w:left w:val="nil"/>
              <w:bottom w:val="single" w:color="auto" w:sz="8" w:space="0"/>
              <w:right w:val="single" w:color="auto" w:sz="8" w:space="0"/>
            </w:tcBorders>
            <w:noWrap/>
            <w:vAlign w:val="center"/>
          </w:tcPr>
          <w:p w14:paraId="34B295ED">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422E6DA1">
            <w:pPr>
              <w:widowControl/>
              <w:jc w:val="left"/>
              <w:rPr>
                <w:rFonts w:hint="eastAsia" w:ascii="仿宋_GB2312" w:hAnsi="仿宋" w:eastAsia="仿宋_GB2312" w:cs="宋体"/>
                <w:color w:val="000000"/>
                <w:kern w:val="0"/>
                <w:sz w:val="24"/>
              </w:rPr>
            </w:pPr>
          </w:p>
        </w:tc>
      </w:tr>
      <w:tr w14:paraId="4DC79DDB">
        <w:tblPrEx>
          <w:tblCellMar>
            <w:top w:w="0" w:type="dxa"/>
            <w:left w:w="108" w:type="dxa"/>
            <w:bottom w:w="0" w:type="dxa"/>
            <w:right w:w="108" w:type="dxa"/>
          </w:tblCellMar>
        </w:tblPrEx>
        <w:trPr>
          <w:trHeight w:val="300" w:hRule="atLeast"/>
        </w:trPr>
        <w:tc>
          <w:tcPr>
            <w:tcW w:w="818" w:type="dxa"/>
            <w:vMerge w:val="restart"/>
            <w:tcBorders>
              <w:top w:val="nil"/>
              <w:left w:val="single" w:color="auto" w:sz="8" w:space="0"/>
              <w:bottom w:val="single" w:color="000000" w:sz="8" w:space="0"/>
              <w:right w:val="single" w:color="auto" w:sz="8" w:space="0"/>
            </w:tcBorders>
            <w:noWrap/>
            <w:vAlign w:val="center"/>
          </w:tcPr>
          <w:p w14:paraId="0393DA92">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情形二</w:t>
            </w:r>
          </w:p>
        </w:tc>
        <w:tc>
          <w:tcPr>
            <w:tcW w:w="1129" w:type="dxa"/>
            <w:vMerge w:val="restart"/>
            <w:tcBorders>
              <w:top w:val="nil"/>
              <w:left w:val="single" w:color="auto" w:sz="8" w:space="0"/>
              <w:bottom w:val="single" w:color="000000" w:sz="8" w:space="0"/>
              <w:right w:val="single" w:color="auto" w:sz="8" w:space="0"/>
            </w:tcBorders>
            <w:noWrap/>
            <w:vAlign w:val="center"/>
          </w:tcPr>
          <w:p w14:paraId="5A34D773">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业务类型</w:t>
            </w:r>
          </w:p>
        </w:tc>
        <w:tc>
          <w:tcPr>
            <w:tcW w:w="4022" w:type="dxa"/>
            <w:tcBorders>
              <w:top w:val="nil"/>
              <w:left w:val="nil"/>
              <w:bottom w:val="single" w:color="auto" w:sz="8" w:space="0"/>
              <w:right w:val="single" w:color="auto" w:sz="8" w:space="0"/>
            </w:tcBorders>
            <w:vAlign w:val="center"/>
          </w:tcPr>
          <w:p w14:paraId="383A2A66">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首次承接的新三板已挂牌公司的首份业务报告</w:t>
            </w:r>
          </w:p>
        </w:tc>
        <w:tc>
          <w:tcPr>
            <w:tcW w:w="1559" w:type="dxa"/>
            <w:tcBorders>
              <w:top w:val="nil"/>
              <w:left w:val="nil"/>
              <w:bottom w:val="single" w:color="auto" w:sz="8" w:space="0"/>
              <w:right w:val="single" w:color="auto" w:sz="8" w:space="0"/>
            </w:tcBorders>
            <w:noWrap/>
            <w:vAlign w:val="center"/>
          </w:tcPr>
          <w:p w14:paraId="2A7959CE">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0C770A02">
            <w:pPr>
              <w:widowControl/>
              <w:jc w:val="left"/>
              <w:rPr>
                <w:rFonts w:hint="eastAsia" w:ascii="仿宋_GB2312" w:hAnsi="仿宋" w:eastAsia="仿宋_GB2312" w:cs="宋体"/>
                <w:color w:val="000000"/>
                <w:kern w:val="0"/>
                <w:sz w:val="24"/>
              </w:rPr>
            </w:pPr>
          </w:p>
        </w:tc>
      </w:tr>
      <w:tr w14:paraId="4DB8E691">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7DFFBE0F">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572B4E0B">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vAlign w:val="center"/>
          </w:tcPr>
          <w:p w14:paraId="335DDAEE">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首次申请新三板挂牌的业务报告</w:t>
            </w:r>
          </w:p>
        </w:tc>
        <w:tc>
          <w:tcPr>
            <w:tcW w:w="1559" w:type="dxa"/>
            <w:tcBorders>
              <w:top w:val="nil"/>
              <w:left w:val="nil"/>
              <w:bottom w:val="single" w:color="auto" w:sz="8" w:space="0"/>
              <w:right w:val="single" w:color="auto" w:sz="8" w:space="0"/>
            </w:tcBorders>
            <w:noWrap/>
            <w:vAlign w:val="center"/>
          </w:tcPr>
          <w:p w14:paraId="32A4BB9F">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74BE9076">
            <w:pPr>
              <w:widowControl/>
              <w:jc w:val="left"/>
              <w:rPr>
                <w:rFonts w:hint="eastAsia" w:ascii="仿宋_GB2312" w:hAnsi="仿宋" w:eastAsia="仿宋_GB2312" w:cs="宋体"/>
                <w:color w:val="000000"/>
                <w:kern w:val="0"/>
                <w:sz w:val="24"/>
              </w:rPr>
            </w:pPr>
          </w:p>
        </w:tc>
      </w:tr>
      <w:tr w14:paraId="36FB1E7F">
        <w:tblPrEx>
          <w:tblCellMar>
            <w:top w:w="0" w:type="dxa"/>
            <w:left w:w="108" w:type="dxa"/>
            <w:bottom w:w="0" w:type="dxa"/>
            <w:right w:w="108" w:type="dxa"/>
          </w:tblCellMar>
        </w:tblPrEx>
        <w:trPr>
          <w:trHeight w:val="300" w:hRule="atLeast"/>
        </w:trPr>
        <w:tc>
          <w:tcPr>
            <w:tcW w:w="818" w:type="dxa"/>
            <w:vMerge w:val="restart"/>
            <w:tcBorders>
              <w:top w:val="nil"/>
              <w:left w:val="single" w:color="auto" w:sz="8" w:space="0"/>
              <w:bottom w:val="single" w:color="000000" w:sz="8" w:space="0"/>
              <w:right w:val="single" w:color="auto" w:sz="8" w:space="0"/>
            </w:tcBorders>
            <w:noWrap/>
            <w:vAlign w:val="center"/>
          </w:tcPr>
          <w:p w14:paraId="49723180">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情形三</w:t>
            </w:r>
          </w:p>
        </w:tc>
        <w:tc>
          <w:tcPr>
            <w:tcW w:w="1129" w:type="dxa"/>
            <w:vMerge w:val="restart"/>
            <w:tcBorders>
              <w:top w:val="nil"/>
              <w:left w:val="single" w:color="auto" w:sz="8" w:space="0"/>
              <w:bottom w:val="single" w:color="000000" w:sz="8" w:space="0"/>
              <w:right w:val="single" w:color="auto" w:sz="8" w:space="0"/>
            </w:tcBorders>
            <w:noWrap/>
            <w:vAlign w:val="center"/>
          </w:tcPr>
          <w:p w14:paraId="3CE1D9C3">
            <w:pPr>
              <w:widowControl/>
              <w:jc w:val="center"/>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风险情形</w:t>
            </w:r>
          </w:p>
        </w:tc>
        <w:tc>
          <w:tcPr>
            <w:tcW w:w="4022" w:type="dxa"/>
            <w:tcBorders>
              <w:top w:val="nil"/>
              <w:left w:val="nil"/>
              <w:bottom w:val="single" w:color="auto" w:sz="8" w:space="0"/>
              <w:right w:val="single" w:color="auto" w:sz="8" w:space="0"/>
            </w:tcBorders>
            <w:noWrap/>
            <w:vAlign w:val="center"/>
          </w:tcPr>
          <w:p w14:paraId="3F6BD4A6">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创新层挂牌公司审计；</w:t>
            </w:r>
          </w:p>
        </w:tc>
        <w:tc>
          <w:tcPr>
            <w:tcW w:w="1559" w:type="dxa"/>
            <w:tcBorders>
              <w:top w:val="nil"/>
              <w:left w:val="nil"/>
              <w:bottom w:val="single" w:color="auto" w:sz="8" w:space="0"/>
              <w:right w:val="single" w:color="auto" w:sz="8" w:space="0"/>
            </w:tcBorders>
            <w:noWrap/>
            <w:vAlign w:val="center"/>
          </w:tcPr>
          <w:p w14:paraId="26C9B0BC">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228DDA44">
            <w:pPr>
              <w:widowControl/>
              <w:jc w:val="left"/>
              <w:rPr>
                <w:rFonts w:hint="eastAsia" w:ascii="仿宋_GB2312" w:hAnsi="仿宋" w:eastAsia="仿宋_GB2312" w:cs="宋体"/>
                <w:color w:val="000000"/>
                <w:kern w:val="0"/>
                <w:sz w:val="24"/>
              </w:rPr>
            </w:pPr>
          </w:p>
        </w:tc>
      </w:tr>
      <w:tr w14:paraId="1848A3A0">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5ACDC607">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2332D6DB">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70696101">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挂牌公司成立时间短、处于发展或成长期；</w:t>
            </w:r>
          </w:p>
        </w:tc>
        <w:tc>
          <w:tcPr>
            <w:tcW w:w="1559" w:type="dxa"/>
            <w:tcBorders>
              <w:top w:val="nil"/>
              <w:left w:val="nil"/>
              <w:bottom w:val="single" w:color="auto" w:sz="8" w:space="0"/>
              <w:right w:val="single" w:color="auto" w:sz="8" w:space="0"/>
            </w:tcBorders>
            <w:noWrap/>
            <w:vAlign w:val="center"/>
          </w:tcPr>
          <w:p w14:paraId="15BB4E37">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4DB4485B">
            <w:pPr>
              <w:widowControl/>
              <w:jc w:val="left"/>
              <w:rPr>
                <w:rFonts w:hint="eastAsia" w:ascii="仿宋_GB2312" w:hAnsi="仿宋" w:eastAsia="仿宋_GB2312" w:cs="宋体"/>
                <w:color w:val="000000"/>
                <w:kern w:val="0"/>
                <w:sz w:val="24"/>
              </w:rPr>
            </w:pPr>
          </w:p>
        </w:tc>
      </w:tr>
      <w:tr w14:paraId="58034014">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35B9FF6D">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3B88CB52">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09ECD0A6">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挂牌公司存在特殊业务模式；</w:t>
            </w:r>
          </w:p>
        </w:tc>
        <w:tc>
          <w:tcPr>
            <w:tcW w:w="1559" w:type="dxa"/>
            <w:tcBorders>
              <w:top w:val="nil"/>
              <w:left w:val="nil"/>
              <w:bottom w:val="single" w:color="auto" w:sz="8" w:space="0"/>
              <w:right w:val="single" w:color="auto" w:sz="8" w:space="0"/>
            </w:tcBorders>
            <w:noWrap/>
            <w:vAlign w:val="center"/>
          </w:tcPr>
          <w:p w14:paraId="5D0D2B32">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5D3F1486">
            <w:pPr>
              <w:widowControl/>
              <w:jc w:val="left"/>
              <w:rPr>
                <w:rFonts w:hint="eastAsia" w:ascii="仿宋_GB2312" w:hAnsi="仿宋" w:eastAsia="仿宋_GB2312" w:cs="宋体"/>
                <w:color w:val="000000"/>
                <w:kern w:val="0"/>
                <w:sz w:val="24"/>
              </w:rPr>
            </w:pPr>
          </w:p>
        </w:tc>
      </w:tr>
      <w:tr w14:paraId="1DF3E345">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0FBE3295">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0EA74683">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4248D4E6">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挂牌公司选择和运用复杂或异常的会计政策；</w:t>
            </w:r>
          </w:p>
        </w:tc>
        <w:tc>
          <w:tcPr>
            <w:tcW w:w="1559" w:type="dxa"/>
            <w:tcBorders>
              <w:top w:val="nil"/>
              <w:left w:val="nil"/>
              <w:bottom w:val="single" w:color="auto" w:sz="8" w:space="0"/>
              <w:right w:val="single" w:color="auto" w:sz="8" w:space="0"/>
            </w:tcBorders>
            <w:noWrap/>
            <w:vAlign w:val="center"/>
          </w:tcPr>
          <w:p w14:paraId="7F1C5611">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7D1EB432">
            <w:pPr>
              <w:widowControl/>
              <w:jc w:val="left"/>
              <w:rPr>
                <w:rFonts w:hint="eastAsia" w:ascii="仿宋_GB2312" w:hAnsi="仿宋" w:eastAsia="仿宋_GB2312" w:cs="宋体"/>
                <w:color w:val="000000"/>
                <w:kern w:val="0"/>
                <w:sz w:val="24"/>
              </w:rPr>
            </w:pPr>
          </w:p>
        </w:tc>
      </w:tr>
      <w:tr w14:paraId="50C5C82F">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30628058">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4DE2853D">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061E43C4">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挂牌公司重要循环存在重大前期差错；</w:t>
            </w:r>
          </w:p>
        </w:tc>
        <w:tc>
          <w:tcPr>
            <w:tcW w:w="1559" w:type="dxa"/>
            <w:tcBorders>
              <w:top w:val="nil"/>
              <w:left w:val="nil"/>
              <w:bottom w:val="single" w:color="auto" w:sz="8" w:space="0"/>
              <w:right w:val="single" w:color="auto" w:sz="8" w:space="0"/>
            </w:tcBorders>
            <w:noWrap/>
            <w:vAlign w:val="center"/>
          </w:tcPr>
          <w:p w14:paraId="521A5812">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57B18846">
            <w:pPr>
              <w:widowControl/>
              <w:jc w:val="left"/>
              <w:rPr>
                <w:rFonts w:hint="eastAsia" w:ascii="仿宋_GB2312" w:hAnsi="仿宋" w:eastAsia="仿宋_GB2312" w:cs="宋体"/>
                <w:color w:val="000000"/>
                <w:kern w:val="0"/>
                <w:sz w:val="24"/>
              </w:rPr>
            </w:pPr>
          </w:p>
        </w:tc>
      </w:tr>
      <w:tr w14:paraId="4C09185D">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4E9D9C59">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0F83E40B">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51D02814">
            <w:pPr>
              <w:widowControl/>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挂牌公司持续经营存在重大不确定性；</w:t>
            </w:r>
          </w:p>
        </w:tc>
        <w:tc>
          <w:tcPr>
            <w:tcW w:w="1559" w:type="dxa"/>
            <w:tcBorders>
              <w:top w:val="nil"/>
              <w:left w:val="nil"/>
              <w:bottom w:val="single" w:color="auto" w:sz="8" w:space="0"/>
              <w:right w:val="single" w:color="auto" w:sz="8" w:space="0"/>
            </w:tcBorders>
            <w:noWrap/>
            <w:vAlign w:val="center"/>
          </w:tcPr>
          <w:p w14:paraId="399E55F1">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0A53CDC1">
            <w:pPr>
              <w:widowControl/>
              <w:jc w:val="left"/>
              <w:rPr>
                <w:rFonts w:hint="eastAsia" w:ascii="仿宋_GB2312" w:hAnsi="仿宋" w:eastAsia="仿宋_GB2312" w:cs="宋体"/>
                <w:color w:val="000000"/>
                <w:kern w:val="0"/>
                <w:sz w:val="24"/>
              </w:rPr>
            </w:pPr>
          </w:p>
        </w:tc>
      </w:tr>
      <w:tr w14:paraId="25E5DE88">
        <w:tblPrEx>
          <w:tblCellMar>
            <w:top w:w="0" w:type="dxa"/>
            <w:left w:w="108" w:type="dxa"/>
            <w:bottom w:w="0" w:type="dxa"/>
            <w:right w:w="108" w:type="dxa"/>
          </w:tblCellMar>
        </w:tblPrEx>
        <w:trPr>
          <w:trHeight w:val="300" w:hRule="atLeast"/>
        </w:trPr>
        <w:tc>
          <w:tcPr>
            <w:tcW w:w="818" w:type="dxa"/>
            <w:vMerge w:val="continue"/>
            <w:tcBorders>
              <w:top w:val="nil"/>
              <w:left w:val="single" w:color="auto" w:sz="8" w:space="0"/>
              <w:bottom w:val="single" w:color="000000" w:sz="8" w:space="0"/>
              <w:right w:val="single" w:color="auto" w:sz="8" w:space="0"/>
            </w:tcBorders>
            <w:vAlign w:val="center"/>
          </w:tcPr>
          <w:p w14:paraId="13F88AEB">
            <w:pPr>
              <w:widowControl/>
              <w:jc w:val="left"/>
              <w:rPr>
                <w:rFonts w:hint="eastAsia" w:ascii="仿宋_GB2312" w:hAnsi="仿宋" w:eastAsia="仿宋_GB2312" w:cs="宋体"/>
                <w:color w:val="000000"/>
                <w:kern w:val="0"/>
                <w:sz w:val="24"/>
              </w:rPr>
            </w:pPr>
          </w:p>
        </w:tc>
        <w:tc>
          <w:tcPr>
            <w:tcW w:w="1129" w:type="dxa"/>
            <w:vMerge w:val="continue"/>
            <w:tcBorders>
              <w:top w:val="nil"/>
              <w:left w:val="single" w:color="auto" w:sz="8" w:space="0"/>
              <w:bottom w:val="single" w:color="000000" w:sz="8" w:space="0"/>
              <w:right w:val="single" w:color="auto" w:sz="8" w:space="0"/>
            </w:tcBorders>
            <w:vAlign w:val="center"/>
          </w:tcPr>
          <w:p w14:paraId="40F618C3">
            <w:pPr>
              <w:widowControl/>
              <w:jc w:val="left"/>
              <w:rPr>
                <w:rFonts w:hint="eastAsia" w:ascii="仿宋_GB2312" w:hAnsi="仿宋" w:eastAsia="仿宋_GB2312" w:cs="宋体"/>
                <w:color w:val="000000"/>
                <w:kern w:val="0"/>
                <w:sz w:val="24"/>
              </w:rPr>
            </w:pPr>
          </w:p>
        </w:tc>
        <w:tc>
          <w:tcPr>
            <w:tcW w:w="4022" w:type="dxa"/>
            <w:tcBorders>
              <w:top w:val="nil"/>
              <w:left w:val="nil"/>
              <w:bottom w:val="single" w:color="auto" w:sz="8" w:space="0"/>
              <w:right w:val="single" w:color="auto" w:sz="8" w:space="0"/>
            </w:tcBorders>
            <w:noWrap/>
            <w:vAlign w:val="center"/>
          </w:tcPr>
          <w:p w14:paraId="3C20BDF1">
            <w:pPr>
              <w:widowControl/>
              <w:jc w:val="left"/>
              <w:rPr>
                <w:rFonts w:hint="eastAsia" w:ascii="仿宋_GB2312" w:hAnsi="仿宋" w:eastAsia="仿宋_GB2312" w:cs="宋体"/>
                <w:color w:val="000000"/>
                <w:kern w:val="0"/>
                <w:sz w:val="24"/>
              </w:rPr>
            </w:pPr>
            <w:r>
              <w:rPr>
                <w:rFonts w:hint="eastAsia" w:ascii="仿宋_GB2312" w:hAnsi="仿宋" w:eastAsia="仿宋_GB2312" w:cs="宋体"/>
                <w:color w:val="000000"/>
                <w:kern w:val="0"/>
                <w:sz w:val="24"/>
              </w:rPr>
              <w:t>审计项目组认为存在高风险的其他情形</w:t>
            </w:r>
          </w:p>
        </w:tc>
        <w:tc>
          <w:tcPr>
            <w:tcW w:w="1559" w:type="dxa"/>
            <w:tcBorders>
              <w:top w:val="nil"/>
              <w:left w:val="nil"/>
              <w:bottom w:val="single" w:color="auto" w:sz="8" w:space="0"/>
              <w:right w:val="single" w:color="auto" w:sz="8" w:space="0"/>
            </w:tcBorders>
            <w:noWrap/>
            <w:vAlign w:val="center"/>
          </w:tcPr>
          <w:p w14:paraId="4F239CDE">
            <w:pPr>
              <w:widowControl/>
              <w:jc w:val="center"/>
              <w:rPr>
                <w:rFonts w:hint="eastAsia" w:ascii="仿宋_GB2312" w:hAnsi="仿宋" w:eastAsia="仿宋_GB2312" w:cs="宋体"/>
                <w:color w:val="000000"/>
                <w:kern w:val="0"/>
                <w:sz w:val="24"/>
              </w:rPr>
            </w:pPr>
          </w:p>
        </w:tc>
        <w:tc>
          <w:tcPr>
            <w:tcW w:w="2268" w:type="dxa"/>
            <w:tcBorders>
              <w:top w:val="nil"/>
              <w:left w:val="nil"/>
              <w:bottom w:val="single" w:color="auto" w:sz="8" w:space="0"/>
              <w:right w:val="single" w:color="auto" w:sz="8" w:space="0"/>
            </w:tcBorders>
            <w:noWrap/>
            <w:vAlign w:val="center"/>
          </w:tcPr>
          <w:p w14:paraId="2445D415">
            <w:pPr>
              <w:widowControl/>
              <w:jc w:val="left"/>
              <w:rPr>
                <w:rFonts w:hint="eastAsia" w:ascii="仿宋_GB2312" w:hAnsi="仿宋" w:eastAsia="仿宋_GB2312" w:cs="宋体"/>
                <w:color w:val="000000"/>
                <w:kern w:val="0"/>
                <w:sz w:val="24"/>
              </w:rPr>
            </w:pPr>
          </w:p>
        </w:tc>
      </w:tr>
    </w:tbl>
    <w:p w14:paraId="7E96C405">
      <w:pPr>
        <w:spacing w:before="156" w:beforeLines="50"/>
        <w:ind w:firstLine="480" w:firstLineChars="200"/>
        <w:rPr>
          <w:rFonts w:ascii="仿宋_GB2312" w:eastAsia="仿宋_GB2312"/>
          <w:sz w:val="24"/>
        </w:rPr>
      </w:pPr>
      <w:r>
        <w:rPr>
          <w:rFonts w:hint="eastAsia" w:ascii="仿宋_GB2312" w:eastAsia="仿宋_GB2312"/>
          <w:sz w:val="24"/>
        </w:rPr>
        <w:t>2、会计监管提示6号及9号九方面问题核查</w:t>
      </w:r>
    </w:p>
    <w:tbl>
      <w:tblPr>
        <w:tblStyle w:val="12"/>
        <w:tblW w:w="9796" w:type="dxa"/>
        <w:tblInd w:w="93" w:type="dxa"/>
        <w:tblLayout w:type="autofit"/>
        <w:tblCellMar>
          <w:top w:w="0" w:type="dxa"/>
          <w:left w:w="108" w:type="dxa"/>
          <w:bottom w:w="0" w:type="dxa"/>
          <w:right w:w="108" w:type="dxa"/>
        </w:tblCellMar>
      </w:tblPr>
      <w:tblGrid>
        <w:gridCol w:w="640"/>
        <w:gridCol w:w="1927"/>
        <w:gridCol w:w="2835"/>
        <w:gridCol w:w="2700"/>
        <w:gridCol w:w="1694"/>
      </w:tblGrid>
      <w:tr w14:paraId="16C33CB6">
        <w:tblPrEx>
          <w:tblCellMar>
            <w:top w:w="0" w:type="dxa"/>
            <w:left w:w="108" w:type="dxa"/>
            <w:bottom w:w="0" w:type="dxa"/>
            <w:right w:w="108" w:type="dxa"/>
          </w:tblCellMar>
        </w:tblPrEx>
        <w:trPr>
          <w:trHeight w:val="285" w:hRule="atLeast"/>
          <w:tblHeader/>
        </w:trPr>
        <w:tc>
          <w:tcPr>
            <w:tcW w:w="640" w:type="dxa"/>
            <w:tcBorders>
              <w:top w:val="single" w:color="auto" w:sz="4" w:space="0"/>
              <w:left w:val="single" w:color="auto" w:sz="4" w:space="0"/>
              <w:bottom w:val="single" w:color="auto" w:sz="4" w:space="0"/>
              <w:right w:val="single" w:color="auto" w:sz="4" w:space="0"/>
            </w:tcBorders>
            <w:noWrap/>
            <w:vAlign w:val="center"/>
          </w:tcPr>
          <w:p w14:paraId="78EAF1FE">
            <w:pPr>
              <w:widowControl/>
              <w:jc w:val="center"/>
              <w:rPr>
                <w:rFonts w:hint="eastAsia" w:ascii="仿宋_GB2312" w:hAnsi="仿宋" w:eastAsia="仿宋_GB2312" w:cs="宋体"/>
                <w:b/>
                <w:bCs/>
                <w:color w:val="000000"/>
                <w:kern w:val="0"/>
                <w:szCs w:val="21"/>
              </w:rPr>
            </w:pPr>
            <w:r>
              <w:rPr>
                <w:rFonts w:hint="eastAsia" w:ascii="仿宋_GB2312" w:hAnsi="仿宋" w:eastAsia="仿宋_GB2312" w:cs="宋体"/>
                <w:b/>
                <w:bCs/>
                <w:color w:val="000000"/>
                <w:kern w:val="0"/>
                <w:szCs w:val="21"/>
              </w:rPr>
              <w:t>序号</w:t>
            </w:r>
          </w:p>
        </w:tc>
        <w:tc>
          <w:tcPr>
            <w:tcW w:w="4762" w:type="dxa"/>
            <w:gridSpan w:val="2"/>
            <w:tcBorders>
              <w:top w:val="single" w:color="auto" w:sz="4" w:space="0"/>
              <w:left w:val="nil"/>
              <w:bottom w:val="single" w:color="auto" w:sz="4" w:space="0"/>
              <w:right w:val="single" w:color="auto" w:sz="4" w:space="0"/>
            </w:tcBorders>
            <w:noWrap/>
            <w:vAlign w:val="center"/>
          </w:tcPr>
          <w:p w14:paraId="685298FA">
            <w:pPr>
              <w:widowControl/>
              <w:jc w:val="center"/>
              <w:rPr>
                <w:rFonts w:hint="eastAsia" w:ascii="仿宋_GB2312" w:hAnsi="仿宋" w:eastAsia="仿宋_GB2312" w:cs="宋体"/>
                <w:b/>
                <w:bCs/>
                <w:color w:val="000000"/>
                <w:kern w:val="0"/>
                <w:szCs w:val="21"/>
              </w:rPr>
            </w:pPr>
            <w:r>
              <w:rPr>
                <w:rFonts w:hint="eastAsia" w:ascii="仿宋_GB2312" w:hAnsi="仿宋" w:eastAsia="仿宋_GB2312" w:cs="宋体"/>
                <w:b/>
                <w:bCs/>
                <w:color w:val="000000"/>
                <w:kern w:val="0"/>
                <w:szCs w:val="21"/>
              </w:rPr>
              <w:t>核查事项</w:t>
            </w:r>
          </w:p>
        </w:tc>
        <w:tc>
          <w:tcPr>
            <w:tcW w:w="2700" w:type="dxa"/>
            <w:tcBorders>
              <w:top w:val="single" w:color="auto" w:sz="4" w:space="0"/>
              <w:left w:val="nil"/>
              <w:bottom w:val="single" w:color="auto" w:sz="4" w:space="0"/>
              <w:right w:val="single" w:color="auto" w:sz="4" w:space="0"/>
            </w:tcBorders>
            <w:vAlign w:val="center"/>
          </w:tcPr>
          <w:p w14:paraId="43C3AAD4">
            <w:pPr>
              <w:widowControl/>
              <w:jc w:val="center"/>
              <w:rPr>
                <w:rFonts w:hint="eastAsia" w:ascii="仿宋_GB2312" w:hAnsi="仿宋" w:eastAsia="仿宋_GB2312" w:cs="宋体"/>
                <w:b/>
                <w:bCs/>
                <w:color w:val="000000"/>
                <w:kern w:val="0"/>
                <w:szCs w:val="21"/>
              </w:rPr>
            </w:pPr>
            <w:r>
              <w:rPr>
                <w:rFonts w:hint="eastAsia" w:ascii="仿宋_GB2312" w:hAnsi="仿宋" w:eastAsia="仿宋_GB2312" w:cs="宋体"/>
                <w:b/>
                <w:bCs/>
                <w:color w:val="000000"/>
                <w:kern w:val="0"/>
                <w:szCs w:val="21"/>
              </w:rPr>
              <w:t>主要核查程序</w:t>
            </w:r>
            <w:r>
              <w:rPr>
                <w:rFonts w:ascii="Arial Narrow" w:hAnsi="Arial Narrow" w:eastAsia="仿宋_GB2312" w:cs="宋体"/>
                <w:b/>
                <w:bCs/>
                <w:color w:val="000000"/>
                <w:kern w:val="0"/>
                <w:szCs w:val="21"/>
              </w:rPr>
              <w:t>/</w:t>
            </w:r>
            <w:r>
              <w:rPr>
                <w:rFonts w:hint="eastAsia" w:ascii="仿宋_GB2312" w:hAnsi="仿宋" w:eastAsia="仿宋_GB2312" w:cs="宋体"/>
                <w:b/>
                <w:bCs/>
                <w:color w:val="000000"/>
                <w:kern w:val="0"/>
                <w:szCs w:val="21"/>
              </w:rPr>
              <w:t>情况</w:t>
            </w:r>
          </w:p>
        </w:tc>
        <w:tc>
          <w:tcPr>
            <w:tcW w:w="1694" w:type="dxa"/>
            <w:tcBorders>
              <w:top w:val="single" w:color="auto" w:sz="4" w:space="0"/>
              <w:left w:val="nil"/>
              <w:bottom w:val="single" w:color="auto" w:sz="4" w:space="0"/>
              <w:right w:val="single" w:color="auto" w:sz="4" w:space="0"/>
            </w:tcBorders>
            <w:vAlign w:val="center"/>
          </w:tcPr>
          <w:p w14:paraId="447D5218">
            <w:pPr>
              <w:widowControl/>
              <w:jc w:val="center"/>
              <w:rPr>
                <w:rFonts w:hint="eastAsia" w:ascii="仿宋_GB2312" w:hAnsi="仿宋" w:eastAsia="仿宋_GB2312" w:cs="宋体"/>
                <w:b/>
                <w:bCs/>
                <w:color w:val="000000"/>
                <w:kern w:val="0"/>
                <w:szCs w:val="21"/>
              </w:rPr>
            </w:pPr>
            <w:r>
              <w:rPr>
                <w:rFonts w:hint="eastAsia" w:ascii="仿宋_GB2312" w:hAnsi="仿宋" w:eastAsia="仿宋_GB2312" w:cs="宋体"/>
                <w:b/>
                <w:bCs/>
                <w:color w:val="000000"/>
                <w:kern w:val="0"/>
                <w:szCs w:val="21"/>
              </w:rPr>
              <w:t>核查结论</w:t>
            </w:r>
          </w:p>
        </w:tc>
      </w:tr>
      <w:tr w14:paraId="668F8263">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5AFCCB5C">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1</w:t>
            </w:r>
          </w:p>
        </w:tc>
        <w:tc>
          <w:tcPr>
            <w:tcW w:w="1927" w:type="dxa"/>
            <w:vMerge w:val="restart"/>
            <w:tcBorders>
              <w:top w:val="nil"/>
              <w:left w:val="single" w:color="auto" w:sz="4" w:space="0"/>
              <w:bottom w:val="single" w:color="auto" w:sz="4" w:space="0"/>
              <w:right w:val="single" w:color="auto" w:sz="4" w:space="0"/>
            </w:tcBorders>
            <w:noWrap/>
            <w:vAlign w:val="center"/>
          </w:tcPr>
          <w:p w14:paraId="2F127FEF">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审计项目质量控制</w:t>
            </w:r>
          </w:p>
        </w:tc>
        <w:tc>
          <w:tcPr>
            <w:tcW w:w="2835" w:type="dxa"/>
            <w:tcBorders>
              <w:top w:val="nil"/>
              <w:left w:val="nil"/>
              <w:bottom w:val="single" w:color="auto" w:sz="4" w:space="0"/>
              <w:right w:val="single" w:color="auto" w:sz="4" w:space="0"/>
            </w:tcBorders>
            <w:noWrap/>
            <w:vAlign w:val="center"/>
          </w:tcPr>
          <w:p w14:paraId="73C2C2CC">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承接评价与业务分类</w:t>
            </w:r>
          </w:p>
        </w:tc>
        <w:tc>
          <w:tcPr>
            <w:tcW w:w="2700" w:type="dxa"/>
            <w:tcBorders>
              <w:top w:val="nil"/>
              <w:left w:val="nil"/>
              <w:bottom w:val="single" w:color="auto" w:sz="4" w:space="0"/>
              <w:right w:val="single" w:color="auto" w:sz="4" w:space="0"/>
            </w:tcBorders>
            <w:noWrap/>
            <w:vAlign w:val="center"/>
          </w:tcPr>
          <w:p w14:paraId="11B7F72F">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9928F47">
            <w:pPr>
              <w:widowControl/>
              <w:jc w:val="left"/>
              <w:rPr>
                <w:rFonts w:hint="eastAsia" w:ascii="仿宋_GB2312" w:hAnsi="仿宋" w:eastAsia="仿宋_GB2312" w:cs="宋体"/>
                <w:color w:val="000000"/>
                <w:kern w:val="0"/>
                <w:szCs w:val="21"/>
              </w:rPr>
            </w:pPr>
          </w:p>
        </w:tc>
      </w:tr>
      <w:tr w14:paraId="49B88CAC">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2A8A09E0">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0CA99E29">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62253ED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前后任沟通</w:t>
            </w:r>
          </w:p>
        </w:tc>
        <w:tc>
          <w:tcPr>
            <w:tcW w:w="2700" w:type="dxa"/>
            <w:tcBorders>
              <w:top w:val="nil"/>
              <w:left w:val="nil"/>
              <w:bottom w:val="single" w:color="auto" w:sz="4" w:space="0"/>
              <w:right w:val="single" w:color="auto" w:sz="4" w:space="0"/>
            </w:tcBorders>
            <w:noWrap/>
            <w:vAlign w:val="center"/>
          </w:tcPr>
          <w:p w14:paraId="49E7D368">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DA623CE">
            <w:pPr>
              <w:widowControl/>
              <w:jc w:val="left"/>
              <w:rPr>
                <w:rFonts w:hint="eastAsia" w:ascii="仿宋_GB2312" w:hAnsi="仿宋" w:eastAsia="仿宋_GB2312" w:cs="宋体"/>
                <w:color w:val="000000"/>
                <w:kern w:val="0"/>
                <w:szCs w:val="21"/>
              </w:rPr>
            </w:pPr>
          </w:p>
        </w:tc>
      </w:tr>
      <w:tr w14:paraId="2AD212EB">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47F97F78">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499C0864">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01FAD074">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项目质量控制复核</w:t>
            </w:r>
          </w:p>
        </w:tc>
        <w:tc>
          <w:tcPr>
            <w:tcW w:w="2700" w:type="dxa"/>
            <w:tcBorders>
              <w:top w:val="nil"/>
              <w:left w:val="nil"/>
              <w:bottom w:val="single" w:color="auto" w:sz="4" w:space="0"/>
              <w:right w:val="single" w:color="auto" w:sz="4" w:space="0"/>
            </w:tcBorders>
            <w:noWrap/>
            <w:vAlign w:val="center"/>
          </w:tcPr>
          <w:p w14:paraId="0E1BA9BE">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64B88F5">
            <w:pPr>
              <w:widowControl/>
              <w:jc w:val="left"/>
              <w:rPr>
                <w:rFonts w:hint="eastAsia" w:ascii="仿宋_GB2312" w:hAnsi="仿宋" w:eastAsia="仿宋_GB2312" w:cs="宋体"/>
                <w:color w:val="000000"/>
                <w:kern w:val="0"/>
                <w:szCs w:val="21"/>
              </w:rPr>
            </w:pPr>
          </w:p>
        </w:tc>
      </w:tr>
      <w:tr w14:paraId="2CF3EAF6">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582C9B22">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2</w:t>
            </w:r>
          </w:p>
        </w:tc>
        <w:tc>
          <w:tcPr>
            <w:tcW w:w="1927" w:type="dxa"/>
            <w:vMerge w:val="restart"/>
            <w:tcBorders>
              <w:top w:val="nil"/>
              <w:left w:val="single" w:color="auto" w:sz="4" w:space="0"/>
              <w:bottom w:val="single" w:color="auto" w:sz="4" w:space="0"/>
              <w:right w:val="single" w:color="auto" w:sz="4" w:space="0"/>
            </w:tcBorders>
            <w:vAlign w:val="center"/>
          </w:tcPr>
          <w:p w14:paraId="4248586B">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通过了解被审计单位及其环境识别和评估重大错报风险</w:t>
            </w:r>
          </w:p>
        </w:tc>
        <w:tc>
          <w:tcPr>
            <w:tcW w:w="2835" w:type="dxa"/>
            <w:tcBorders>
              <w:top w:val="nil"/>
              <w:left w:val="nil"/>
              <w:bottom w:val="single" w:color="auto" w:sz="4" w:space="0"/>
              <w:right w:val="single" w:color="auto" w:sz="4" w:space="0"/>
            </w:tcBorders>
            <w:noWrap/>
            <w:vAlign w:val="center"/>
          </w:tcPr>
          <w:p w14:paraId="6C74DE6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风险评估（五个方面）</w:t>
            </w:r>
          </w:p>
        </w:tc>
        <w:tc>
          <w:tcPr>
            <w:tcW w:w="2700" w:type="dxa"/>
            <w:tcBorders>
              <w:top w:val="nil"/>
              <w:left w:val="nil"/>
              <w:bottom w:val="single" w:color="auto" w:sz="4" w:space="0"/>
              <w:right w:val="single" w:color="auto" w:sz="4" w:space="0"/>
            </w:tcBorders>
            <w:noWrap/>
            <w:vAlign w:val="center"/>
          </w:tcPr>
          <w:p w14:paraId="5A842373">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1A50E87E">
            <w:pPr>
              <w:widowControl/>
              <w:jc w:val="left"/>
              <w:rPr>
                <w:rFonts w:hint="eastAsia" w:ascii="仿宋_GB2312" w:hAnsi="仿宋" w:eastAsia="仿宋_GB2312" w:cs="宋体"/>
                <w:color w:val="000000"/>
                <w:kern w:val="0"/>
                <w:szCs w:val="21"/>
              </w:rPr>
            </w:pPr>
          </w:p>
        </w:tc>
      </w:tr>
      <w:tr w14:paraId="2182BF94">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2489BA42">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52BB361D">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7317E2F4">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管理层凌驾内控之上的风险</w:t>
            </w:r>
          </w:p>
        </w:tc>
        <w:tc>
          <w:tcPr>
            <w:tcW w:w="2700" w:type="dxa"/>
            <w:tcBorders>
              <w:top w:val="nil"/>
              <w:left w:val="nil"/>
              <w:bottom w:val="single" w:color="auto" w:sz="4" w:space="0"/>
              <w:right w:val="single" w:color="auto" w:sz="4" w:space="0"/>
            </w:tcBorders>
            <w:noWrap/>
            <w:vAlign w:val="center"/>
          </w:tcPr>
          <w:p w14:paraId="766AA479">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74349D48">
            <w:pPr>
              <w:widowControl/>
              <w:jc w:val="left"/>
              <w:rPr>
                <w:rFonts w:hint="eastAsia" w:ascii="仿宋_GB2312" w:hAnsi="仿宋" w:eastAsia="仿宋_GB2312" w:cs="宋体"/>
                <w:color w:val="000000"/>
                <w:kern w:val="0"/>
                <w:szCs w:val="21"/>
              </w:rPr>
            </w:pPr>
          </w:p>
        </w:tc>
      </w:tr>
      <w:tr w14:paraId="38D85293">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2FFC6450">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3</w:t>
            </w:r>
          </w:p>
        </w:tc>
        <w:tc>
          <w:tcPr>
            <w:tcW w:w="1927" w:type="dxa"/>
            <w:vMerge w:val="restart"/>
            <w:tcBorders>
              <w:top w:val="nil"/>
              <w:left w:val="single" w:color="auto" w:sz="4" w:space="0"/>
              <w:bottom w:val="single" w:color="auto" w:sz="4" w:space="0"/>
              <w:right w:val="single" w:color="auto" w:sz="4" w:space="0"/>
            </w:tcBorders>
            <w:noWrap/>
            <w:vAlign w:val="center"/>
          </w:tcPr>
          <w:p w14:paraId="00A118D9">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持续经营</w:t>
            </w:r>
          </w:p>
        </w:tc>
        <w:tc>
          <w:tcPr>
            <w:tcW w:w="2835" w:type="dxa"/>
            <w:tcBorders>
              <w:top w:val="nil"/>
              <w:left w:val="nil"/>
              <w:bottom w:val="single" w:color="auto" w:sz="4" w:space="0"/>
              <w:right w:val="single" w:color="auto" w:sz="4" w:space="0"/>
            </w:tcBorders>
            <w:noWrap/>
            <w:vAlign w:val="center"/>
          </w:tcPr>
          <w:p w14:paraId="3F42F0C2">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评价管理层对持续经营能力的评估</w:t>
            </w:r>
          </w:p>
        </w:tc>
        <w:tc>
          <w:tcPr>
            <w:tcW w:w="2700" w:type="dxa"/>
            <w:tcBorders>
              <w:top w:val="nil"/>
              <w:left w:val="nil"/>
              <w:bottom w:val="single" w:color="auto" w:sz="4" w:space="0"/>
              <w:right w:val="single" w:color="auto" w:sz="4" w:space="0"/>
            </w:tcBorders>
            <w:noWrap/>
            <w:vAlign w:val="center"/>
          </w:tcPr>
          <w:p w14:paraId="061B179A">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86514B5">
            <w:pPr>
              <w:widowControl/>
              <w:jc w:val="left"/>
              <w:rPr>
                <w:rFonts w:hint="eastAsia" w:ascii="仿宋_GB2312" w:hAnsi="仿宋" w:eastAsia="仿宋_GB2312" w:cs="宋体"/>
                <w:color w:val="000000"/>
                <w:kern w:val="0"/>
                <w:szCs w:val="21"/>
              </w:rPr>
            </w:pPr>
          </w:p>
        </w:tc>
      </w:tr>
      <w:tr w14:paraId="29A6B757">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5DE49DAE">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2681F29B">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6244E857">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对持续经营能力产生重大疑虑的事项或情况的核查</w:t>
            </w:r>
          </w:p>
        </w:tc>
        <w:tc>
          <w:tcPr>
            <w:tcW w:w="2700" w:type="dxa"/>
            <w:tcBorders>
              <w:top w:val="nil"/>
              <w:left w:val="nil"/>
              <w:bottom w:val="single" w:color="auto" w:sz="4" w:space="0"/>
              <w:right w:val="single" w:color="auto" w:sz="4" w:space="0"/>
            </w:tcBorders>
            <w:noWrap/>
            <w:vAlign w:val="center"/>
          </w:tcPr>
          <w:p w14:paraId="08924F1D">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6FF1C886">
            <w:pPr>
              <w:widowControl/>
              <w:jc w:val="left"/>
              <w:rPr>
                <w:rFonts w:hint="eastAsia" w:ascii="仿宋_GB2312" w:hAnsi="仿宋" w:eastAsia="仿宋_GB2312" w:cs="宋体"/>
                <w:color w:val="000000"/>
                <w:kern w:val="0"/>
                <w:szCs w:val="21"/>
              </w:rPr>
            </w:pPr>
          </w:p>
        </w:tc>
      </w:tr>
      <w:tr w14:paraId="2463D1CB">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7BD4456A">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1977F849">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2A7CB6E7">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管理层实施应对计划的意图和能力</w:t>
            </w:r>
          </w:p>
        </w:tc>
        <w:tc>
          <w:tcPr>
            <w:tcW w:w="2700" w:type="dxa"/>
            <w:tcBorders>
              <w:top w:val="nil"/>
              <w:left w:val="nil"/>
              <w:bottom w:val="single" w:color="auto" w:sz="4" w:space="0"/>
              <w:right w:val="single" w:color="auto" w:sz="4" w:space="0"/>
            </w:tcBorders>
            <w:noWrap/>
            <w:vAlign w:val="center"/>
          </w:tcPr>
          <w:p w14:paraId="0D81801B">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3C1C4A86">
            <w:pPr>
              <w:widowControl/>
              <w:jc w:val="left"/>
              <w:rPr>
                <w:rFonts w:hint="eastAsia" w:ascii="仿宋_GB2312" w:hAnsi="仿宋" w:eastAsia="仿宋_GB2312" w:cs="宋体"/>
                <w:color w:val="000000"/>
                <w:kern w:val="0"/>
                <w:szCs w:val="21"/>
              </w:rPr>
            </w:pPr>
          </w:p>
        </w:tc>
      </w:tr>
      <w:tr w14:paraId="507837DC">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24742DCB">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4</w:t>
            </w:r>
          </w:p>
        </w:tc>
        <w:tc>
          <w:tcPr>
            <w:tcW w:w="1927" w:type="dxa"/>
            <w:vMerge w:val="restart"/>
            <w:tcBorders>
              <w:top w:val="nil"/>
              <w:left w:val="single" w:color="auto" w:sz="4" w:space="0"/>
              <w:bottom w:val="single" w:color="auto" w:sz="4" w:space="0"/>
              <w:right w:val="single" w:color="auto" w:sz="4" w:space="0"/>
            </w:tcBorders>
            <w:noWrap/>
            <w:vAlign w:val="center"/>
          </w:tcPr>
          <w:p w14:paraId="180D7E72">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收入确认</w:t>
            </w:r>
          </w:p>
        </w:tc>
        <w:tc>
          <w:tcPr>
            <w:tcW w:w="2835" w:type="dxa"/>
            <w:tcBorders>
              <w:top w:val="nil"/>
              <w:left w:val="nil"/>
              <w:bottom w:val="single" w:color="auto" w:sz="4" w:space="0"/>
              <w:right w:val="single" w:color="auto" w:sz="4" w:space="0"/>
            </w:tcBorders>
            <w:noWrap/>
            <w:vAlign w:val="center"/>
          </w:tcPr>
          <w:p w14:paraId="58B889A5">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收入舞弊</w:t>
            </w:r>
          </w:p>
        </w:tc>
        <w:tc>
          <w:tcPr>
            <w:tcW w:w="2700" w:type="dxa"/>
            <w:tcBorders>
              <w:top w:val="nil"/>
              <w:left w:val="nil"/>
              <w:bottom w:val="single" w:color="auto" w:sz="4" w:space="0"/>
              <w:right w:val="single" w:color="auto" w:sz="4" w:space="0"/>
            </w:tcBorders>
            <w:noWrap/>
            <w:vAlign w:val="center"/>
          </w:tcPr>
          <w:p w14:paraId="3A855B8E">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9161D8B">
            <w:pPr>
              <w:widowControl/>
              <w:jc w:val="left"/>
              <w:rPr>
                <w:rFonts w:hint="eastAsia" w:ascii="仿宋_GB2312" w:hAnsi="仿宋" w:eastAsia="仿宋_GB2312" w:cs="宋体"/>
                <w:color w:val="000000"/>
                <w:kern w:val="0"/>
                <w:szCs w:val="21"/>
              </w:rPr>
            </w:pPr>
          </w:p>
        </w:tc>
      </w:tr>
      <w:tr w14:paraId="59C590B9">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2F03CF03">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402962A2">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0EB9B1B4">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收入与财务数据之间逻辑关系</w:t>
            </w:r>
          </w:p>
        </w:tc>
        <w:tc>
          <w:tcPr>
            <w:tcW w:w="2700" w:type="dxa"/>
            <w:tcBorders>
              <w:top w:val="nil"/>
              <w:left w:val="nil"/>
              <w:bottom w:val="single" w:color="auto" w:sz="4" w:space="0"/>
              <w:right w:val="single" w:color="auto" w:sz="4" w:space="0"/>
            </w:tcBorders>
            <w:noWrap/>
            <w:vAlign w:val="center"/>
          </w:tcPr>
          <w:p w14:paraId="04E2F97F">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128A2BF8">
            <w:pPr>
              <w:widowControl/>
              <w:jc w:val="left"/>
              <w:rPr>
                <w:rFonts w:hint="eastAsia" w:ascii="仿宋_GB2312" w:hAnsi="仿宋" w:eastAsia="仿宋_GB2312" w:cs="宋体"/>
                <w:color w:val="000000"/>
                <w:kern w:val="0"/>
                <w:szCs w:val="21"/>
              </w:rPr>
            </w:pPr>
          </w:p>
        </w:tc>
      </w:tr>
      <w:tr w14:paraId="49FABC0D">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0B4DFBED">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49C66A18">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5BE100FF">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同行业经营业务情况比较</w:t>
            </w:r>
          </w:p>
        </w:tc>
        <w:tc>
          <w:tcPr>
            <w:tcW w:w="2700" w:type="dxa"/>
            <w:tcBorders>
              <w:top w:val="nil"/>
              <w:left w:val="nil"/>
              <w:bottom w:val="single" w:color="auto" w:sz="4" w:space="0"/>
              <w:right w:val="single" w:color="auto" w:sz="4" w:space="0"/>
            </w:tcBorders>
            <w:noWrap/>
            <w:vAlign w:val="center"/>
          </w:tcPr>
          <w:p w14:paraId="61F00E27">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15BCE00">
            <w:pPr>
              <w:widowControl/>
              <w:jc w:val="left"/>
              <w:rPr>
                <w:rFonts w:hint="eastAsia" w:ascii="仿宋_GB2312" w:hAnsi="仿宋" w:eastAsia="仿宋_GB2312" w:cs="宋体"/>
                <w:color w:val="000000"/>
                <w:kern w:val="0"/>
                <w:szCs w:val="21"/>
              </w:rPr>
            </w:pPr>
          </w:p>
        </w:tc>
      </w:tr>
      <w:tr w14:paraId="21163D6C">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330D27B3">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5</w:t>
            </w:r>
          </w:p>
        </w:tc>
        <w:tc>
          <w:tcPr>
            <w:tcW w:w="1927" w:type="dxa"/>
            <w:vMerge w:val="restart"/>
            <w:tcBorders>
              <w:top w:val="nil"/>
              <w:left w:val="single" w:color="auto" w:sz="4" w:space="0"/>
              <w:bottom w:val="single" w:color="auto" w:sz="4" w:space="0"/>
              <w:right w:val="single" w:color="auto" w:sz="4" w:space="0"/>
            </w:tcBorders>
            <w:noWrap/>
            <w:vAlign w:val="center"/>
          </w:tcPr>
          <w:p w14:paraId="1AB8C3DD">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关联方认定及其交易</w:t>
            </w:r>
          </w:p>
        </w:tc>
        <w:tc>
          <w:tcPr>
            <w:tcW w:w="2835" w:type="dxa"/>
            <w:tcBorders>
              <w:top w:val="nil"/>
              <w:left w:val="nil"/>
              <w:bottom w:val="single" w:color="auto" w:sz="4" w:space="0"/>
              <w:right w:val="single" w:color="auto" w:sz="4" w:space="0"/>
            </w:tcBorders>
            <w:noWrap/>
            <w:vAlign w:val="center"/>
          </w:tcPr>
          <w:p w14:paraId="3D3EB3DA">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关联方及关联交易完整性</w:t>
            </w:r>
          </w:p>
        </w:tc>
        <w:tc>
          <w:tcPr>
            <w:tcW w:w="2700" w:type="dxa"/>
            <w:tcBorders>
              <w:top w:val="nil"/>
              <w:left w:val="nil"/>
              <w:bottom w:val="single" w:color="auto" w:sz="4" w:space="0"/>
              <w:right w:val="single" w:color="auto" w:sz="4" w:space="0"/>
            </w:tcBorders>
            <w:noWrap/>
            <w:vAlign w:val="center"/>
          </w:tcPr>
          <w:p w14:paraId="29867F60">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7D13CCD">
            <w:pPr>
              <w:widowControl/>
              <w:jc w:val="left"/>
              <w:rPr>
                <w:rFonts w:hint="eastAsia" w:ascii="仿宋_GB2312" w:hAnsi="仿宋" w:eastAsia="仿宋_GB2312" w:cs="宋体"/>
                <w:color w:val="000000"/>
                <w:kern w:val="0"/>
                <w:szCs w:val="21"/>
              </w:rPr>
            </w:pPr>
          </w:p>
        </w:tc>
      </w:tr>
      <w:tr w14:paraId="49365AA8">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6D3F0D82">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26F613B0">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495E0A4C">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关联交易商业实质</w:t>
            </w:r>
          </w:p>
        </w:tc>
        <w:tc>
          <w:tcPr>
            <w:tcW w:w="2700" w:type="dxa"/>
            <w:tcBorders>
              <w:top w:val="nil"/>
              <w:left w:val="nil"/>
              <w:bottom w:val="single" w:color="auto" w:sz="4" w:space="0"/>
              <w:right w:val="single" w:color="auto" w:sz="4" w:space="0"/>
            </w:tcBorders>
            <w:noWrap/>
            <w:vAlign w:val="center"/>
          </w:tcPr>
          <w:p w14:paraId="37BDEAC3">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0BE41CED">
            <w:pPr>
              <w:widowControl/>
              <w:jc w:val="left"/>
              <w:rPr>
                <w:rFonts w:hint="eastAsia" w:ascii="仿宋_GB2312" w:hAnsi="仿宋" w:eastAsia="仿宋_GB2312" w:cs="宋体"/>
                <w:color w:val="000000"/>
                <w:kern w:val="0"/>
                <w:szCs w:val="21"/>
              </w:rPr>
            </w:pPr>
          </w:p>
        </w:tc>
      </w:tr>
      <w:tr w14:paraId="2BC3DF39">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4540BF77">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5FFE094D">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2FB7BD58">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超过正常经营的关联交易</w:t>
            </w:r>
          </w:p>
        </w:tc>
        <w:tc>
          <w:tcPr>
            <w:tcW w:w="2700" w:type="dxa"/>
            <w:tcBorders>
              <w:top w:val="nil"/>
              <w:left w:val="nil"/>
              <w:bottom w:val="single" w:color="auto" w:sz="4" w:space="0"/>
              <w:right w:val="single" w:color="auto" w:sz="4" w:space="0"/>
            </w:tcBorders>
            <w:noWrap/>
            <w:vAlign w:val="center"/>
          </w:tcPr>
          <w:p w14:paraId="36E7A1CD">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6F36FE3A">
            <w:pPr>
              <w:widowControl/>
              <w:jc w:val="left"/>
              <w:rPr>
                <w:rFonts w:hint="eastAsia" w:ascii="仿宋_GB2312" w:hAnsi="仿宋" w:eastAsia="仿宋_GB2312" w:cs="宋体"/>
                <w:color w:val="000000"/>
                <w:kern w:val="0"/>
                <w:szCs w:val="21"/>
              </w:rPr>
            </w:pPr>
          </w:p>
        </w:tc>
      </w:tr>
      <w:tr w14:paraId="144B0C35">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145753C5">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6</w:t>
            </w:r>
          </w:p>
        </w:tc>
        <w:tc>
          <w:tcPr>
            <w:tcW w:w="1927" w:type="dxa"/>
            <w:vMerge w:val="restart"/>
            <w:tcBorders>
              <w:top w:val="nil"/>
              <w:left w:val="single" w:color="auto" w:sz="4" w:space="0"/>
              <w:bottom w:val="single" w:color="auto" w:sz="4" w:space="0"/>
              <w:right w:val="single" w:color="auto" w:sz="4" w:space="0"/>
            </w:tcBorders>
            <w:noWrap/>
            <w:vAlign w:val="center"/>
          </w:tcPr>
          <w:p w14:paraId="753559AC">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货币资金</w:t>
            </w:r>
          </w:p>
        </w:tc>
        <w:tc>
          <w:tcPr>
            <w:tcW w:w="2835" w:type="dxa"/>
            <w:tcBorders>
              <w:top w:val="nil"/>
              <w:left w:val="nil"/>
              <w:bottom w:val="single" w:color="auto" w:sz="4" w:space="0"/>
              <w:right w:val="single" w:color="auto" w:sz="4" w:space="0"/>
            </w:tcBorders>
            <w:noWrap/>
            <w:vAlign w:val="center"/>
          </w:tcPr>
          <w:p w14:paraId="1ABE02AA">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货币资金分析程序</w:t>
            </w:r>
          </w:p>
        </w:tc>
        <w:tc>
          <w:tcPr>
            <w:tcW w:w="2700" w:type="dxa"/>
            <w:tcBorders>
              <w:top w:val="nil"/>
              <w:left w:val="nil"/>
              <w:bottom w:val="single" w:color="auto" w:sz="4" w:space="0"/>
              <w:right w:val="single" w:color="auto" w:sz="4" w:space="0"/>
            </w:tcBorders>
            <w:noWrap/>
            <w:vAlign w:val="center"/>
          </w:tcPr>
          <w:p w14:paraId="0678EBE2">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67FDF273">
            <w:pPr>
              <w:widowControl/>
              <w:jc w:val="left"/>
              <w:rPr>
                <w:rFonts w:hint="eastAsia" w:ascii="仿宋_GB2312" w:hAnsi="仿宋" w:eastAsia="仿宋_GB2312" w:cs="宋体"/>
                <w:color w:val="000000"/>
                <w:kern w:val="0"/>
                <w:szCs w:val="21"/>
              </w:rPr>
            </w:pPr>
          </w:p>
        </w:tc>
      </w:tr>
      <w:tr w14:paraId="118A78A1">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noWrap/>
            <w:vAlign w:val="center"/>
          </w:tcPr>
          <w:p w14:paraId="1E200C59">
            <w:pPr>
              <w:widowControl/>
              <w:jc w:val="center"/>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noWrap/>
            <w:vAlign w:val="center"/>
          </w:tcPr>
          <w:p w14:paraId="4E86638F">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14A64BC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函证范围</w:t>
            </w:r>
          </w:p>
        </w:tc>
        <w:tc>
          <w:tcPr>
            <w:tcW w:w="2700" w:type="dxa"/>
            <w:tcBorders>
              <w:top w:val="nil"/>
              <w:left w:val="nil"/>
              <w:bottom w:val="single" w:color="auto" w:sz="4" w:space="0"/>
              <w:right w:val="single" w:color="auto" w:sz="4" w:space="0"/>
            </w:tcBorders>
            <w:noWrap/>
            <w:vAlign w:val="center"/>
          </w:tcPr>
          <w:p w14:paraId="4AB4E6AE">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19028A90">
            <w:pPr>
              <w:widowControl/>
              <w:jc w:val="left"/>
              <w:rPr>
                <w:rFonts w:hint="eastAsia" w:ascii="仿宋_GB2312" w:hAnsi="仿宋" w:eastAsia="仿宋_GB2312" w:cs="宋体"/>
                <w:color w:val="000000"/>
                <w:kern w:val="0"/>
                <w:szCs w:val="21"/>
              </w:rPr>
            </w:pPr>
          </w:p>
        </w:tc>
      </w:tr>
      <w:tr w14:paraId="54D6EF56">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08426274">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75C7A4D3">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070B24B2">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函证控制情况</w:t>
            </w:r>
          </w:p>
        </w:tc>
        <w:tc>
          <w:tcPr>
            <w:tcW w:w="2700" w:type="dxa"/>
            <w:tcBorders>
              <w:top w:val="nil"/>
              <w:left w:val="nil"/>
              <w:bottom w:val="single" w:color="auto" w:sz="4" w:space="0"/>
              <w:right w:val="single" w:color="auto" w:sz="4" w:space="0"/>
            </w:tcBorders>
            <w:noWrap/>
            <w:vAlign w:val="center"/>
          </w:tcPr>
          <w:p w14:paraId="518B85D2">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7099BC3A">
            <w:pPr>
              <w:widowControl/>
              <w:jc w:val="left"/>
              <w:rPr>
                <w:rFonts w:hint="eastAsia" w:ascii="仿宋_GB2312" w:hAnsi="仿宋" w:eastAsia="仿宋_GB2312" w:cs="宋体"/>
                <w:color w:val="000000"/>
                <w:kern w:val="0"/>
                <w:szCs w:val="21"/>
              </w:rPr>
            </w:pPr>
          </w:p>
        </w:tc>
      </w:tr>
      <w:tr w14:paraId="5B4B4A55">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54A8903B">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61B2070A">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05C50226">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银行流水</w:t>
            </w:r>
          </w:p>
        </w:tc>
        <w:tc>
          <w:tcPr>
            <w:tcW w:w="2700" w:type="dxa"/>
            <w:tcBorders>
              <w:top w:val="nil"/>
              <w:left w:val="nil"/>
              <w:bottom w:val="single" w:color="auto" w:sz="4" w:space="0"/>
              <w:right w:val="single" w:color="auto" w:sz="4" w:space="0"/>
            </w:tcBorders>
            <w:noWrap/>
            <w:vAlign w:val="center"/>
          </w:tcPr>
          <w:p w14:paraId="71F0146A">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24C1195">
            <w:pPr>
              <w:widowControl/>
              <w:jc w:val="left"/>
              <w:rPr>
                <w:rFonts w:hint="eastAsia" w:ascii="仿宋_GB2312" w:hAnsi="仿宋" w:eastAsia="仿宋_GB2312" w:cs="宋体"/>
                <w:color w:val="000000"/>
                <w:kern w:val="0"/>
                <w:szCs w:val="21"/>
              </w:rPr>
            </w:pPr>
          </w:p>
        </w:tc>
      </w:tr>
      <w:tr w14:paraId="7A3E1860">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726F8A79">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3C203DDE">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3BF2358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原始凭证原件</w:t>
            </w:r>
          </w:p>
        </w:tc>
        <w:tc>
          <w:tcPr>
            <w:tcW w:w="2700" w:type="dxa"/>
            <w:tcBorders>
              <w:top w:val="nil"/>
              <w:left w:val="nil"/>
              <w:bottom w:val="single" w:color="auto" w:sz="4" w:space="0"/>
              <w:right w:val="single" w:color="auto" w:sz="4" w:space="0"/>
            </w:tcBorders>
            <w:noWrap/>
            <w:vAlign w:val="center"/>
          </w:tcPr>
          <w:p w14:paraId="55FB771F">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B15B143">
            <w:pPr>
              <w:widowControl/>
              <w:jc w:val="left"/>
              <w:rPr>
                <w:rFonts w:hint="eastAsia" w:ascii="仿宋_GB2312" w:hAnsi="仿宋" w:eastAsia="仿宋_GB2312" w:cs="宋体"/>
                <w:color w:val="000000"/>
                <w:kern w:val="0"/>
                <w:szCs w:val="21"/>
              </w:rPr>
            </w:pPr>
          </w:p>
        </w:tc>
      </w:tr>
      <w:tr w14:paraId="3B8D99FB">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3B3A0E31">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3D3F3642">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3D114E4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账务完整性</w:t>
            </w:r>
          </w:p>
        </w:tc>
        <w:tc>
          <w:tcPr>
            <w:tcW w:w="2700" w:type="dxa"/>
            <w:tcBorders>
              <w:top w:val="nil"/>
              <w:left w:val="nil"/>
              <w:bottom w:val="single" w:color="auto" w:sz="4" w:space="0"/>
              <w:right w:val="single" w:color="auto" w:sz="4" w:space="0"/>
            </w:tcBorders>
            <w:noWrap/>
            <w:vAlign w:val="center"/>
          </w:tcPr>
          <w:p w14:paraId="5BF3EA01">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376512C3">
            <w:pPr>
              <w:widowControl/>
              <w:jc w:val="left"/>
              <w:rPr>
                <w:rFonts w:hint="eastAsia" w:ascii="仿宋_GB2312" w:hAnsi="仿宋" w:eastAsia="仿宋_GB2312" w:cs="宋体"/>
                <w:color w:val="000000"/>
                <w:kern w:val="0"/>
                <w:szCs w:val="21"/>
              </w:rPr>
            </w:pPr>
          </w:p>
        </w:tc>
      </w:tr>
      <w:tr w14:paraId="4B728F8C">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4259158A">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6E9C236D">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7707F3B2">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定期存款与利息收入勾稽关系</w:t>
            </w:r>
          </w:p>
        </w:tc>
        <w:tc>
          <w:tcPr>
            <w:tcW w:w="2700" w:type="dxa"/>
            <w:tcBorders>
              <w:top w:val="nil"/>
              <w:left w:val="nil"/>
              <w:bottom w:val="single" w:color="auto" w:sz="4" w:space="0"/>
              <w:right w:val="single" w:color="auto" w:sz="4" w:space="0"/>
            </w:tcBorders>
            <w:noWrap/>
            <w:vAlign w:val="center"/>
          </w:tcPr>
          <w:p w14:paraId="071CF179">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7C686188">
            <w:pPr>
              <w:widowControl/>
              <w:jc w:val="left"/>
              <w:rPr>
                <w:rFonts w:hint="eastAsia" w:ascii="仿宋_GB2312" w:hAnsi="仿宋" w:eastAsia="仿宋_GB2312" w:cs="宋体"/>
                <w:color w:val="000000"/>
                <w:kern w:val="0"/>
                <w:szCs w:val="21"/>
              </w:rPr>
            </w:pPr>
          </w:p>
        </w:tc>
      </w:tr>
      <w:tr w14:paraId="3DB75623">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04F9D27E">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7F0CDD13">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2B8A0FAD">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货币资金余额与利息收支、资金支出、资金使用计划、利润分配、同行业情况、手续费、控股股东相关情况等对比分析</w:t>
            </w:r>
          </w:p>
        </w:tc>
        <w:tc>
          <w:tcPr>
            <w:tcW w:w="2700" w:type="dxa"/>
            <w:tcBorders>
              <w:top w:val="nil"/>
              <w:left w:val="nil"/>
              <w:bottom w:val="single" w:color="auto" w:sz="4" w:space="0"/>
              <w:right w:val="single" w:color="auto" w:sz="4" w:space="0"/>
            </w:tcBorders>
            <w:noWrap/>
            <w:vAlign w:val="center"/>
          </w:tcPr>
          <w:p w14:paraId="6A88175E">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01F561D8">
            <w:pPr>
              <w:widowControl/>
              <w:jc w:val="left"/>
              <w:rPr>
                <w:rFonts w:hint="eastAsia" w:ascii="仿宋_GB2312" w:hAnsi="仿宋" w:eastAsia="仿宋_GB2312" w:cs="宋体"/>
                <w:color w:val="000000"/>
                <w:kern w:val="0"/>
                <w:szCs w:val="21"/>
              </w:rPr>
            </w:pPr>
          </w:p>
        </w:tc>
      </w:tr>
      <w:tr w14:paraId="1942B2FE">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3D705F2C">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1AFFFF64">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69F56216">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货币资金受限</w:t>
            </w:r>
          </w:p>
        </w:tc>
        <w:tc>
          <w:tcPr>
            <w:tcW w:w="2700" w:type="dxa"/>
            <w:tcBorders>
              <w:top w:val="nil"/>
              <w:left w:val="nil"/>
              <w:bottom w:val="single" w:color="auto" w:sz="4" w:space="0"/>
              <w:right w:val="single" w:color="auto" w:sz="4" w:space="0"/>
            </w:tcBorders>
            <w:noWrap/>
            <w:vAlign w:val="center"/>
          </w:tcPr>
          <w:p w14:paraId="05C0E021">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5363084F">
            <w:pPr>
              <w:widowControl/>
              <w:jc w:val="left"/>
              <w:rPr>
                <w:rFonts w:hint="eastAsia" w:ascii="仿宋_GB2312" w:hAnsi="仿宋" w:eastAsia="仿宋_GB2312" w:cs="宋体"/>
                <w:color w:val="000000"/>
                <w:kern w:val="0"/>
                <w:szCs w:val="21"/>
              </w:rPr>
            </w:pPr>
          </w:p>
        </w:tc>
      </w:tr>
      <w:tr w14:paraId="2E930452">
        <w:tblPrEx>
          <w:tblCellMar>
            <w:top w:w="0" w:type="dxa"/>
            <w:left w:w="108" w:type="dxa"/>
            <w:bottom w:w="0" w:type="dxa"/>
            <w:right w:w="108" w:type="dxa"/>
          </w:tblCellMar>
        </w:tblPrEx>
        <w:trPr>
          <w:trHeight w:val="255" w:hRule="atLeast"/>
        </w:trPr>
        <w:tc>
          <w:tcPr>
            <w:tcW w:w="640" w:type="dxa"/>
            <w:vMerge w:val="restart"/>
            <w:tcBorders>
              <w:top w:val="nil"/>
              <w:left w:val="single" w:color="auto" w:sz="4" w:space="0"/>
              <w:bottom w:val="single" w:color="auto" w:sz="4" w:space="0"/>
              <w:right w:val="single" w:color="auto" w:sz="4" w:space="0"/>
            </w:tcBorders>
            <w:noWrap/>
            <w:vAlign w:val="center"/>
          </w:tcPr>
          <w:p w14:paraId="2ED96A27">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7</w:t>
            </w:r>
          </w:p>
        </w:tc>
        <w:tc>
          <w:tcPr>
            <w:tcW w:w="1927" w:type="dxa"/>
            <w:vMerge w:val="restart"/>
            <w:tcBorders>
              <w:top w:val="nil"/>
              <w:left w:val="single" w:color="auto" w:sz="4" w:space="0"/>
              <w:bottom w:val="single" w:color="auto" w:sz="4" w:space="0"/>
              <w:right w:val="single" w:color="auto" w:sz="4" w:space="0"/>
            </w:tcBorders>
            <w:noWrap/>
            <w:vAlign w:val="center"/>
          </w:tcPr>
          <w:p w14:paraId="65CA36A1">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费用确认和计量</w:t>
            </w:r>
          </w:p>
        </w:tc>
        <w:tc>
          <w:tcPr>
            <w:tcW w:w="2835" w:type="dxa"/>
            <w:tcBorders>
              <w:top w:val="nil"/>
              <w:left w:val="nil"/>
              <w:bottom w:val="single" w:color="auto" w:sz="4" w:space="0"/>
              <w:right w:val="single" w:color="auto" w:sz="4" w:space="0"/>
            </w:tcBorders>
            <w:noWrap/>
            <w:vAlign w:val="center"/>
          </w:tcPr>
          <w:p w14:paraId="199E9DE0">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费用与其他财务数据和非财务数据的逻辑性</w:t>
            </w:r>
          </w:p>
        </w:tc>
        <w:tc>
          <w:tcPr>
            <w:tcW w:w="2700" w:type="dxa"/>
            <w:tcBorders>
              <w:top w:val="nil"/>
              <w:left w:val="nil"/>
              <w:bottom w:val="single" w:color="auto" w:sz="4" w:space="0"/>
              <w:right w:val="single" w:color="auto" w:sz="4" w:space="0"/>
            </w:tcBorders>
            <w:noWrap/>
            <w:vAlign w:val="center"/>
          </w:tcPr>
          <w:p w14:paraId="751B569D">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34D6C6BD">
            <w:pPr>
              <w:widowControl/>
              <w:jc w:val="left"/>
              <w:rPr>
                <w:rFonts w:hint="eastAsia" w:ascii="仿宋_GB2312" w:hAnsi="仿宋" w:eastAsia="仿宋_GB2312" w:cs="宋体"/>
                <w:color w:val="000000"/>
                <w:kern w:val="0"/>
                <w:szCs w:val="21"/>
              </w:rPr>
            </w:pPr>
          </w:p>
        </w:tc>
      </w:tr>
      <w:tr w14:paraId="323A7107">
        <w:tblPrEx>
          <w:tblCellMar>
            <w:top w:w="0" w:type="dxa"/>
            <w:left w:w="108" w:type="dxa"/>
            <w:bottom w:w="0" w:type="dxa"/>
            <w:right w:w="108" w:type="dxa"/>
          </w:tblCellMar>
        </w:tblPrEx>
        <w:trPr>
          <w:trHeight w:val="255" w:hRule="atLeast"/>
        </w:trPr>
        <w:tc>
          <w:tcPr>
            <w:tcW w:w="640" w:type="dxa"/>
            <w:vMerge w:val="continue"/>
            <w:tcBorders>
              <w:top w:val="nil"/>
              <w:left w:val="single" w:color="auto" w:sz="4" w:space="0"/>
              <w:bottom w:val="single" w:color="auto" w:sz="4" w:space="0"/>
              <w:right w:val="single" w:color="auto" w:sz="4" w:space="0"/>
            </w:tcBorders>
            <w:vAlign w:val="center"/>
          </w:tcPr>
          <w:p w14:paraId="59199873">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45FA6BBD">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33040415">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研发支出内容合理性、研发支出资本化</w:t>
            </w:r>
          </w:p>
        </w:tc>
        <w:tc>
          <w:tcPr>
            <w:tcW w:w="2700" w:type="dxa"/>
            <w:tcBorders>
              <w:top w:val="nil"/>
              <w:left w:val="nil"/>
              <w:bottom w:val="single" w:color="auto" w:sz="4" w:space="0"/>
              <w:right w:val="single" w:color="auto" w:sz="4" w:space="0"/>
            </w:tcBorders>
            <w:noWrap/>
            <w:vAlign w:val="center"/>
          </w:tcPr>
          <w:p w14:paraId="3C1D6BFA">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4FC42133">
            <w:pPr>
              <w:widowControl/>
              <w:jc w:val="left"/>
              <w:rPr>
                <w:rFonts w:hint="eastAsia" w:ascii="仿宋_GB2312" w:hAnsi="仿宋" w:eastAsia="仿宋_GB2312" w:cs="宋体"/>
                <w:color w:val="000000"/>
                <w:kern w:val="0"/>
                <w:szCs w:val="21"/>
              </w:rPr>
            </w:pPr>
          </w:p>
        </w:tc>
      </w:tr>
      <w:tr w14:paraId="3E6BDF1D">
        <w:tblPrEx>
          <w:tblCellMar>
            <w:top w:w="0" w:type="dxa"/>
            <w:left w:w="108" w:type="dxa"/>
            <w:bottom w:w="0" w:type="dxa"/>
            <w:right w:w="108" w:type="dxa"/>
          </w:tblCellMar>
        </w:tblPrEx>
        <w:trPr>
          <w:trHeight w:val="255" w:hRule="atLeast"/>
        </w:trPr>
        <w:tc>
          <w:tcPr>
            <w:tcW w:w="640" w:type="dxa"/>
            <w:vMerge w:val="continue"/>
            <w:tcBorders>
              <w:top w:val="nil"/>
              <w:left w:val="single" w:color="auto" w:sz="4" w:space="0"/>
              <w:bottom w:val="single" w:color="auto" w:sz="4" w:space="0"/>
              <w:right w:val="single" w:color="auto" w:sz="4" w:space="0"/>
            </w:tcBorders>
            <w:vAlign w:val="center"/>
          </w:tcPr>
          <w:p w14:paraId="070EE8AC">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6200BAC4">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5109D874">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异常或偶发大额费用的商业合理性</w:t>
            </w:r>
          </w:p>
        </w:tc>
        <w:tc>
          <w:tcPr>
            <w:tcW w:w="2700" w:type="dxa"/>
            <w:tcBorders>
              <w:top w:val="nil"/>
              <w:left w:val="nil"/>
              <w:bottom w:val="single" w:color="auto" w:sz="4" w:space="0"/>
              <w:right w:val="single" w:color="auto" w:sz="4" w:space="0"/>
            </w:tcBorders>
            <w:noWrap/>
            <w:vAlign w:val="center"/>
          </w:tcPr>
          <w:p w14:paraId="01C1BF86">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00DD21F2">
            <w:pPr>
              <w:widowControl/>
              <w:jc w:val="left"/>
              <w:rPr>
                <w:rFonts w:hint="eastAsia" w:ascii="仿宋_GB2312" w:hAnsi="仿宋" w:eastAsia="仿宋_GB2312" w:cs="宋体"/>
                <w:color w:val="000000"/>
                <w:kern w:val="0"/>
                <w:szCs w:val="21"/>
              </w:rPr>
            </w:pPr>
          </w:p>
        </w:tc>
      </w:tr>
      <w:tr w14:paraId="0E9AF268">
        <w:tblPrEx>
          <w:tblCellMar>
            <w:top w:w="0" w:type="dxa"/>
            <w:left w:w="108" w:type="dxa"/>
            <w:bottom w:w="0" w:type="dxa"/>
            <w:right w:w="108" w:type="dxa"/>
          </w:tblCellMar>
        </w:tblPrEx>
        <w:trPr>
          <w:trHeight w:val="255" w:hRule="atLeast"/>
        </w:trPr>
        <w:tc>
          <w:tcPr>
            <w:tcW w:w="640" w:type="dxa"/>
            <w:vMerge w:val="restart"/>
            <w:tcBorders>
              <w:top w:val="nil"/>
              <w:left w:val="single" w:color="auto" w:sz="4" w:space="0"/>
              <w:bottom w:val="single" w:color="auto" w:sz="4" w:space="0"/>
              <w:right w:val="single" w:color="auto" w:sz="4" w:space="0"/>
            </w:tcBorders>
            <w:noWrap/>
            <w:vAlign w:val="center"/>
          </w:tcPr>
          <w:p w14:paraId="4B5B2DBA">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8</w:t>
            </w:r>
          </w:p>
        </w:tc>
        <w:tc>
          <w:tcPr>
            <w:tcW w:w="1927" w:type="dxa"/>
            <w:vMerge w:val="restart"/>
            <w:tcBorders>
              <w:top w:val="nil"/>
              <w:left w:val="single" w:color="auto" w:sz="4" w:space="0"/>
              <w:bottom w:val="single" w:color="auto" w:sz="4" w:space="0"/>
              <w:right w:val="single" w:color="auto" w:sz="4" w:space="0"/>
            </w:tcBorders>
            <w:noWrap/>
            <w:vAlign w:val="center"/>
          </w:tcPr>
          <w:p w14:paraId="03F60946">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内部控制有效性</w:t>
            </w:r>
          </w:p>
        </w:tc>
        <w:tc>
          <w:tcPr>
            <w:tcW w:w="2835" w:type="dxa"/>
            <w:tcBorders>
              <w:top w:val="nil"/>
              <w:left w:val="nil"/>
              <w:bottom w:val="single" w:color="auto" w:sz="4" w:space="0"/>
              <w:right w:val="single" w:color="auto" w:sz="4" w:space="0"/>
            </w:tcBorders>
            <w:noWrap/>
            <w:vAlign w:val="center"/>
          </w:tcPr>
          <w:p w14:paraId="10CE6799">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舞弊风险控制</w:t>
            </w:r>
          </w:p>
        </w:tc>
        <w:tc>
          <w:tcPr>
            <w:tcW w:w="2700" w:type="dxa"/>
            <w:tcBorders>
              <w:top w:val="nil"/>
              <w:left w:val="nil"/>
              <w:bottom w:val="single" w:color="auto" w:sz="4" w:space="0"/>
              <w:right w:val="single" w:color="auto" w:sz="4" w:space="0"/>
            </w:tcBorders>
            <w:noWrap/>
            <w:vAlign w:val="center"/>
          </w:tcPr>
          <w:p w14:paraId="59690FA7">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E8A66EA">
            <w:pPr>
              <w:widowControl/>
              <w:jc w:val="left"/>
              <w:rPr>
                <w:rFonts w:hint="eastAsia" w:ascii="仿宋_GB2312" w:hAnsi="仿宋" w:eastAsia="仿宋_GB2312" w:cs="宋体"/>
                <w:color w:val="000000"/>
                <w:kern w:val="0"/>
                <w:szCs w:val="21"/>
              </w:rPr>
            </w:pPr>
          </w:p>
        </w:tc>
      </w:tr>
      <w:tr w14:paraId="5EEA1827">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695239A0">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127991A9">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5CD5AE66">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信息系统一般性控制与后续审计程序</w:t>
            </w:r>
          </w:p>
        </w:tc>
        <w:tc>
          <w:tcPr>
            <w:tcW w:w="2700" w:type="dxa"/>
            <w:tcBorders>
              <w:top w:val="nil"/>
              <w:left w:val="nil"/>
              <w:bottom w:val="single" w:color="auto" w:sz="4" w:space="0"/>
              <w:right w:val="single" w:color="auto" w:sz="4" w:space="0"/>
            </w:tcBorders>
            <w:noWrap/>
            <w:vAlign w:val="center"/>
          </w:tcPr>
          <w:p w14:paraId="0C906D21">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1BB737F3">
            <w:pPr>
              <w:widowControl/>
              <w:jc w:val="left"/>
              <w:rPr>
                <w:rFonts w:hint="eastAsia" w:ascii="仿宋_GB2312" w:hAnsi="仿宋" w:eastAsia="仿宋_GB2312" w:cs="宋体"/>
                <w:color w:val="000000"/>
                <w:kern w:val="0"/>
                <w:szCs w:val="21"/>
              </w:rPr>
            </w:pPr>
          </w:p>
        </w:tc>
      </w:tr>
      <w:tr w14:paraId="746E21BA">
        <w:tblPrEx>
          <w:tblCellMar>
            <w:top w:w="0" w:type="dxa"/>
            <w:left w:w="108" w:type="dxa"/>
            <w:bottom w:w="0" w:type="dxa"/>
            <w:right w:w="108" w:type="dxa"/>
          </w:tblCellMar>
        </w:tblPrEx>
        <w:trPr>
          <w:trHeight w:val="285" w:hRule="atLeast"/>
        </w:trPr>
        <w:tc>
          <w:tcPr>
            <w:tcW w:w="640" w:type="dxa"/>
            <w:vMerge w:val="restart"/>
            <w:tcBorders>
              <w:top w:val="nil"/>
              <w:left w:val="single" w:color="auto" w:sz="4" w:space="0"/>
              <w:bottom w:val="single" w:color="auto" w:sz="4" w:space="0"/>
              <w:right w:val="single" w:color="auto" w:sz="4" w:space="0"/>
            </w:tcBorders>
            <w:noWrap/>
            <w:vAlign w:val="center"/>
          </w:tcPr>
          <w:p w14:paraId="55AD76D2">
            <w:pPr>
              <w:widowControl/>
              <w:jc w:val="center"/>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9</w:t>
            </w:r>
          </w:p>
        </w:tc>
        <w:tc>
          <w:tcPr>
            <w:tcW w:w="1927" w:type="dxa"/>
            <w:vMerge w:val="restart"/>
            <w:tcBorders>
              <w:top w:val="nil"/>
              <w:left w:val="single" w:color="auto" w:sz="4" w:space="0"/>
              <w:bottom w:val="single" w:color="auto" w:sz="4" w:space="0"/>
              <w:right w:val="single" w:color="auto" w:sz="4" w:space="0"/>
            </w:tcBorders>
            <w:noWrap/>
            <w:vAlign w:val="center"/>
          </w:tcPr>
          <w:p w14:paraId="7AB42A48">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财务报表披露</w:t>
            </w:r>
          </w:p>
        </w:tc>
        <w:tc>
          <w:tcPr>
            <w:tcW w:w="2835" w:type="dxa"/>
            <w:tcBorders>
              <w:top w:val="nil"/>
              <w:left w:val="nil"/>
              <w:bottom w:val="single" w:color="auto" w:sz="4" w:space="0"/>
              <w:right w:val="single" w:color="auto" w:sz="4" w:space="0"/>
            </w:tcBorders>
            <w:noWrap/>
            <w:vAlign w:val="center"/>
          </w:tcPr>
          <w:p w14:paraId="6CC6FDBF">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会计准则和15号文披露要求</w:t>
            </w:r>
          </w:p>
        </w:tc>
        <w:tc>
          <w:tcPr>
            <w:tcW w:w="2700" w:type="dxa"/>
            <w:tcBorders>
              <w:top w:val="nil"/>
              <w:left w:val="nil"/>
              <w:bottom w:val="single" w:color="auto" w:sz="4" w:space="0"/>
              <w:right w:val="single" w:color="auto" w:sz="4" w:space="0"/>
            </w:tcBorders>
            <w:noWrap/>
            <w:vAlign w:val="center"/>
          </w:tcPr>
          <w:p w14:paraId="29017050">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373E8481">
            <w:pPr>
              <w:widowControl/>
              <w:jc w:val="left"/>
              <w:rPr>
                <w:rFonts w:hint="eastAsia" w:ascii="仿宋_GB2312" w:hAnsi="仿宋" w:eastAsia="仿宋_GB2312" w:cs="宋体"/>
                <w:color w:val="000000"/>
                <w:kern w:val="0"/>
                <w:szCs w:val="21"/>
              </w:rPr>
            </w:pPr>
          </w:p>
        </w:tc>
      </w:tr>
      <w:tr w14:paraId="44DDC12F">
        <w:tblPrEx>
          <w:tblCellMar>
            <w:top w:w="0" w:type="dxa"/>
            <w:left w:w="108" w:type="dxa"/>
            <w:bottom w:w="0" w:type="dxa"/>
            <w:right w:w="108" w:type="dxa"/>
          </w:tblCellMar>
        </w:tblPrEx>
        <w:trPr>
          <w:trHeight w:val="285" w:hRule="atLeast"/>
        </w:trPr>
        <w:tc>
          <w:tcPr>
            <w:tcW w:w="640" w:type="dxa"/>
            <w:vMerge w:val="continue"/>
            <w:tcBorders>
              <w:top w:val="nil"/>
              <w:left w:val="single" w:color="auto" w:sz="4" w:space="0"/>
              <w:bottom w:val="single" w:color="auto" w:sz="4" w:space="0"/>
              <w:right w:val="single" w:color="auto" w:sz="4" w:space="0"/>
            </w:tcBorders>
            <w:vAlign w:val="center"/>
          </w:tcPr>
          <w:p w14:paraId="4010C6BE">
            <w:pPr>
              <w:widowControl/>
              <w:jc w:val="left"/>
              <w:rPr>
                <w:rFonts w:hint="eastAsia" w:ascii="仿宋_GB2312" w:hAnsi="仿宋" w:eastAsia="仿宋_GB2312" w:cs="宋体"/>
                <w:color w:val="000000"/>
                <w:kern w:val="0"/>
                <w:szCs w:val="21"/>
              </w:rPr>
            </w:pPr>
          </w:p>
        </w:tc>
        <w:tc>
          <w:tcPr>
            <w:tcW w:w="1927" w:type="dxa"/>
            <w:vMerge w:val="continue"/>
            <w:tcBorders>
              <w:top w:val="nil"/>
              <w:left w:val="single" w:color="auto" w:sz="4" w:space="0"/>
              <w:bottom w:val="single" w:color="auto" w:sz="4" w:space="0"/>
              <w:right w:val="single" w:color="auto" w:sz="4" w:space="0"/>
            </w:tcBorders>
            <w:vAlign w:val="center"/>
          </w:tcPr>
          <w:p w14:paraId="5EA54FB2">
            <w:pPr>
              <w:widowControl/>
              <w:jc w:val="left"/>
              <w:rPr>
                <w:rFonts w:hint="eastAsia" w:ascii="仿宋_GB2312" w:hAnsi="仿宋" w:eastAsia="仿宋_GB2312" w:cs="宋体"/>
                <w:color w:val="000000"/>
                <w:kern w:val="0"/>
                <w:szCs w:val="21"/>
              </w:rPr>
            </w:pPr>
          </w:p>
        </w:tc>
        <w:tc>
          <w:tcPr>
            <w:tcW w:w="2835" w:type="dxa"/>
            <w:tcBorders>
              <w:top w:val="nil"/>
              <w:left w:val="nil"/>
              <w:bottom w:val="single" w:color="auto" w:sz="4" w:space="0"/>
              <w:right w:val="single" w:color="auto" w:sz="4" w:space="0"/>
            </w:tcBorders>
            <w:noWrap/>
            <w:vAlign w:val="center"/>
          </w:tcPr>
          <w:p w14:paraId="06EF565B">
            <w:pPr>
              <w:widowControl/>
              <w:jc w:val="left"/>
              <w:rPr>
                <w:rFonts w:hint="eastAsia" w:ascii="仿宋_GB2312" w:hAnsi="仿宋" w:eastAsia="仿宋_GB2312" w:cs="宋体"/>
                <w:color w:val="000000"/>
                <w:kern w:val="0"/>
                <w:szCs w:val="21"/>
              </w:rPr>
            </w:pPr>
            <w:r>
              <w:rPr>
                <w:rFonts w:hint="eastAsia" w:ascii="仿宋_GB2312" w:hAnsi="仿宋" w:eastAsia="仿宋_GB2312" w:cs="宋体"/>
                <w:color w:val="000000"/>
                <w:kern w:val="0"/>
                <w:szCs w:val="21"/>
              </w:rPr>
              <w:t>财务报表披露事项审计证据与年报其他信息</w:t>
            </w:r>
          </w:p>
        </w:tc>
        <w:tc>
          <w:tcPr>
            <w:tcW w:w="2700" w:type="dxa"/>
            <w:tcBorders>
              <w:top w:val="nil"/>
              <w:left w:val="nil"/>
              <w:bottom w:val="single" w:color="auto" w:sz="4" w:space="0"/>
              <w:right w:val="single" w:color="auto" w:sz="4" w:space="0"/>
            </w:tcBorders>
            <w:noWrap/>
            <w:vAlign w:val="center"/>
          </w:tcPr>
          <w:p w14:paraId="26D089BF">
            <w:pPr>
              <w:widowControl/>
              <w:jc w:val="left"/>
              <w:rPr>
                <w:rFonts w:hint="eastAsia" w:ascii="仿宋_GB2312" w:hAnsi="仿宋" w:eastAsia="仿宋_GB2312" w:cs="宋体"/>
                <w:color w:val="000000"/>
                <w:kern w:val="0"/>
                <w:szCs w:val="21"/>
              </w:rPr>
            </w:pPr>
          </w:p>
        </w:tc>
        <w:tc>
          <w:tcPr>
            <w:tcW w:w="1694" w:type="dxa"/>
            <w:tcBorders>
              <w:top w:val="nil"/>
              <w:left w:val="nil"/>
              <w:bottom w:val="single" w:color="auto" w:sz="4" w:space="0"/>
              <w:right w:val="single" w:color="auto" w:sz="4" w:space="0"/>
            </w:tcBorders>
            <w:noWrap/>
            <w:vAlign w:val="center"/>
          </w:tcPr>
          <w:p w14:paraId="29413011">
            <w:pPr>
              <w:widowControl/>
              <w:jc w:val="left"/>
              <w:rPr>
                <w:rFonts w:hint="eastAsia" w:ascii="仿宋_GB2312" w:hAnsi="仿宋" w:eastAsia="仿宋_GB2312" w:cs="宋体"/>
                <w:color w:val="000000"/>
                <w:kern w:val="0"/>
                <w:szCs w:val="21"/>
              </w:rPr>
            </w:pPr>
          </w:p>
        </w:tc>
      </w:tr>
    </w:tbl>
    <w:p w14:paraId="0A490D15">
      <w:pPr>
        <w:spacing w:before="156" w:beforeLines="50"/>
        <w:ind w:firstLine="480" w:firstLineChars="200"/>
        <w:rPr>
          <w:rFonts w:ascii="仿宋_GB2312" w:eastAsia="仿宋_GB2312"/>
          <w:sz w:val="24"/>
        </w:rPr>
      </w:pPr>
      <w:r>
        <w:rPr>
          <w:rFonts w:hint="eastAsia" w:ascii="仿宋_GB2312" w:eastAsia="仿宋_GB2312"/>
          <w:sz w:val="24"/>
        </w:rPr>
        <w:t>3、新三板挂牌审计一般问题核查</w:t>
      </w:r>
    </w:p>
    <w:tbl>
      <w:tblPr>
        <w:tblStyle w:val="12"/>
        <w:tblW w:w="9585" w:type="dxa"/>
        <w:tblInd w:w="93" w:type="dxa"/>
        <w:tblLayout w:type="autofit"/>
        <w:tblCellMar>
          <w:top w:w="0" w:type="dxa"/>
          <w:left w:w="108" w:type="dxa"/>
          <w:bottom w:w="0" w:type="dxa"/>
          <w:right w:w="108" w:type="dxa"/>
        </w:tblCellMar>
      </w:tblPr>
      <w:tblGrid>
        <w:gridCol w:w="720"/>
        <w:gridCol w:w="1705"/>
        <w:gridCol w:w="2693"/>
        <w:gridCol w:w="2835"/>
        <w:gridCol w:w="1632"/>
      </w:tblGrid>
      <w:tr w14:paraId="5AEE6391">
        <w:tblPrEx>
          <w:tblCellMar>
            <w:top w:w="0" w:type="dxa"/>
            <w:left w:w="108" w:type="dxa"/>
            <w:bottom w:w="0" w:type="dxa"/>
            <w:right w:w="108" w:type="dxa"/>
          </w:tblCellMar>
        </w:tblPrEx>
        <w:trPr>
          <w:trHeight w:val="315" w:hRule="atLeast"/>
          <w:tblHeader/>
        </w:trPr>
        <w:tc>
          <w:tcPr>
            <w:tcW w:w="720" w:type="dxa"/>
            <w:tcBorders>
              <w:top w:val="single" w:color="auto" w:sz="4" w:space="0"/>
              <w:left w:val="single" w:color="auto" w:sz="4" w:space="0"/>
              <w:bottom w:val="single" w:color="auto" w:sz="4" w:space="0"/>
              <w:right w:val="single" w:color="auto" w:sz="4" w:space="0"/>
            </w:tcBorders>
            <w:noWrap/>
            <w:vAlign w:val="center"/>
          </w:tcPr>
          <w:p w14:paraId="2F878C69">
            <w:pPr>
              <w:widowControl/>
              <w:jc w:val="center"/>
              <w:rPr>
                <w:rFonts w:hint="eastAsia"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序号</w:t>
            </w:r>
          </w:p>
        </w:tc>
        <w:tc>
          <w:tcPr>
            <w:tcW w:w="4398" w:type="dxa"/>
            <w:gridSpan w:val="2"/>
            <w:tcBorders>
              <w:top w:val="single" w:color="auto" w:sz="4" w:space="0"/>
              <w:left w:val="nil"/>
              <w:bottom w:val="single" w:color="auto" w:sz="4" w:space="0"/>
              <w:right w:val="single" w:color="auto" w:sz="4" w:space="0"/>
            </w:tcBorders>
            <w:noWrap/>
            <w:vAlign w:val="center"/>
          </w:tcPr>
          <w:p w14:paraId="7E22714E">
            <w:pPr>
              <w:widowControl/>
              <w:jc w:val="center"/>
              <w:rPr>
                <w:rFonts w:hint="eastAsia"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核查事项</w:t>
            </w:r>
          </w:p>
        </w:tc>
        <w:tc>
          <w:tcPr>
            <w:tcW w:w="2835" w:type="dxa"/>
            <w:tcBorders>
              <w:top w:val="single" w:color="auto" w:sz="4" w:space="0"/>
              <w:left w:val="nil"/>
              <w:bottom w:val="single" w:color="auto" w:sz="4" w:space="0"/>
              <w:right w:val="single" w:color="auto" w:sz="4" w:space="0"/>
            </w:tcBorders>
            <w:vAlign w:val="center"/>
          </w:tcPr>
          <w:p w14:paraId="0A61C363">
            <w:pPr>
              <w:widowControl/>
              <w:jc w:val="center"/>
              <w:rPr>
                <w:rFonts w:hint="eastAsia"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主要核查程序</w:t>
            </w:r>
            <w:r>
              <w:rPr>
                <w:rFonts w:ascii="Arial Narrow" w:hAnsi="Arial Narrow" w:eastAsia="仿宋_GB2312" w:cs="宋体"/>
                <w:b/>
                <w:bCs/>
                <w:color w:val="000000"/>
                <w:kern w:val="0"/>
                <w:szCs w:val="21"/>
              </w:rPr>
              <w:t>/</w:t>
            </w:r>
            <w:r>
              <w:rPr>
                <w:rFonts w:hint="eastAsia" w:ascii="仿宋_GB2312" w:hAnsi="宋体" w:eastAsia="仿宋_GB2312" w:cs="宋体"/>
                <w:b/>
                <w:bCs/>
                <w:color w:val="000000"/>
                <w:kern w:val="0"/>
                <w:szCs w:val="21"/>
              </w:rPr>
              <w:t>情况</w:t>
            </w:r>
          </w:p>
        </w:tc>
        <w:tc>
          <w:tcPr>
            <w:tcW w:w="1632" w:type="dxa"/>
            <w:tcBorders>
              <w:top w:val="single" w:color="auto" w:sz="4" w:space="0"/>
              <w:left w:val="nil"/>
              <w:bottom w:val="single" w:color="auto" w:sz="4" w:space="0"/>
              <w:right w:val="single" w:color="auto" w:sz="4" w:space="0"/>
            </w:tcBorders>
            <w:vAlign w:val="center"/>
          </w:tcPr>
          <w:p w14:paraId="63915ECA">
            <w:pPr>
              <w:widowControl/>
              <w:jc w:val="center"/>
              <w:rPr>
                <w:rFonts w:hint="eastAsia"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核查结论</w:t>
            </w:r>
          </w:p>
        </w:tc>
      </w:tr>
      <w:tr w14:paraId="3FC7195E">
        <w:tblPrEx>
          <w:tblCellMar>
            <w:top w:w="0" w:type="dxa"/>
            <w:left w:w="108" w:type="dxa"/>
            <w:bottom w:w="0" w:type="dxa"/>
            <w:right w:w="108" w:type="dxa"/>
          </w:tblCellMar>
        </w:tblPrEx>
        <w:trPr>
          <w:trHeight w:val="285" w:hRule="atLeast"/>
        </w:trPr>
        <w:tc>
          <w:tcPr>
            <w:tcW w:w="720" w:type="dxa"/>
            <w:tcBorders>
              <w:top w:val="nil"/>
              <w:left w:val="single" w:color="auto" w:sz="4" w:space="0"/>
              <w:bottom w:val="single" w:color="auto" w:sz="4" w:space="0"/>
              <w:right w:val="single" w:color="auto" w:sz="4" w:space="0"/>
            </w:tcBorders>
            <w:noWrap/>
            <w:vAlign w:val="center"/>
          </w:tcPr>
          <w:p w14:paraId="066E9901">
            <w:pPr>
              <w:widowControl/>
              <w:jc w:val="center"/>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1</w:t>
            </w:r>
          </w:p>
        </w:tc>
        <w:tc>
          <w:tcPr>
            <w:tcW w:w="1705" w:type="dxa"/>
            <w:tcBorders>
              <w:top w:val="nil"/>
              <w:left w:val="nil"/>
              <w:bottom w:val="single" w:color="auto" w:sz="4" w:space="0"/>
              <w:right w:val="single" w:color="auto" w:sz="4" w:space="0"/>
            </w:tcBorders>
            <w:noWrap/>
            <w:vAlign w:val="center"/>
          </w:tcPr>
          <w:p w14:paraId="5BF08158">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合法合规</w:t>
            </w:r>
          </w:p>
        </w:tc>
        <w:tc>
          <w:tcPr>
            <w:tcW w:w="2693" w:type="dxa"/>
            <w:tcBorders>
              <w:top w:val="nil"/>
              <w:left w:val="nil"/>
              <w:bottom w:val="single" w:color="auto" w:sz="4" w:space="0"/>
              <w:right w:val="single" w:color="auto" w:sz="4" w:space="0"/>
            </w:tcBorders>
            <w:noWrap/>
            <w:vAlign w:val="center"/>
          </w:tcPr>
          <w:p w14:paraId="349EFFD6">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规模出资瑕疵的会计处理</w:t>
            </w:r>
          </w:p>
        </w:tc>
        <w:tc>
          <w:tcPr>
            <w:tcW w:w="2835" w:type="dxa"/>
            <w:tcBorders>
              <w:top w:val="nil"/>
              <w:left w:val="nil"/>
              <w:bottom w:val="single" w:color="auto" w:sz="4" w:space="0"/>
              <w:right w:val="single" w:color="auto" w:sz="4" w:space="0"/>
            </w:tcBorders>
            <w:noWrap/>
            <w:vAlign w:val="center"/>
          </w:tcPr>
          <w:p w14:paraId="52C979AD">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164DBFE3">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1EA9B68A">
        <w:tblPrEx>
          <w:tblCellMar>
            <w:top w:w="0" w:type="dxa"/>
            <w:left w:w="108" w:type="dxa"/>
            <w:bottom w:w="0" w:type="dxa"/>
            <w:right w:w="108" w:type="dxa"/>
          </w:tblCellMar>
        </w:tblPrEx>
        <w:trPr>
          <w:trHeight w:val="285" w:hRule="atLeast"/>
        </w:trPr>
        <w:tc>
          <w:tcPr>
            <w:tcW w:w="720" w:type="dxa"/>
            <w:vMerge w:val="restart"/>
            <w:tcBorders>
              <w:top w:val="nil"/>
              <w:left w:val="single" w:color="auto" w:sz="4" w:space="0"/>
              <w:bottom w:val="single" w:color="auto" w:sz="4" w:space="0"/>
              <w:right w:val="single" w:color="auto" w:sz="4" w:space="0"/>
            </w:tcBorders>
            <w:noWrap/>
            <w:vAlign w:val="center"/>
          </w:tcPr>
          <w:p w14:paraId="542503F0">
            <w:pPr>
              <w:widowControl/>
              <w:jc w:val="center"/>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2</w:t>
            </w:r>
          </w:p>
        </w:tc>
        <w:tc>
          <w:tcPr>
            <w:tcW w:w="1705" w:type="dxa"/>
            <w:vMerge w:val="restart"/>
            <w:tcBorders>
              <w:top w:val="nil"/>
              <w:left w:val="single" w:color="auto" w:sz="4" w:space="0"/>
              <w:bottom w:val="single" w:color="auto" w:sz="4" w:space="0"/>
              <w:right w:val="single" w:color="auto" w:sz="4" w:space="0"/>
            </w:tcBorders>
            <w:noWrap/>
            <w:vAlign w:val="center"/>
          </w:tcPr>
          <w:p w14:paraId="2B14F165">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财务与业务匹配性</w:t>
            </w:r>
          </w:p>
        </w:tc>
        <w:tc>
          <w:tcPr>
            <w:tcW w:w="2693" w:type="dxa"/>
            <w:tcBorders>
              <w:top w:val="nil"/>
              <w:left w:val="nil"/>
              <w:bottom w:val="single" w:color="auto" w:sz="4" w:space="0"/>
              <w:right w:val="single" w:color="auto" w:sz="4" w:space="0"/>
            </w:tcBorders>
            <w:noWrap/>
            <w:vAlign w:val="center"/>
          </w:tcPr>
          <w:p w14:paraId="5D7D760C">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公司收入</w:t>
            </w:r>
          </w:p>
        </w:tc>
        <w:tc>
          <w:tcPr>
            <w:tcW w:w="2835" w:type="dxa"/>
            <w:tcBorders>
              <w:top w:val="nil"/>
              <w:left w:val="nil"/>
              <w:bottom w:val="single" w:color="auto" w:sz="4" w:space="0"/>
              <w:right w:val="single" w:color="auto" w:sz="4" w:space="0"/>
            </w:tcBorders>
            <w:noWrap/>
            <w:vAlign w:val="center"/>
          </w:tcPr>
          <w:p w14:paraId="312699B4">
            <w:pPr>
              <w:widowControl/>
              <w:jc w:val="left"/>
              <w:rPr>
                <w:rFonts w:hint="eastAsia" w:ascii="仿宋_GB2312" w:hAnsi="宋体" w:eastAsia="仿宋_GB2312" w:cs="宋体"/>
                <w:color w:val="FF0000"/>
                <w:kern w:val="0"/>
                <w:szCs w:val="21"/>
              </w:rPr>
            </w:pPr>
          </w:p>
        </w:tc>
        <w:tc>
          <w:tcPr>
            <w:tcW w:w="1632" w:type="dxa"/>
            <w:tcBorders>
              <w:top w:val="nil"/>
              <w:left w:val="nil"/>
              <w:bottom w:val="single" w:color="auto" w:sz="4" w:space="0"/>
              <w:right w:val="single" w:color="auto" w:sz="4" w:space="0"/>
            </w:tcBorders>
            <w:noWrap/>
            <w:vAlign w:val="center"/>
          </w:tcPr>
          <w:p w14:paraId="30E36515">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504830E1">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6FCC92CA">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1628343D">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1F68CE85">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成本</w:t>
            </w:r>
          </w:p>
        </w:tc>
        <w:tc>
          <w:tcPr>
            <w:tcW w:w="2835" w:type="dxa"/>
            <w:tcBorders>
              <w:top w:val="nil"/>
              <w:left w:val="nil"/>
              <w:bottom w:val="single" w:color="auto" w:sz="4" w:space="0"/>
              <w:right w:val="single" w:color="auto" w:sz="4" w:space="0"/>
            </w:tcBorders>
            <w:noWrap/>
            <w:vAlign w:val="center"/>
          </w:tcPr>
          <w:p w14:paraId="12C78D4D">
            <w:pPr>
              <w:widowControl/>
              <w:jc w:val="left"/>
              <w:rPr>
                <w:rFonts w:hint="eastAsia" w:ascii="仿宋_GB2312" w:hAnsi="宋体" w:eastAsia="仿宋_GB2312" w:cs="宋体"/>
                <w:color w:val="000000"/>
                <w:kern w:val="0"/>
                <w:szCs w:val="21"/>
              </w:rPr>
            </w:pPr>
          </w:p>
        </w:tc>
        <w:tc>
          <w:tcPr>
            <w:tcW w:w="1632" w:type="dxa"/>
            <w:tcBorders>
              <w:top w:val="nil"/>
              <w:left w:val="nil"/>
              <w:bottom w:val="single" w:color="auto" w:sz="4" w:space="0"/>
              <w:right w:val="single" w:color="auto" w:sz="4" w:space="0"/>
            </w:tcBorders>
            <w:noWrap/>
            <w:vAlign w:val="center"/>
          </w:tcPr>
          <w:p w14:paraId="0C84734E">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1BE1A37A">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7C8814C1">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0B913B55">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5D9DF23C">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毛利率</w:t>
            </w:r>
          </w:p>
        </w:tc>
        <w:tc>
          <w:tcPr>
            <w:tcW w:w="2835" w:type="dxa"/>
            <w:tcBorders>
              <w:top w:val="nil"/>
              <w:left w:val="nil"/>
              <w:bottom w:val="single" w:color="auto" w:sz="4" w:space="0"/>
              <w:right w:val="single" w:color="auto" w:sz="4" w:space="0"/>
            </w:tcBorders>
            <w:noWrap/>
            <w:vAlign w:val="center"/>
          </w:tcPr>
          <w:p w14:paraId="0F62D725">
            <w:pPr>
              <w:widowControl/>
              <w:jc w:val="left"/>
              <w:rPr>
                <w:rFonts w:hint="eastAsia" w:ascii="仿宋_GB2312" w:hAnsi="宋体" w:eastAsia="仿宋_GB2312" w:cs="宋体"/>
                <w:color w:val="000000"/>
                <w:kern w:val="0"/>
                <w:szCs w:val="21"/>
              </w:rPr>
            </w:pPr>
          </w:p>
        </w:tc>
        <w:tc>
          <w:tcPr>
            <w:tcW w:w="1632" w:type="dxa"/>
            <w:tcBorders>
              <w:top w:val="nil"/>
              <w:left w:val="nil"/>
              <w:bottom w:val="single" w:color="auto" w:sz="4" w:space="0"/>
              <w:right w:val="single" w:color="auto" w:sz="4" w:space="0"/>
            </w:tcBorders>
            <w:noWrap/>
            <w:vAlign w:val="center"/>
          </w:tcPr>
          <w:p w14:paraId="5DE456C5">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4D58B3EA">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3A4945FA">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280E6CAD">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4C6BEF0E">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期间费用</w:t>
            </w:r>
          </w:p>
        </w:tc>
        <w:tc>
          <w:tcPr>
            <w:tcW w:w="2835" w:type="dxa"/>
            <w:tcBorders>
              <w:top w:val="nil"/>
              <w:left w:val="nil"/>
              <w:bottom w:val="single" w:color="auto" w:sz="4" w:space="0"/>
              <w:right w:val="single" w:color="auto" w:sz="4" w:space="0"/>
            </w:tcBorders>
            <w:noWrap/>
            <w:vAlign w:val="center"/>
          </w:tcPr>
          <w:p w14:paraId="63BECD7E">
            <w:pPr>
              <w:widowControl/>
              <w:jc w:val="left"/>
              <w:rPr>
                <w:rFonts w:hint="eastAsia" w:ascii="仿宋_GB2312" w:hAnsi="宋体" w:eastAsia="仿宋_GB2312" w:cs="宋体"/>
                <w:color w:val="000000"/>
                <w:kern w:val="0"/>
                <w:szCs w:val="21"/>
              </w:rPr>
            </w:pPr>
          </w:p>
        </w:tc>
        <w:tc>
          <w:tcPr>
            <w:tcW w:w="1632" w:type="dxa"/>
            <w:tcBorders>
              <w:top w:val="nil"/>
              <w:left w:val="nil"/>
              <w:bottom w:val="single" w:color="auto" w:sz="4" w:space="0"/>
              <w:right w:val="single" w:color="auto" w:sz="4" w:space="0"/>
            </w:tcBorders>
            <w:noWrap/>
            <w:vAlign w:val="center"/>
          </w:tcPr>
          <w:p w14:paraId="29DE39B6">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3F10E00E">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5EFAE5B5">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5A4B3874">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12C1A2F8">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应收账款</w:t>
            </w:r>
          </w:p>
        </w:tc>
        <w:tc>
          <w:tcPr>
            <w:tcW w:w="2835" w:type="dxa"/>
            <w:tcBorders>
              <w:top w:val="nil"/>
              <w:left w:val="nil"/>
              <w:bottom w:val="single" w:color="auto" w:sz="4" w:space="0"/>
              <w:right w:val="single" w:color="auto" w:sz="4" w:space="0"/>
            </w:tcBorders>
            <w:noWrap/>
            <w:vAlign w:val="center"/>
          </w:tcPr>
          <w:p w14:paraId="2995BBFE">
            <w:pPr>
              <w:widowControl/>
              <w:jc w:val="left"/>
              <w:rPr>
                <w:rFonts w:hint="eastAsia" w:ascii="仿宋_GB2312" w:hAnsi="宋体" w:eastAsia="仿宋_GB2312" w:cs="宋体"/>
                <w:color w:val="000000"/>
                <w:kern w:val="0"/>
                <w:szCs w:val="21"/>
              </w:rPr>
            </w:pPr>
          </w:p>
        </w:tc>
        <w:tc>
          <w:tcPr>
            <w:tcW w:w="1632" w:type="dxa"/>
            <w:tcBorders>
              <w:top w:val="nil"/>
              <w:left w:val="nil"/>
              <w:bottom w:val="single" w:color="auto" w:sz="4" w:space="0"/>
              <w:right w:val="single" w:color="auto" w:sz="4" w:space="0"/>
            </w:tcBorders>
            <w:noWrap/>
            <w:vAlign w:val="center"/>
          </w:tcPr>
          <w:p w14:paraId="7059C614">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05415D65">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05705D6B">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42BC8DAA">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56938AA6">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存货</w:t>
            </w:r>
          </w:p>
        </w:tc>
        <w:tc>
          <w:tcPr>
            <w:tcW w:w="2835" w:type="dxa"/>
            <w:tcBorders>
              <w:top w:val="nil"/>
              <w:left w:val="nil"/>
              <w:bottom w:val="single" w:color="auto" w:sz="4" w:space="0"/>
              <w:right w:val="single" w:color="auto" w:sz="4" w:space="0"/>
            </w:tcBorders>
            <w:noWrap/>
            <w:vAlign w:val="center"/>
          </w:tcPr>
          <w:p w14:paraId="753ADE9D">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6E7B24D8">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3D201215">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37A8A6F6">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5C19F8D7">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6B6C4943">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现金流量表</w:t>
            </w:r>
          </w:p>
        </w:tc>
        <w:tc>
          <w:tcPr>
            <w:tcW w:w="2835" w:type="dxa"/>
            <w:tcBorders>
              <w:top w:val="nil"/>
              <w:left w:val="nil"/>
              <w:bottom w:val="single" w:color="auto" w:sz="4" w:space="0"/>
              <w:right w:val="single" w:color="auto" w:sz="4" w:space="0"/>
            </w:tcBorders>
            <w:noWrap/>
            <w:vAlign w:val="center"/>
          </w:tcPr>
          <w:p w14:paraId="34438487">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1D400C2E">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0CA05E91">
        <w:tblPrEx>
          <w:tblCellMar>
            <w:top w:w="0" w:type="dxa"/>
            <w:left w:w="108" w:type="dxa"/>
            <w:bottom w:w="0" w:type="dxa"/>
            <w:right w:w="108" w:type="dxa"/>
          </w:tblCellMar>
        </w:tblPrEx>
        <w:trPr>
          <w:trHeight w:val="285" w:hRule="atLeast"/>
        </w:trPr>
        <w:tc>
          <w:tcPr>
            <w:tcW w:w="720" w:type="dxa"/>
            <w:vMerge w:val="restart"/>
            <w:tcBorders>
              <w:top w:val="nil"/>
              <w:left w:val="single" w:color="auto" w:sz="4" w:space="0"/>
              <w:bottom w:val="single" w:color="auto" w:sz="4" w:space="0"/>
              <w:right w:val="single" w:color="auto" w:sz="4" w:space="0"/>
            </w:tcBorders>
            <w:noWrap/>
            <w:vAlign w:val="center"/>
          </w:tcPr>
          <w:p w14:paraId="12629383">
            <w:pPr>
              <w:widowControl/>
              <w:jc w:val="center"/>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3</w:t>
            </w:r>
          </w:p>
        </w:tc>
        <w:tc>
          <w:tcPr>
            <w:tcW w:w="1705" w:type="dxa"/>
            <w:vMerge w:val="restart"/>
            <w:tcBorders>
              <w:top w:val="nil"/>
              <w:left w:val="single" w:color="auto" w:sz="4" w:space="0"/>
              <w:bottom w:val="single" w:color="auto" w:sz="4" w:space="0"/>
              <w:right w:val="single" w:color="auto" w:sz="4" w:space="0"/>
            </w:tcBorders>
            <w:noWrap/>
            <w:vAlign w:val="center"/>
          </w:tcPr>
          <w:p w14:paraId="6AC1C0EF">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财务规范性</w:t>
            </w:r>
          </w:p>
        </w:tc>
        <w:tc>
          <w:tcPr>
            <w:tcW w:w="2693" w:type="dxa"/>
            <w:tcBorders>
              <w:top w:val="nil"/>
              <w:left w:val="nil"/>
              <w:bottom w:val="single" w:color="auto" w:sz="4" w:space="0"/>
              <w:right w:val="single" w:color="auto" w:sz="4" w:space="0"/>
            </w:tcBorders>
            <w:noWrap/>
            <w:vAlign w:val="center"/>
          </w:tcPr>
          <w:p w14:paraId="26138171">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内控制度有效性及会计核算基础规范性</w:t>
            </w:r>
          </w:p>
        </w:tc>
        <w:tc>
          <w:tcPr>
            <w:tcW w:w="2835" w:type="dxa"/>
            <w:tcBorders>
              <w:top w:val="nil"/>
              <w:left w:val="nil"/>
              <w:bottom w:val="single" w:color="auto" w:sz="4" w:space="0"/>
              <w:right w:val="single" w:color="auto" w:sz="4" w:space="0"/>
            </w:tcBorders>
            <w:noWrap/>
            <w:vAlign w:val="center"/>
          </w:tcPr>
          <w:p w14:paraId="5559A61D">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6B468D1C">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5ACA42E9">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7F5889A8">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02A5FFF3">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3558C1F4">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税收缴纳</w:t>
            </w:r>
          </w:p>
        </w:tc>
        <w:tc>
          <w:tcPr>
            <w:tcW w:w="2835" w:type="dxa"/>
            <w:tcBorders>
              <w:top w:val="nil"/>
              <w:left w:val="nil"/>
              <w:bottom w:val="single" w:color="auto" w:sz="4" w:space="0"/>
              <w:right w:val="single" w:color="auto" w:sz="4" w:space="0"/>
            </w:tcBorders>
            <w:noWrap/>
            <w:vAlign w:val="center"/>
          </w:tcPr>
          <w:p w14:paraId="29157BB8">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383816AA">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007B3211">
        <w:tblPrEx>
          <w:tblCellMar>
            <w:top w:w="0" w:type="dxa"/>
            <w:left w:w="108" w:type="dxa"/>
            <w:bottom w:w="0" w:type="dxa"/>
            <w:right w:w="108" w:type="dxa"/>
          </w:tblCellMar>
        </w:tblPrEx>
        <w:trPr>
          <w:trHeight w:val="285" w:hRule="atLeast"/>
        </w:trPr>
        <w:tc>
          <w:tcPr>
            <w:tcW w:w="720" w:type="dxa"/>
            <w:vMerge w:val="restart"/>
            <w:tcBorders>
              <w:top w:val="nil"/>
              <w:left w:val="single" w:color="auto" w:sz="4" w:space="0"/>
              <w:bottom w:val="single" w:color="auto" w:sz="4" w:space="0"/>
              <w:right w:val="single" w:color="auto" w:sz="4" w:space="0"/>
            </w:tcBorders>
            <w:noWrap/>
            <w:vAlign w:val="center"/>
          </w:tcPr>
          <w:p w14:paraId="1C75C59B">
            <w:pPr>
              <w:widowControl/>
              <w:jc w:val="center"/>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4</w:t>
            </w:r>
          </w:p>
        </w:tc>
        <w:tc>
          <w:tcPr>
            <w:tcW w:w="1705" w:type="dxa"/>
            <w:vMerge w:val="restart"/>
            <w:tcBorders>
              <w:top w:val="nil"/>
              <w:left w:val="single" w:color="auto" w:sz="4" w:space="0"/>
              <w:bottom w:val="single" w:color="auto" w:sz="4" w:space="0"/>
              <w:right w:val="single" w:color="auto" w:sz="4" w:space="0"/>
            </w:tcBorders>
            <w:noWrap/>
            <w:vAlign w:val="center"/>
          </w:tcPr>
          <w:p w14:paraId="6D2A806E">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财务指标与会计政策、估计</w:t>
            </w:r>
          </w:p>
        </w:tc>
        <w:tc>
          <w:tcPr>
            <w:tcW w:w="2693" w:type="dxa"/>
            <w:tcBorders>
              <w:top w:val="nil"/>
              <w:left w:val="nil"/>
              <w:bottom w:val="single" w:color="auto" w:sz="4" w:space="0"/>
              <w:right w:val="single" w:color="auto" w:sz="4" w:space="0"/>
            </w:tcBorders>
            <w:noWrap/>
            <w:vAlign w:val="center"/>
          </w:tcPr>
          <w:p w14:paraId="128DF3D9">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主要财务指标</w:t>
            </w:r>
          </w:p>
        </w:tc>
        <w:tc>
          <w:tcPr>
            <w:tcW w:w="2835" w:type="dxa"/>
            <w:tcBorders>
              <w:top w:val="nil"/>
              <w:left w:val="nil"/>
              <w:bottom w:val="single" w:color="auto" w:sz="4" w:space="0"/>
              <w:right w:val="single" w:color="auto" w:sz="4" w:space="0"/>
            </w:tcBorders>
            <w:noWrap/>
            <w:vAlign w:val="center"/>
          </w:tcPr>
          <w:p w14:paraId="6AD09748">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5F48A1FC">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4779DEA5">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113C70C6">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56BF110E">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7AFE231B">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会计政策及会计估计</w:t>
            </w:r>
          </w:p>
        </w:tc>
        <w:tc>
          <w:tcPr>
            <w:tcW w:w="2835" w:type="dxa"/>
            <w:tcBorders>
              <w:top w:val="nil"/>
              <w:left w:val="nil"/>
              <w:bottom w:val="single" w:color="auto" w:sz="4" w:space="0"/>
              <w:right w:val="single" w:color="auto" w:sz="4" w:space="0"/>
            </w:tcBorders>
            <w:noWrap/>
            <w:vAlign w:val="center"/>
          </w:tcPr>
          <w:p w14:paraId="0295C33D">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c>
          <w:tcPr>
            <w:tcW w:w="1632" w:type="dxa"/>
            <w:tcBorders>
              <w:top w:val="nil"/>
              <w:left w:val="nil"/>
              <w:bottom w:val="single" w:color="auto" w:sz="4" w:space="0"/>
              <w:right w:val="single" w:color="auto" w:sz="4" w:space="0"/>
            </w:tcBorders>
            <w:noWrap/>
            <w:vAlign w:val="center"/>
          </w:tcPr>
          <w:p w14:paraId="466FBB86">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45A838D4">
        <w:tblPrEx>
          <w:tblCellMar>
            <w:top w:w="0" w:type="dxa"/>
            <w:left w:w="108" w:type="dxa"/>
            <w:bottom w:w="0" w:type="dxa"/>
            <w:right w:w="108" w:type="dxa"/>
          </w:tblCellMar>
        </w:tblPrEx>
        <w:trPr>
          <w:trHeight w:val="285" w:hRule="atLeast"/>
        </w:trPr>
        <w:tc>
          <w:tcPr>
            <w:tcW w:w="720" w:type="dxa"/>
            <w:vMerge w:val="restart"/>
            <w:tcBorders>
              <w:top w:val="nil"/>
              <w:left w:val="single" w:color="auto" w:sz="4" w:space="0"/>
              <w:bottom w:val="single" w:color="auto" w:sz="4" w:space="0"/>
              <w:right w:val="single" w:color="auto" w:sz="4" w:space="0"/>
            </w:tcBorders>
            <w:noWrap/>
            <w:vAlign w:val="center"/>
          </w:tcPr>
          <w:p w14:paraId="295F3E0E">
            <w:pPr>
              <w:widowControl/>
              <w:jc w:val="center"/>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5</w:t>
            </w:r>
          </w:p>
        </w:tc>
        <w:tc>
          <w:tcPr>
            <w:tcW w:w="1705" w:type="dxa"/>
            <w:vMerge w:val="restart"/>
            <w:tcBorders>
              <w:top w:val="nil"/>
              <w:left w:val="single" w:color="auto" w:sz="4" w:space="0"/>
              <w:bottom w:val="single" w:color="auto" w:sz="4" w:space="0"/>
              <w:right w:val="single" w:color="auto" w:sz="4" w:space="0"/>
            </w:tcBorders>
            <w:noWrap/>
            <w:vAlign w:val="center"/>
          </w:tcPr>
          <w:p w14:paraId="45DC57F5">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关联交易</w:t>
            </w:r>
          </w:p>
        </w:tc>
        <w:tc>
          <w:tcPr>
            <w:tcW w:w="2693" w:type="dxa"/>
            <w:tcBorders>
              <w:top w:val="nil"/>
              <w:left w:val="nil"/>
              <w:bottom w:val="single" w:color="auto" w:sz="4" w:space="0"/>
              <w:right w:val="single" w:color="auto" w:sz="4" w:space="0"/>
            </w:tcBorders>
            <w:noWrap/>
            <w:vAlign w:val="center"/>
          </w:tcPr>
          <w:p w14:paraId="312726AD">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关联方</w:t>
            </w:r>
          </w:p>
        </w:tc>
        <w:tc>
          <w:tcPr>
            <w:tcW w:w="2835" w:type="dxa"/>
            <w:tcBorders>
              <w:top w:val="nil"/>
              <w:left w:val="nil"/>
              <w:bottom w:val="single" w:color="auto" w:sz="4" w:space="0"/>
              <w:right w:val="single" w:color="auto" w:sz="4" w:space="0"/>
            </w:tcBorders>
            <w:noWrap/>
            <w:vAlign w:val="center"/>
          </w:tcPr>
          <w:p w14:paraId="46037810">
            <w:pPr>
              <w:widowControl/>
              <w:jc w:val="left"/>
              <w:rPr>
                <w:rFonts w:hint="eastAsia" w:ascii="仿宋_GB2312" w:hAnsi="宋体" w:eastAsia="仿宋_GB2312" w:cs="宋体"/>
                <w:color w:val="FF0000"/>
                <w:kern w:val="0"/>
                <w:szCs w:val="21"/>
              </w:rPr>
            </w:pPr>
          </w:p>
        </w:tc>
        <w:tc>
          <w:tcPr>
            <w:tcW w:w="1632" w:type="dxa"/>
            <w:tcBorders>
              <w:top w:val="nil"/>
              <w:left w:val="nil"/>
              <w:bottom w:val="single" w:color="auto" w:sz="4" w:space="0"/>
              <w:right w:val="single" w:color="auto" w:sz="4" w:space="0"/>
            </w:tcBorders>
            <w:noWrap/>
            <w:vAlign w:val="center"/>
          </w:tcPr>
          <w:p w14:paraId="0E21E704">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2250E058">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6198F594">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4412236E">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06E605B0">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关联交易类型</w:t>
            </w:r>
          </w:p>
        </w:tc>
        <w:tc>
          <w:tcPr>
            <w:tcW w:w="2835" w:type="dxa"/>
            <w:tcBorders>
              <w:top w:val="nil"/>
              <w:left w:val="nil"/>
              <w:bottom w:val="single" w:color="auto" w:sz="4" w:space="0"/>
              <w:right w:val="single" w:color="auto" w:sz="4" w:space="0"/>
            </w:tcBorders>
            <w:noWrap/>
            <w:vAlign w:val="center"/>
          </w:tcPr>
          <w:p w14:paraId="4174D26E">
            <w:pPr>
              <w:widowControl/>
              <w:jc w:val="left"/>
              <w:rPr>
                <w:rFonts w:hint="eastAsia" w:ascii="仿宋_GB2312" w:hAnsi="宋体" w:eastAsia="仿宋_GB2312" w:cs="宋体"/>
                <w:color w:val="FF0000"/>
                <w:kern w:val="0"/>
                <w:szCs w:val="21"/>
              </w:rPr>
            </w:pPr>
          </w:p>
        </w:tc>
        <w:tc>
          <w:tcPr>
            <w:tcW w:w="1632" w:type="dxa"/>
            <w:tcBorders>
              <w:top w:val="nil"/>
              <w:left w:val="nil"/>
              <w:bottom w:val="single" w:color="auto" w:sz="4" w:space="0"/>
              <w:right w:val="single" w:color="auto" w:sz="4" w:space="0"/>
            </w:tcBorders>
            <w:noWrap/>
            <w:vAlign w:val="center"/>
          </w:tcPr>
          <w:p w14:paraId="39B9A738">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r w14:paraId="210A6B9D">
        <w:tblPrEx>
          <w:tblCellMar>
            <w:top w:w="0" w:type="dxa"/>
            <w:left w:w="108" w:type="dxa"/>
            <w:bottom w:w="0" w:type="dxa"/>
            <w:right w:w="108" w:type="dxa"/>
          </w:tblCellMar>
        </w:tblPrEx>
        <w:trPr>
          <w:trHeight w:val="285" w:hRule="atLeast"/>
        </w:trPr>
        <w:tc>
          <w:tcPr>
            <w:tcW w:w="720" w:type="dxa"/>
            <w:vMerge w:val="continue"/>
            <w:tcBorders>
              <w:top w:val="nil"/>
              <w:left w:val="single" w:color="auto" w:sz="4" w:space="0"/>
              <w:bottom w:val="single" w:color="auto" w:sz="4" w:space="0"/>
              <w:right w:val="single" w:color="auto" w:sz="4" w:space="0"/>
            </w:tcBorders>
            <w:vAlign w:val="center"/>
          </w:tcPr>
          <w:p w14:paraId="13BB5102">
            <w:pPr>
              <w:widowControl/>
              <w:jc w:val="left"/>
              <w:rPr>
                <w:rFonts w:hint="eastAsia" w:ascii="仿宋_GB2312" w:hAnsi="宋体" w:eastAsia="仿宋_GB2312" w:cs="宋体"/>
                <w:color w:val="000000"/>
                <w:kern w:val="0"/>
                <w:szCs w:val="21"/>
              </w:rPr>
            </w:pPr>
          </w:p>
        </w:tc>
        <w:tc>
          <w:tcPr>
            <w:tcW w:w="1705" w:type="dxa"/>
            <w:vMerge w:val="continue"/>
            <w:tcBorders>
              <w:top w:val="nil"/>
              <w:left w:val="single" w:color="auto" w:sz="4" w:space="0"/>
              <w:bottom w:val="single" w:color="auto" w:sz="4" w:space="0"/>
              <w:right w:val="single" w:color="auto" w:sz="4" w:space="0"/>
            </w:tcBorders>
            <w:vAlign w:val="center"/>
          </w:tcPr>
          <w:p w14:paraId="141F86AE">
            <w:pPr>
              <w:widowControl/>
              <w:jc w:val="left"/>
              <w:rPr>
                <w:rFonts w:hint="eastAsia" w:ascii="仿宋" w:hAnsi="仿宋" w:eastAsia="仿宋" w:cs="宋体"/>
                <w:color w:val="000000"/>
                <w:kern w:val="0"/>
                <w:szCs w:val="21"/>
              </w:rPr>
            </w:pPr>
          </w:p>
        </w:tc>
        <w:tc>
          <w:tcPr>
            <w:tcW w:w="2693" w:type="dxa"/>
            <w:tcBorders>
              <w:top w:val="nil"/>
              <w:left w:val="nil"/>
              <w:bottom w:val="single" w:color="auto" w:sz="4" w:space="0"/>
              <w:right w:val="single" w:color="auto" w:sz="4" w:space="0"/>
            </w:tcBorders>
            <w:noWrap/>
            <w:vAlign w:val="center"/>
          </w:tcPr>
          <w:p w14:paraId="187E8998">
            <w:pPr>
              <w:widowControl/>
              <w:jc w:val="left"/>
              <w:rPr>
                <w:rFonts w:hint="eastAsia" w:ascii="仿宋" w:hAnsi="仿宋" w:eastAsia="仿宋" w:cs="宋体"/>
                <w:color w:val="000000"/>
                <w:kern w:val="0"/>
                <w:szCs w:val="21"/>
              </w:rPr>
            </w:pPr>
            <w:r>
              <w:rPr>
                <w:rFonts w:hint="eastAsia" w:ascii="仿宋" w:hAnsi="仿宋" w:eastAsia="仿宋" w:cs="宋体"/>
                <w:color w:val="000000"/>
                <w:kern w:val="0"/>
                <w:szCs w:val="21"/>
              </w:rPr>
              <w:t>必要性与公允性</w:t>
            </w:r>
          </w:p>
        </w:tc>
        <w:tc>
          <w:tcPr>
            <w:tcW w:w="2835" w:type="dxa"/>
            <w:tcBorders>
              <w:top w:val="nil"/>
              <w:left w:val="nil"/>
              <w:bottom w:val="single" w:color="auto" w:sz="4" w:space="0"/>
              <w:right w:val="single" w:color="auto" w:sz="4" w:space="0"/>
            </w:tcBorders>
            <w:noWrap/>
            <w:vAlign w:val="center"/>
          </w:tcPr>
          <w:p w14:paraId="49715187">
            <w:pPr>
              <w:widowControl/>
              <w:jc w:val="left"/>
              <w:rPr>
                <w:rFonts w:hint="eastAsia" w:ascii="仿宋_GB2312" w:hAnsi="宋体" w:eastAsia="仿宋_GB2312" w:cs="宋体"/>
                <w:color w:val="FF0000"/>
                <w:kern w:val="0"/>
                <w:szCs w:val="21"/>
              </w:rPr>
            </w:pPr>
          </w:p>
        </w:tc>
        <w:tc>
          <w:tcPr>
            <w:tcW w:w="1632" w:type="dxa"/>
            <w:tcBorders>
              <w:top w:val="nil"/>
              <w:left w:val="nil"/>
              <w:bottom w:val="single" w:color="auto" w:sz="4" w:space="0"/>
              <w:right w:val="single" w:color="auto" w:sz="4" w:space="0"/>
            </w:tcBorders>
            <w:noWrap/>
            <w:vAlign w:val="center"/>
          </w:tcPr>
          <w:p w14:paraId="1B51828F">
            <w:pPr>
              <w:widowControl/>
              <w:jc w:val="left"/>
              <w:rPr>
                <w:rFonts w:hint="eastAsia" w:ascii="仿宋_GB2312" w:hAnsi="宋体" w:eastAsia="仿宋_GB2312" w:cs="宋体"/>
                <w:color w:val="000000"/>
                <w:kern w:val="0"/>
                <w:szCs w:val="21"/>
              </w:rPr>
            </w:pPr>
            <w:r>
              <w:rPr>
                <w:rFonts w:hint="eastAsia" w:ascii="仿宋_GB2312" w:hAnsi="宋体" w:eastAsia="仿宋_GB2312" w:cs="宋体"/>
                <w:color w:val="000000"/>
                <w:kern w:val="0"/>
                <w:szCs w:val="21"/>
              </w:rPr>
              <w:t>　</w:t>
            </w:r>
          </w:p>
        </w:tc>
      </w:tr>
    </w:tbl>
    <w:p w14:paraId="6BC23DAB">
      <w:pPr>
        <w:spacing w:before="156" w:beforeLines="50" w:line="300" w:lineRule="auto"/>
        <w:ind w:firstLine="480" w:firstLineChars="200"/>
        <w:rPr>
          <w:rFonts w:hint="eastAsia" w:ascii="仿宋_GB2312" w:hAnsi="宋体" w:eastAsia="仿宋_GB2312"/>
          <w:sz w:val="24"/>
        </w:rPr>
      </w:pPr>
    </w:p>
    <w:p w14:paraId="29467898">
      <w:pPr>
        <w:pStyle w:val="11"/>
        <w:jc w:val="left"/>
        <w:rPr>
          <w:rFonts w:ascii="仿宋_GB2312" w:eastAsia="仿宋_GB2312"/>
          <w:sz w:val="28"/>
          <w:szCs w:val="28"/>
        </w:rPr>
      </w:pPr>
      <w:bookmarkStart w:id="20" w:name="_Toc152693408"/>
      <w:r>
        <w:rPr>
          <w:rFonts w:hint="eastAsia" w:ascii="仿宋_GB2312" w:eastAsia="仿宋_GB2312"/>
          <w:sz w:val="28"/>
          <w:szCs w:val="28"/>
        </w:rPr>
        <w:t>十六、提请下年度审计关注事项</w:t>
      </w:r>
      <w:bookmarkEnd w:id="20"/>
    </w:p>
    <w:p w14:paraId="0F8D1D30">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1、监管政策、市场变化对下年度的影响；</w:t>
      </w:r>
    </w:p>
    <w:p w14:paraId="33A5763B">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2、本年度重大事项在下年度的延续；</w:t>
      </w:r>
    </w:p>
    <w:p w14:paraId="6DB58D52">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3、本年度内部控制的重大变化在下年度的执行情况；</w:t>
      </w:r>
    </w:p>
    <w:p w14:paraId="68FB8576">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4、对重大职业判断和特别风险的提示；</w:t>
      </w:r>
    </w:p>
    <w:p w14:paraId="143BF7AE">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5、特殊行业项目组的构成提示，如人员结构、知识层次、人员数量、工时等；</w:t>
      </w:r>
    </w:p>
    <w:p w14:paraId="5B9992B2">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6、期后事项在下年度的执行情况；</w:t>
      </w:r>
    </w:p>
    <w:p w14:paraId="2D9D9141">
      <w:pPr>
        <w:spacing w:before="156" w:beforeLines="50" w:line="300" w:lineRule="auto"/>
        <w:ind w:firstLine="480" w:firstLineChars="200"/>
        <w:rPr>
          <w:rFonts w:hint="eastAsia" w:ascii="仿宋_GB2312" w:hAnsi="宋体" w:eastAsia="仿宋_GB2312"/>
          <w:color w:val="FF0000"/>
          <w:sz w:val="24"/>
        </w:rPr>
      </w:pPr>
      <w:r>
        <w:rPr>
          <w:rFonts w:hint="eastAsia" w:ascii="仿宋_GB2312" w:hAnsi="宋体" w:eastAsia="仿宋_GB2312"/>
          <w:color w:val="FF0000"/>
          <w:sz w:val="24"/>
        </w:rPr>
        <w:t>7、监管部门检查对下年度的影响。</w:t>
      </w:r>
    </w:p>
    <w:p w14:paraId="10DA353F">
      <w:pPr>
        <w:spacing w:before="156" w:beforeLines="50" w:line="300" w:lineRule="auto"/>
        <w:ind w:firstLine="480" w:firstLineChars="200"/>
        <w:rPr>
          <w:rFonts w:hint="eastAsia" w:ascii="仿宋_GB2312" w:hAnsi="宋体" w:eastAsia="仿宋_GB2312"/>
          <w:sz w:val="24"/>
        </w:rPr>
      </w:pPr>
    </w:p>
    <w:p w14:paraId="1E396211">
      <w:pPr>
        <w:pStyle w:val="11"/>
        <w:jc w:val="left"/>
        <w:rPr>
          <w:rFonts w:ascii="仿宋_GB2312" w:eastAsia="仿宋_GB2312"/>
          <w:sz w:val="28"/>
          <w:szCs w:val="28"/>
        </w:rPr>
      </w:pPr>
      <w:bookmarkStart w:id="21" w:name="_Toc152693409"/>
      <w:r>
        <w:rPr>
          <w:rFonts w:hint="eastAsia" w:ascii="仿宋_GB2312" w:eastAsia="仿宋_GB2312"/>
          <w:sz w:val="28"/>
          <w:szCs w:val="28"/>
        </w:rPr>
        <w:t>附件：</w:t>
      </w:r>
      <w:bookmarkEnd w:id="21"/>
    </w:p>
    <w:p w14:paraId="6E0398B4">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重大事项概要—关键审计事项</w:t>
      </w:r>
      <w:r>
        <w:rPr>
          <w:rFonts w:hint="eastAsia" w:ascii="仿宋_GB2312" w:hAnsi="宋体" w:eastAsia="仿宋_GB2312"/>
          <w:color w:val="FF0000"/>
          <w:sz w:val="24"/>
        </w:rPr>
        <w:t>A17-2-1</w:t>
      </w:r>
    </w:p>
    <w:p w14:paraId="53737663">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重大事项业务咨询记录</w:t>
      </w:r>
      <w:r>
        <w:rPr>
          <w:rFonts w:hint="eastAsia" w:ascii="仿宋_GB2312" w:hAnsi="宋体" w:eastAsia="仿宋_GB2312"/>
          <w:color w:val="FF0000"/>
          <w:sz w:val="24"/>
        </w:rPr>
        <w:t>A17-3</w:t>
      </w:r>
    </w:p>
    <w:p w14:paraId="0F919839">
      <w:pPr>
        <w:spacing w:before="156" w:beforeLines="50" w:line="300" w:lineRule="auto"/>
        <w:ind w:firstLine="480" w:firstLineChars="200"/>
        <w:rPr>
          <w:rFonts w:hint="eastAsia" w:ascii="仿宋_GB2312" w:hAnsi="宋体" w:eastAsia="仿宋_GB2312"/>
          <w:sz w:val="24"/>
        </w:rPr>
      </w:pPr>
      <w:r>
        <w:rPr>
          <w:rFonts w:hint="eastAsia" w:ascii="仿宋_GB2312" w:hAnsi="宋体" w:eastAsia="仿宋_GB2312"/>
          <w:sz w:val="24"/>
        </w:rPr>
        <w:t>专业意见分歧解决记录</w:t>
      </w:r>
      <w:r>
        <w:rPr>
          <w:rFonts w:hint="eastAsia" w:ascii="仿宋_GB2312" w:hAnsi="宋体" w:eastAsia="仿宋_GB2312"/>
          <w:color w:val="FF0000"/>
          <w:sz w:val="24"/>
        </w:rPr>
        <w:t>A17-4</w:t>
      </w:r>
    </w:p>
    <w:p w14:paraId="5F897788">
      <w:pPr>
        <w:spacing w:before="156" w:beforeLines="50" w:line="300" w:lineRule="auto"/>
        <w:ind w:firstLine="480" w:firstLineChars="200"/>
        <w:rPr>
          <w:rFonts w:hint="eastAsia" w:ascii="仿宋_GB2312" w:hAnsi="宋体" w:eastAsia="仿宋_GB2312"/>
          <w:sz w:val="24"/>
        </w:rPr>
      </w:pPr>
    </w:p>
    <w:sectPr>
      <w:headerReference r:id="rId5" w:type="default"/>
      <w:pgSz w:w="11906" w:h="16838"/>
      <w:pgMar w:top="1247" w:right="1134" w:bottom="1134" w:left="1588" w:header="851"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挀甀洀攀渀">
    <w:altName w:val="仿宋_GB2312"/>
    <w:panose1 w:val="00000000000000000000"/>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Arial Narrow">
    <w:panose1 w:val="020B0606020202030204"/>
    <w:charset w:val="00"/>
    <w:family w:val="swiss"/>
    <w:pitch w:val="default"/>
    <w:sig w:usb0="00000287" w:usb1="00000800" w:usb2="00000000" w:usb3="00000000" w:csb0="2000009F" w:csb1="DFD70000"/>
  </w:font>
  <w:font w:name="幼圆">
    <w:panose1 w:val="0201050906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BD5DD">
    <w:pPr>
      <w:pStyle w:val="6"/>
      <w:jc w:val="center"/>
    </w:pPr>
    <w:r>
      <w:fldChar w:fldCharType="begin"/>
    </w:r>
    <w:r>
      <w:instrText xml:space="preserve">PAGE   \* MERGEFORMAT</w:instrText>
    </w:r>
    <w:r>
      <w:fldChar w:fldCharType="separate"/>
    </w:r>
    <w:r>
      <w:rPr>
        <w:lang w:val="zh-CN"/>
      </w:rPr>
      <w:t>5</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4428"/>
      <w:gridCol w:w="4860"/>
    </w:tblGrid>
    <w:tr w14:paraId="6AAD5227">
      <w:tc>
        <w:tcPr>
          <w:tcW w:w="4428" w:type="dxa"/>
          <w:vMerge w:val="restart"/>
          <w:vAlign w:val="center"/>
        </w:tcPr>
        <w:p w14:paraId="5623A5DF">
          <w:r>
            <w:drawing>
              <wp:inline distT="0" distB="0" distL="0" distR="0">
                <wp:extent cx="2200275" cy="638175"/>
                <wp:effectExtent l="0" t="0" r="9525" b="9525"/>
                <wp:docPr id="1" name="图片 1"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00275" cy="638175"/>
                        </a:xfrm>
                        <a:prstGeom prst="rect">
                          <a:avLst/>
                        </a:prstGeom>
                        <a:noFill/>
                        <a:ln>
                          <a:noFill/>
                        </a:ln>
                      </pic:spPr>
                    </pic:pic>
                  </a:graphicData>
                </a:graphic>
              </wp:inline>
            </w:drawing>
          </w:r>
        </w:p>
      </w:tc>
      <w:tc>
        <w:tcPr>
          <w:tcW w:w="4860" w:type="dxa"/>
        </w:tcPr>
        <w:p w14:paraId="309F4F2E">
          <w:pPr>
            <w:jc w:val="right"/>
          </w:pPr>
          <w:r>
            <w:rPr>
              <w:rFonts w:hint="eastAsia" w:ascii="幼圆" w:eastAsia="幼圆" w:cs="幼圆"/>
              <w:color w:val="FF0000"/>
            </w:rPr>
            <w:t>×××</w:t>
          </w:r>
          <w:r>
            <w:rPr>
              <w:rFonts w:hint="eastAsia" w:ascii="幼圆" w:eastAsia="幼圆" w:cs="幼圆"/>
              <w:color w:val="333399"/>
            </w:rPr>
            <w:t>股份有限公司</w:t>
          </w:r>
        </w:p>
      </w:tc>
    </w:tr>
    <w:tr w14:paraId="39965665">
      <w:tblPrEx>
        <w:tblCellMar>
          <w:top w:w="0" w:type="dxa"/>
          <w:left w:w="108" w:type="dxa"/>
          <w:bottom w:w="0" w:type="dxa"/>
          <w:right w:w="108" w:type="dxa"/>
        </w:tblCellMar>
      </w:tblPrEx>
      <w:tc>
        <w:tcPr>
          <w:tcW w:w="4428" w:type="dxa"/>
          <w:vMerge w:val="continue"/>
        </w:tcPr>
        <w:p w14:paraId="16359616"/>
      </w:tc>
      <w:tc>
        <w:tcPr>
          <w:tcW w:w="4860" w:type="dxa"/>
        </w:tcPr>
        <w:p w14:paraId="20CB7D65">
          <w:pPr>
            <w:jc w:val="right"/>
          </w:pPr>
          <w:r>
            <w:rPr>
              <w:rFonts w:ascii="幼圆" w:eastAsia="幼圆" w:cs="幼圆"/>
              <w:color w:val="333399"/>
            </w:rPr>
            <w:t>202</w:t>
          </w:r>
          <w:r>
            <w:rPr>
              <w:rFonts w:hint="eastAsia" w:ascii="幼圆" w:eastAsia="幼圆" w:cs="幼圆"/>
              <w:color w:val="FF0000"/>
            </w:rPr>
            <w:t>×</w:t>
          </w:r>
          <w:r>
            <w:rPr>
              <w:rFonts w:hint="eastAsia" w:ascii="幼圆" w:eastAsia="幼圆" w:cs="幼圆"/>
              <w:color w:val="333399"/>
            </w:rPr>
            <w:t>年</w:t>
          </w:r>
          <w:r>
            <w:rPr>
              <w:rFonts w:hint="eastAsia" w:ascii="幼圆" w:eastAsia="幼圆" w:cs="幼圆"/>
              <w:color w:val="FF0000"/>
            </w:rPr>
            <w:t>×</w:t>
          </w:r>
          <w:r>
            <w:rPr>
              <w:rFonts w:hint="eastAsia" w:ascii="幼圆" w:eastAsia="幼圆" w:cs="幼圆"/>
              <w:color w:val="333399"/>
            </w:rPr>
            <w:t>月</w:t>
          </w:r>
          <w:r>
            <w:rPr>
              <w:rFonts w:hint="eastAsia" w:ascii="幼圆" w:eastAsia="幼圆" w:cs="幼圆"/>
              <w:color w:val="FF0000"/>
            </w:rPr>
            <w:t>×</w:t>
          </w:r>
          <w:r>
            <w:rPr>
              <w:rFonts w:hint="eastAsia" w:ascii="幼圆" w:eastAsia="幼圆" w:cs="幼圆"/>
              <w:color w:val="333399"/>
            </w:rPr>
            <w:t>日</w:t>
          </w:r>
        </w:p>
      </w:tc>
    </w:tr>
    <w:tr w14:paraId="6A502E4C">
      <w:tblPrEx>
        <w:tblCellMar>
          <w:top w:w="0" w:type="dxa"/>
          <w:left w:w="108" w:type="dxa"/>
          <w:bottom w:w="0" w:type="dxa"/>
          <w:right w:w="108" w:type="dxa"/>
        </w:tblCellMar>
      </w:tblPrEx>
      <w:tc>
        <w:tcPr>
          <w:tcW w:w="4428" w:type="dxa"/>
          <w:vMerge w:val="continue"/>
        </w:tcPr>
        <w:p w14:paraId="577D3E33"/>
      </w:tc>
      <w:tc>
        <w:tcPr>
          <w:tcW w:w="4860" w:type="dxa"/>
        </w:tcPr>
        <w:p w14:paraId="7AC81EBD">
          <w:pPr>
            <w:jc w:val="right"/>
            <w:rPr>
              <w:rFonts w:ascii="幼圆" w:eastAsia="幼圆" w:cs="幼圆"/>
              <w:color w:val="333399"/>
            </w:rPr>
          </w:pPr>
          <w:r>
            <w:rPr>
              <w:rFonts w:hint="eastAsia" w:ascii="幼圆" w:eastAsia="幼圆" w:cs="幼圆"/>
              <w:color w:val="333399"/>
            </w:rPr>
            <w:t>重大事项概要汇总（审计小结）</w:t>
          </w:r>
        </w:p>
      </w:tc>
    </w:tr>
    <w:tr w14:paraId="5BD6A71B">
      <w:tblPrEx>
        <w:tblCellMar>
          <w:top w:w="0" w:type="dxa"/>
          <w:left w:w="108" w:type="dxa"/>
          <w:bottom w:w="0" w:type="dxa"/>
          <w:right w:w="108" w:type="dxa"/>
        </w:tblCellMar>
      </w:tblPrEx>
      <w:tc>
        <w:tcPr>
          <w:tcW w:w="4428" w:type="dxa"/>
          <w:vMerge w:val="continue"/>
        </w:tcPr>
        <w:p w14:paraId="210CFA58"/>
      </w:tc>
      <w:tc>
        <w:tcPr>
          <w:tcW w:w="4860" w:type="dxa"/>
        </w:tcPr>
        <w:p w14:paraId="09ECC88E">
          <w:pPr>
            <w:jc w:val="right"/>
          </w:pPr>
          <w:r>
            <w:rPr>
              <w:rFonts w:hint="eastAsia" w:ascii="幼圆" w:eastAsia="幼圆" w:cs="幼圆"/>
              <w:color w:val="333399"/>
            </w:rPr>
            <w:t>索引号：A17-1</w:t>
          </w:r>
        </w:p>
      </w:tc>
    </w:tr>
  </w:tbl>
  <w:p w14:paraId="54D5A780">
    <w:pPr>
      <w:pStyle w:val="7"/>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2C7C4">
    <w:pPr>
      <w:pStyle w:val="7"/>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12F6F"/>
    <w:rsid w:val="0001390D"/>
    <w:rsid w:val="000211EA"/>
    <w:rsid w:val="00035B75"/>
    <w:rsid w:val="00050C02"/>
    <w:rsid w:val="00050EFA"/>
    <w:rsid w:val="000514F7"/>
    <w:rsid w:val="0006319D"/>
    <w:rsid w:val="00076AB4"/>
    <w:rsid w:val="0007798B"/>
    <w:rsid w:val="000925ED"/>
    <w:rsid w:val="00094D2F"/>
    <w:rsid w:val="00096859"/>
    <w:rsid w:val="00097FB3"/>
    <w:rsid w:val="000A7674"/>
    <w:rsid w:val="000B152C"/>
    <w:rsid w:val="000B651E"/>
    <w:rsid w:val="000B6C01"/>
    <w:rsid w:val="000D3E9A"/>
    <w:rsid w:val="000D5BB2"/>
    <w:rsid w:val="000E0B70"/>
    <w:rsid w:val="000E0F43"/>
    <w:rsid w:val="000E661E"/>
    <w:rsid w:val="000E78B0"/>
    <w:rsid w:val="00106976"/>
    <w:rsid w:val="00110987"/>
    <w:rsid w:val="001123B2"/>
    <w:rsid w:val="00112F6E"/>
    <w:rsid w:val="00120446"/>
    <w:rsid w:val="00121A45"/>
    <w:rsid w:val="00133F15"/>
    <w:rsid w:val="001377E3"/>
    <w:rsid w:val="00140268"/>
    <w:rsid w:val="00144F3A"/>
    <w:rsid w:val="001504E3"/>
    <w:rsid w:val="00160774"/>
    <w:rsid w:val="00162A4D"/>
    <w:rsid w:val="001632F3"/>
    <w:rsid w:val="00174BB3"/>
    <w:rsid w:val="001A7B4B"/>
    <w:rsid w:val="001D3142"/>
    <w:rsid w:val="001F7861"/>
    <w:rsid w:val="00207A7D"/>
    <w:rsid w:val="0021098A"/>
    <w:rsid w:val="00212716"/>
    <w:rsid w:val="00213CFD"/>
    <w:rsid w:val="002143EA"/>
    <w:rsid w:val="002155E2"/>
    <w:rsid w:val="002200E9"/>
    <w:rsid w:val="00240727"/>
    <w:rsid w:val="002528DB"/>
    <w:rsid w:val="00255FAC"/>
    <w:rsid w:val="002644F6"/>
    <w:rsid w:val="00275013"/>
    <w:rsid w:val="00282336"/>
    <w:rsid w:val="002A3091"/>
    <w:rsid w:val="002B0B2C"/>
    <w:rsid w:val="002B270B"/>
    <w:rsid w:val="002C24EF"/>
    <w:rsid w:val="002C62F1"/>
    <w:rsid w:val="002D6FD7"/>
    <w:rsid w:val="002E37DF"/>
    <w:rsid w:val="002F4E51"/>
    <w:rsid w:val="003133DB"/>
    <w:rsid w:val="00314FB8"/>
    <w:rsid w:val="00320E55"/>
    <w:rsid w:val="003222EC"/>
    <w:rsid w:val="00322652"/>
    <w:rsid w:val="003429EB"/>
    <w:rsid w:val="0035013C"/>
    <w:rsid w:val="00351C52"/>
    <w:rsid w:val="00361E5A"/>
    <w:rsid w:val="0037794F"/>
    <w:rsid w:val="00384352"/>
    <w:rsid w:val="003847A7"/>
    <w:rsid w:val="003937CD"/>
    <w:rsid w:val="00393D54"/>
    <w:rsid w:val="00394A0A"/>
    <w:rsid w:val="003971C3"/>
    <w:rsid w:val="003B149B"/>
    <w:rsid w:val="003C2BBE"/>
    <w:rsid w:val="003D2F0F"/>
    <w:rsid w:val="003E1901"/>
    <w:rsid w:val="003E2047"/>
    <w:rsid w:val="003E5715"/>
    <w:rsid w:val="003F3B0F"/>
    <w:rsid w:val="003F4813"/>
    <w:rsid w:val="003F6027"/>
    <w:rsid w:val="00407ECF"/>
    <w:rsid w:val="00413C24"/>
    <w:rsid w:val="00420C88"/>
    <w:rsid w:val="00427989"/>
    <w:rsid w:val="00427A7F"/>
    <w:rsid w:val="00443B4D"/>
    <w:rsid w:val="00457088"/>
    <w:rsid w:val="00460D53"/>
    <w:rsid w:val="004620E2"/>
    <w:rsid w:val="00472D6B"/>
    <w:rsid w:val="004753F3"/>
    <w:rsid w:val="00482523"/>
    <w:rsid w:val="004A7674"/>
    <w:rsid w:val="004C05F5"/>
    <w:rsid w:val="004D324F"/>
    <w:rsid w:val="004D469A"/>
    <w:rsid w:val="004D722F"/>
    <w:rsid w:val="004D7730"/>
    <w:rsid w:val="004E5155"/>
    <w:rsid w:val="004F5BCE"/>
    <w:rsid w:val="005029FB"/>
    <w:rsid w:val="00503E75"/>
    <w:rsid w:val="00506B66"/>
    <w:rsid w:val="00537B5A"/>
    <w:rsid w:val="0054568A"/>
    <w:rsid w:val="005472FB"/>
    <w:rsid w:val="00551EAB"/>
    <w:rsid w:val="00580E2E"/>
    <w:rsid w:val="0058285A"/>
    <w:rsid w:val="00582FA7"/>
    <w:rsid w:val="00594B57"/>
    <w:rsid w:val="005C1D1D"/>
    <w:rsid w:val="005C4FFA"/>
    <w:rsid w:val="005C5BEA"/>
    <w:rsid w:val="005C6458"/>
    <w:rsid w:val="005D7A93"/>
    <w:rsid w:val="005E5DD8"/>
    <w:rsid w:val="00602F59"/>
    <w:rsid w:val="00604338"/>
    <w:rsid w:val="0060467E"/>
    <w:rsid w:val="00611969"/>
    <w:rsid w:val="00623E68"/>
    <w:rsid w:val="006242E6"/>
    <w:rsid w:val="006352FD"/>
    <w:rsid w:val="006410B8"/>
    <w:rsid w:val="00646555"/>
    <w:rsid w:val="00650C1E"/>
    <w:rsid w:val="006520DF"/>
    <w:rsid w:val="006537D2"/>
    <w:rsid w:val="006544FA"/>
    <w:rsid w:val="00662AA5"/>
    <w:rsid w:val="00664ED4"/>
    <w:rsid w:val="00682D84"/>
    <w:rsid w:val="006C1067"/>
    <w:rsid w:val="006C22C6"/>
    <w:rsid w:val="006C3934"/>
    <w:rsid w:val="006C59EE"/>
    <w:rsid w:val="006C7F50"/>
    <w:rsid w:val="006D1622"/>
    <w:rsid w:val="006D2C6B"/>
    <w:rsid w:val="006D3F7A"/>
    <w:rsid w:val="006E18F9"/>
    <w:rsid w:val="006F1E36"/>
    <w:rsid w:val="006F4DA1"/>
    <w:rsid w:val="0070470F"/>
    <w:rsid w:val="00704899"/>
    <w:rsid w:val="0070725F"/>
    <w:rsid w:val="00707523"/>
    <w:rsid w:val="00707B4C"/>
    <w:rsid w:val="00712F6F"/>
    <w:rsid w:val="00716003"/>
    <w:rsid w:val="00720622"/>
    <w:rsid w:val="00722DAC"/>
    <w:rsid w:val="00751030"/>
    <w:rsid w:val="007772D3"/>
    <w:rsid w:val="00791B2E"/>
    <w:rsid w:val="007B0997"/>
    <w:rsid w:val="007C0B25"/>
    <w:rsid w:val="007C6B57"/>
    <w:rsid w:val="007E09D0"/>
    <w:rsid w:val="007E4013"/>
    <w:rsid w:val="007F5A1E"/>
    <w:rsid w:val="007F7C47"/>
    <w:rsid w:val="0080080A"/>
    <w:rsid w:val="00805469"/>
    <w:rsid w:val="0081438C"/>
    <w:rsid w:val="00817C54"/>
    <w:rsid w:val="008219FF"/>
    <w:rsid w:val="00826EAC"/>
    <w:rsid w:val="0084050A"/>
    <w:rsid w:val="008459DC"/>
    <w:rsid w:val="00846B5B"/>
    <w:rsid w:val="0086465A"/>
    <w:rsid w:val="0088490A"/>
    <w:rsid w:val="00892F9A"/>
    <w:rsid w:val="0089392E"/>
    <w:rsid w:val="00893A68"/>
    <w:rsid w:val="008B0109"/>
    <w:rsid w:val="008B1298"/>
    <w:rsid w:val="008B20A7"/>
    <w:rsid w:val="008D0120"/>
    <w:rsid w:val="008D46FA"/>
    <w:rsid w:val="008D4FE2"/>
    <w:rsid w:val="008E36C3"/>
    <w:rsid w:val="008F37FF"/>
    <w:rsid w:val="0090527F"/>
    <w:rsid w:val="009262E9"/>
    <w:rsid w:val="00933FD6"/>
    <w:rsid w:val="00980C06"/>
    <w:rsid w:val="00992110"/>
    <w:rsid w:val="009A12B0"/>
    <w:rsid w:val="009A2166"/>
    <w:rsid w:val="009A3517"/>
    <w:rsid w:val="009A6CDD"/>
    <w:rsid w:val="009A70AE"/>
    <w:rsid w:val="009A71EA"/>
    <w:rsid w:val="009C06B5"/>
    <w:rsid w:val="009C6D1E"/>
    <w:rsid w:val="009D57A5"/>
    <w:rsid w:val="009D5F48"/>
    <w:rsid w:val="009D7D42"/>
    <w:rsid w:val="009E012F"/>
    <w:rsid w:val="009E20E4"/>
    <w:rsid w:val="009E7405"/>
    <w:rsid w:val="009F2844"/>
    <w:rsid w:val="00A02A24"/>
    <w:rsid w:val="00A02B48"/>
    <w:rsid w:val="00A17D69"/>
    <w:rsid w:val="00A27EF1"/>
    <w:rsid w:val="00A3403A"/>
    <w:rsid w:val="00A4718D"/>
    <w:rsid w:val="00A50E82"/>
    <w:rsid w:val="00A51157"/>
    <w:rsid w:val="00A52295"/>
    <w:rsid w:val="00A66E9B"/>
    <w:rsid w:val="00A74DEB"/>
    <w:rsid w:val="00A87815"/>
    <w:rsid w:val="00A914B5"/>
    <w:rsid w:val="00A94CF1"/>
    <w:rsid w:val="00AA7ECD"/>
    <w:rsid w:val="00AB2C7A"/>
    <w:rsid w:val="00AC51E2"/>
    <w:rsid w:val="00AC796C"/>
    <w:rsid w:val="00AD0CBF"/>
    <w:rsid w:val="00AD14A3"/>
    <w:rsid w:val="00AD439E"/>
    <w:rsid w:val="00AD62BF"/>
    <w:rsid w:val="00AE1FEE"/>
    <w:rsid w:val="00AE3885"/>
    <w:rsid w:val="00AE497E"/>
    <w:rsid w:val="00B0379F"/>
    <w:rsid w:val="00B07C9D"/>
    <w:rsid w:val="00B1070B"/>
    <w:rsid w:val="00B17DD2"/>
    <w:rsid w:val="00B3175A"/>
    <w:rsid w:val="00B406B3"/>
    <w:rsid w:val="00B62365"/>
    <w:rsid w:val="00B77859"/>
    <w:rsid w:val="00B90B9F"/>
    <w:rsid w:val="00B93C47"/>
    <w:rsid w:val="00B97CE6"/>
    <w:rsid w:val="00BA7178"/>
    <w:rsid w:val="00BB69CD"/>
    <w:rsid w:val="00BD2924"/>
    <w:rsid w:val="00BD6FB7"/>
    <w:rsid w:val="00C02578"/>
    <w:rsid w:val="00C344D5"/>
    <w:rsid w:val="00C372F6"/>
    <w:rsid w:val="00C45978"/>
    <w:rsid w:val="00C53E7A"/>
    <w:rsid w:val="00C568C6"/>
    <w:rsid w:val="00C67037"/>
    <w:rsid w:val="00C763ED"/>
    <w:rsid w:val="00C80256"/>
    <w:rsid w:val="00C87DA4"/>
    <w:rsid w:val="00C9311C"/>
    <w:rsid w:val="00C94766"/>
    <w:rsid w:val="00CB3389"/>
    <w:rsid w:val="00CC1917"/>
    <w:rsid w:val="00CD49F6"/>
    <w:rsid w:val="00CE2334"/>
    <w:rsid w:val="00CE6AD5"/>
    <w:rsid w:val="00CF26CB"/>
    <w:rsid w:val="00CF2E1C"/>
    <w:rsid w:val="00CF33BA"/>
    <w:rsid w:val="00CF3467"/>
    <w:rsid w:val="00CF3CBB"/>
    <w:rsid w:val="00D10397"/>
    <w:rsid w:val="00D16B3D"/>
    <w:rsid w:val="00D1714A"/>
    <w:rsid w:val="00D17307"/>
    <w:rsid w:val="00D203A5"/>
    <w:rsid w:val="00D26704"/>
    <w:rsid w:val="00D33AE3"/>
    <w:rsid w:val="00D3680F"/>
    <w:rsid w:val="00D446E1"/>
    <w:rsid w:val="00D45C9D"/>
    <w:rsid w:val="00D55C3F"/>
    <w:rsid w:val="00D64949"/>
    <w:rsid w:val="00D66BBD"/>
    <w:rsid w:val="00D74A62"/>
    <w:rsid w:val="00D806D0"/>
    <w:rsid w:val="00D8097C"/>
    <w:rsid w:val="00D853F6"/>
    <w:rsid w:val="00D87DD7"/>
    <w:rsid w:val="00D91503"/>
    <w:rsid w:val="00D921EA"/>
    <w:rsid w:val="00DC09B0"/>
    <w:rsid w:val="00DC79F1"/>
    <w:rsid w:val="00DD3FAB"/>
    <w:rsid w:val="00DE34F9"/>
    <w:rsid w:val="00DF1708"/>
    <w:rsid w:val="00DF1D08"/>
    <w:rsid w:val="00DF1EDA"/>
    <w:rsid w:val="00DF2DD0"/>
    <w:rsid w:val="00DF4B4C"/>
    <w:rsid w:val="00DF5B92"/>
    <w:rsid w:val="00E0512C"/>
    <w:rsid w:val="00E32FE2"/>
    <w:rsid w:val="00E452C2"/>
    <w:rsid w:val="00E4782C"/>
    <w:rsid w:val="00E55766"/>
    <w:rsid w:val="00E63C76"/>
    <w:rsid w:val="00E7167E"/>
    <w:rsid w:val="00E735EE"/>
    <w:rsid w:val="00E80E16"/>
    <w:rsid w:val="00E91C0F"/>
    <w:rsid w:val="00EB3632"/>
    <w:rsid w:val="00EB4CA0"/>
    <w:rsid w:val="00EC1013"/>
    <w:rsid w:val="00ED24EC"/>
    <w:rsid w:val="00ED2713"/>
    <w:rsid w:val="00ED7C11"/>
    <w:rsid w:val="00EE0F18"/>
    <w:rsid w:val="00EE3394"/>
    <w:rsid w:val="00EF62AA"/>
    <w:rsid w:val="00EF71F9"/>
    <w:rsid w:val="00F039C8"/>
    <w:rsid w:val="00F049ED"/>
    <w:rsid w:val="00F20754"/>
    <w:rsid w:val="00F2412E"/>
    <w:rsid w:val="00F24BF6"/>
    <w:rsid w:val="00F27CD5"/>
    <w:rsid w:val="00F322FE"/>
    <w:rsid w:val="00F42B82"/>
    <w:rsid w:val="00F438A1"/>
    <w:rsid w:val="00F45278"/>
    <w:rsid w:val="00F47BB5"/>
    <w:rsid w:val="00F7002C"/>
    <w:rsid w:val="00F808B4"/>
    <w:rsid w:val="00F80C0C"/>
    <w:rsid w:val="00F828B1"/>
    <w:rsid w:val="00F9084B"/>
    <w:rsid w:val="00F95F35"/>
    <w:rsid w:val="00FA0D87"/>
    <w:rsid w:val="00FA25A2"/>
    <w:rsid w:val="00FA5A9B"/>
    <w:rsid w:val="00FC56EB"/>
    <w:rsid w:val="00FC66BC"/>
    <w:rsid w:val="00FD6C89"/>
    <w:rsid w:val="00FE006F"/>
    <w:rsid w:val="00FE2B53"/>
    <w:rsid w:val="00FE42D4"/>
    <w:rsid w:val="00FE5521"/>
    <w:rsid w:val="00FF5C53"/>
    <w:rsid w:val="00FF74DA"/>
    <w:rsid w:val="297C5D9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iPriority w:val="0"/>
    <w:pPr>
      <w:jc w:val="left"/>
    </w:pPr>
  </w:style>
  <w:style w:type="paragraph" w:styleId="3">
    <w:name w:val="Body Text"/>
    <w:basedOn w:val="1"/>
    <w:uiPriority w:val="0"/>
    <w:pPr>
      <w:jc w:val="left"/>
    </w:pPr>
    <w:rPr>
      <w:szCs w:val="20"/>
    </w:rPr>
  </w:style>
  <w:style w:type="paragraph" w:styleId="4">
    <w:name w:val="Body Text Indent"/>
    <w:basedOn w:val="1"/>
    <w:link w:val="23"/>
    <w:qFormat/>
    <w:uiPriority w:val="0"/>
    <w:pPr>
      <w:spacing w:after="120"/>
      <w:ind w:left="420" w:leftChars="200"/>
    </w:pPr>
  </w:style>
  <w:style w:type="paragraph" w:styleId="5">
    <w:name w:val="Balloon Text"/>
    <w:basedOn w:val="1"/>
    <w:semiHidden/>
    <w:qFormat/>
    <w:uiPriority w:val="0"/>
    <w:rPr>
      <w:sz w:val="18"/>
      <w:szCs w:val="18"/>
    </w:rPr>
  </w:style>
  <w:style w:type="paragraph" w:styleId="6">
    <w:name w:val="footer"/>
    <w:basedOn w:val="1"/>
    <w:link w:val="19"/>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qFormat/>
    <w:uiPriority w:val="39"/>
  </w:style>
  <w:style w:type="paragraph" w:styleId="9">
    <w:name w:val="Subtitle"/>
    <w:basedOn w:val="1"/>
    <w:next w:val="1"/>
    <w:link w:val="24"/>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0">
    <w:name w:val="toc 2"/>
    <w:basedOn w:val="1"/>
    <w:next w:val="1"/>
    <w:autoRedefine/>
    <w:qFormat/>
    <w:uiPriority w:val="39"/>
    <w:pPr>
      <w:ind w:left="420" w:leftChars="200"/>
    </w:pPr>
  </w:style>
  <w:style w:type="paragraph" w:styleId="11">
    <w:name w:val="Title"/>
    <w:basedOn w:val="1"/>
    <w:next w:val="1"/>
    <w:link w:val="21"/>
    <w:qFormat/>
    <w:uiPriority w:val="10"/>
    <w:pPr>
      <w:spacing w:before="240" w:after="60"/>
      <w:jc w:val="center"/>
      <w:outlineLvl w:val="0"/>
    </w:pPr>
    <w:rPr>
      <w:rFonts w:ascii="Cambria" w:hAnsi="Cambria"/>
      <w:b/>
      <w:bCs/>
      <w:sz w:val="32"/>
      <w:szCs w:val="32"/>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qFormat/>
    <w:uiPriority w:val="99"/>
    <w:rPr>
      <w:color w:val="0000FF"/>
      <w:u w:val="single"/>
    </w:rPr>
  </w:style>
  <w:style w:type="character" w:styleId="16">
    <w:name w:val="annotation reference"/>
    <w:semiHidden/>
    <w:uiPriority w:val="0"/>
    <w:rPr>
      <w:sz w:val="21"/>
      <w:szCs w:val="21"/>
    </w:rPr>
  </w:style>
  <w:style w:type="paragraph" w:customStyle="1" w:styleId="17">
    <w:name w:val="默认段落字体 Para Char Char Char Char Char Char Char"/>
    <w:basedOn w:val="1"/>
    <w:uiPriority w:val="0"/>
    <w:rPr>
      <w:rFonts w:ascii="挀甀洀攀渀" w:hAnsi="挀甀洀攀渀"/>
      <w:sz w:val="24"/>
      <w:szCs w:val="20"/>
    </w:rPr>
  </w:style>
  <w:style w:type="paragraph" w:customStyle="1" w:styleId="18">
    <w:name w:val="Char Char Char"/>
    <w:basedOn w:val="1"/>
    <w:qFormat/>
    <w:uiPriority w:val="0"/>
  </w:style>
  <w:style w:type="character" w:customStyle="1" w:styleId="19">
    <w:name w:val="页脚 字符"/>
    <w:link w:val="6"/>
    <w:qFormat/>
    <w:uiPriority w:val="99"/>
    <w:rPr>
      <w:kern w:val="2"/>
      <w:sz w:val="18"/>
      <w:szCs w:val="18"/>
    </w:rPr>
  </w:style>
  <w:style w:type="paragraph" w:styleId="2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21">
    <w:name w:val="标题 字符"/>
    <w:link w:val="11"/>
    <w:qFormat/>
    <w:uiPriority w:val="10"/>
    <w:rPr>
      <w:rFonts w:ascii="Cambria" w:hAnsi="Cambria" w:cs="Times New Roman"/>
      <w:b/>
      <w:bCs/>
      <w:kern w:val="2"/>
      <w:sz w:val="32"/>
      <w:szCs w:val="32"/>
    </w:rPr>
  </w:style>
  <w:style w:type="paragraph" w:customStyle="1" w:styleId="22">
    <w:name w:val="Style1"/>
    <w:basedOn w:val="4"/>
    <w:autoRedefine/>
    <w:qFormat/>
    <w:uiPriority w:val="99"/>
    <w:pPr>
      <w:widowControl/>
      <w:spacing w:before="120"/>
      <w:ind w:left="0" w:leftChars="0"/>
      <w:jc w:val="left"/>
    </w:pPr>
    <w:rPr>
      <w:rFonts w:ascii="新宋体" w:hAnsi="新宋体" w:eastAsia="新宋体"/>
      <w:kern w:val="0"/>
      <w:sz w:val="24"/>
    </w:rPr>
  </w:style>
  <w:style w:type="character" w:customStyle="1" w:styleId="23">
    <w:name w:val="正文文本缩进 字符"/>
    <w:link w:val="4"/>
    <w:qFormat/>
    <w:uiPriority w:val="0"/>
    <w:rPr>
      <w:kern w:val="2"/>
      <w:sz w:val="21"/>
      <w:szCs w:val="24"/>
    </w:rPr>
  </w:style>
  <w:style w:type="character" w:customStyle="1" w:styleId="24">
    <w:name w:val="副标题 字符"/>
    <w:basedOn w:val="14"/>
    <w:link w:val="9"/>
    <w:qFormat/>
    <w:uiPriority w:val="11"/>
    <w:rPr>
      <w:rFonts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CF3D3-8736-4D6A-AC34-37823FBE8883}">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18</Pages>
  <Words>4893</Words>
  <Characters>4973</Characters>
  <Lines>660</Lines>
  <Paragraphs>514</Paragraphs>
  <TotalTime>704</TotalTime>
  <ScaleCrop>false</ScaleCrop>
  <LinksUpToDate>false</LinksUpToDate>
  <CharactersWithSpaces>4999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2012-08-06T05:44:00Z</dcterms:created>
  <dc:creator>番茄花园</dc:creator>
  <cp:lastModifiedBy>杨志</cp:lastModifiedBy>
  <dcterms:modified xsi:type="dcterms:W3CDTF">2026-06-28T12:59:23Z</dcterms:modified>
  <dc:title>审计指引—审计小结</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eyJoZGlkIjoiNmZmOTEwYmQ5MTE3ZTliNDRmYjBlMGFlZDAxZDZkOTUiLCJ1c2VySWQiOiIyODQxMDQ1MDYifQ==</vt:lpwstr>
  </property>
  <property fmtid="{D5CDD505-2E9C-101B-9397-08002B2CF9AE}" pid="3" name="KSOProductBuildVer">
    <vt:lpwstr>2052-12.1.0.26895</vt:lpwstr>
  </property>
  <property fmtid="{D5CDD505-2E9C-101B-9397-08002B2CF9AE}" pid="4" name="ICV">
    <vt:lpwstr>F4500AD752ED47D28A5E837963CE3794_12</vt:lpwstr>
  </property>
</Properties>
</file>