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eastAsia="黑体;SimHei" w:cs="Arial Narrow" w:hint="eastAsia" w:ascii="黑体;SimHei" w:hAnsi="黑体;SimHei"/>
          <w:b/>
          <w:color w:val="FF0000"/>
          <w:sz w:val="48"/>
          <w:szCs w:val="48"/>
          <w:lang w:eastAsia="zh-CN"/>
        </w:rPr>
        <w:t>ABC</w:t>
      </w:r>
      <w:r>
        <w:rPr>
          <w:rFonts w:ascii="黑体;SimHei" w:hAnsi="黑体;SimHei" w:cs="Arial Narrow" w:hint="eastAsia" w:eastAsia="黑体;SimHei"/>
          <w:b/>
          <w:color w:val="FF0000"/>
          <w:sz w:val="48"/>
          <w:szCs w:val="48"/>
          <w:lang w:eastAsia="zh-CN"/>
        </w:rPr>
        <w:t>股份</w:t>
      </w:r>
      <w:r>
        <w:rPr>
          <w:rFonts w:ascii="黑体;SimHei" w:hAnsi="黑体;SimHei" w:cs="Arial Narrow" w:hint="eastAsia" w:eastAsia="黑体;SimHei"/>
          <w:b/>
          <w:sz w:val="48"/>
          <w:szCs w:val="48"/>
          <w:lang w:eastAsia="zh-CN"/>
        </w:rPr>
        <w:t>有限公司</w:t>
      </w:r>
    </w:p>
    <w:p>
      <w:pPr>
        <w:pStyle w:val="Normal"/>
        <w:numPr>
          <w:ilvl w:val="0"/>
          <w:numId w:val="0"/>
        </w:numPr>
        <w:spacing w:lineRule="auto" w:line="360"/>
        <w:jc w:val="center"/>
        <w:outlineLvl w:val="0"/>
        <w:rPr>
          <w:rFonts w:ascii="黑体;SimHei" w:hAnsi="黑体;SimHei" w:eastAsia="黑体;SimHei" w:cs="Arial Narrow"/>
          <w:b/>
          <w:color w:val="FF0000"/>
          <w:sz w:val="48"/>
          <w:szCs w:val="48"/>
          <w:lang w:eastAsia="zh-CN"/>
        </w:rPr>
      </w:pP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〇</w:t>
      </w: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五</w:t>
      </w:r>
      <w:r>
        <w:rPr>
          <w:rFonts w:ascii="黑体;SimHei" w:hAnsi="黑体;SimHei" w:cs="Arial Narrow" w:hint="eastAsia" w:eastAsia="黑体;SimHei"/>
          <w:b/>
          <w:color w:val="000000"/>
          <w:sz w:val="48"/>
          <w:szCs w:val="48"/>
          <w:lang w:eastAsia="zh-CN"/>
        </w:rPr>
        <w:t>年度</w:t>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ascii="黑体;SimHei" w:hAnsi="黑体;SimHei" w:cs="Arial Narrow" w:hint="eastAsia" w:eastAsia="黑体;SimHei"/>
          <w:b/>
          <w:sz w:val="48"/>
          <w:szCs w:val="48"/>
          <w:lang w:eastAsia="zh-CN"/>
        </w:rPr>
        <w:t>审计报告</w:t>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spacing w:lineRule="auto" w:line="2400"/>
        <w:jc w:val="center"/>
        <w:rPr>
          <w:rFonts w:ascii="黑体;SimHei" w:hAnsi="黑体;SimHei" w:eastAsia="黑体;SimHei" w:cs="Arial Narrow"/>
          <w:b/>
          <w:color w:val="824BB0"/>
          <w:sz w:val="44"/>
          <w:szCs w:val="44"/>
          <w:lang w:eastAsia="zh-CN"/>
        </w:rPr>
      </w:pPr>
      <w:r>
        <w:rPr>
          <w:rFonts w:ascii="黑体;SimHei" w:hAnsi="黑体;SimHei" w:cs="Arial Narrow" w:hint="eastAsia" w:eastAsia="黑体;SimHei"/>
          <w:b/>
          <w:color w:val="824BB0"/>
          <w:sz w:val="44"/>
          <w:szCs w:val="44"/>
          <w:lang w:eastAsia="zh-CN"/>
        </w:rPr>
        <w:t>致同会计师事务所（特殊普通合伙）</w:t>
      </w:r>
    </w:p>
    <w:p>
      <w:pPr>
        <w:sectPr>
          <w:headerReference w:type="default" r:id="rId2"/>
          <w:footerReference w:type="default" r:id="rId3"/>
          <w:type w:val="nextPage"/>
          <w:pgSz w:w="11906" w:h="16838"/>
          <w:pgMar w:left="1985" w:right="1803" w:gutter="0" w:header="850" w:top="2835" w:footer="850" w:bottom="1440"/>
          <w:pgNumType w:fmt="decimal"/>
          <w:formProt w:val="false"/>
          <w:textDirection w:val="lrTb"/>
          <w:docGrid w:type="default" w:linePitch="272" w:charSpace="0"/>
        </w:sectPr>
      </w:pP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排版说明：</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、字体、字号</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字体为“黑体”、标题字号为“小一”、落款字号为“二号”。</w:t>
            </w:r>
          </w:p>
          <w:p>
            <w:pPr>
              <w:pStyle w:val="Normal"/>
              <w:widowControl w:val="false"/>
              <w:jc w:val="both"/>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为“小四”，但“目录”标题</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为“三号”</w:t>
            </w:r>
            <w:r>
              <w:rPr>
                <w:rFonts w:ascii="Arial Narrow" w:hAnsi="Arial Narrow" w:cs="Arial Narrow" w:eastAsia="仿宋_GB2312"/>
                <w:b/>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为“小四”，但“审计报告”等标题的</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w:t>
            </w:r>
            <w:r>
              <w:rPr>
                <w:rFonts w:ascii="Arial Narrow" w:hAnsi="Arial Narrow" w:cs="Arial Narrow" w:hint="eastAsia" w:eastAsia="仿宋_GB2312"/>
                <w:b/>
                <w:color w:val="0000FF"/>
                <w:sz w:val="24"/>
                <w:szCs w:val="24"/>
                <w:lang w:eastAsia="zh-CN"/>
              </w:rPr>
              <w:t>三号</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、页眉、页脚</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页眉一般应含“</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，无页脚。装订报告时，</w:t>
            </w:r>
            <w:r>
              <w:rPr>
                <w:rFonts w:ascii="Arial Narrow" w:hAnsi="Arial Narrow" w:cs="Arial Narrow" w:hint="eastAsia" w:eastAsia="仿宋_GB2312"/>
                <w:color w:val="0000FF"/>
                <w:sz w:val="24"/>
                <w:szCs w:val="24"/>
                <w:u w:val="single"/>
                <w:lang w:eastAsia="zh-CN"/>
              </w:rPr>
              <w:t>若使用印有“</w:t>
            </w:r>
            <w:r>
              <w:rPr>
                <w:rFonts w:eastAsia="仿宋_GB2312" w:cs="Arial Narrow" w:ascii="Arial Narrow" w:hAnsi="Arial Narrow"/>
                <w:color w:val="0000FF"/>
                <w:sz w:val="24"/>
                <w:szCs w:val="24"/>
                <w:u w:val="single"/>
                <w:lang w:eastAsia="zh-CN"/>
              </w:rPr>
              <w:t>Grant Thornton</w:t>
            </w:r>
            <w:r>
              <w:rPr>
                <w:rFonts w:eastAsia="仿宋_GB2312" w:cs="Arial Narrow" w:hint="eastAsia" w:ascii="Arial Narrow" w:hAnsi="Arial Narrow"/>
                <w:color w:val="0000FF"/>
                <w:sz w:val="24"/>
                <w:szCs w:val="24"/>
                <w:u w:val="single"/>
                <w:lang w:eastAsia="zh-CN"/>
              </w:rPr>
              <w:t>”</w:t>
            </w:r>
            <w:r>
              <w:rPr>
                <w:rFonts w:eastAsia="仿宋_GB2312" w:cs="Arial Narrow" w:ascii="Arial Narrow" w:hAnsi="Arial Narrow"/>
                <w:color w:val="0000FF"/>
                <w:sz w:val="24"/>
                <w:szCs w:val="24"/>
                <w:u w:val="single"/>
                <w:lang w:eastAsia="zh-CN"/>
              </w:rPr>
              <w:t>LOGO</w:t>
            </w:r>
            <w:r>
              <w:rPr>
                <w:rFonts w:ascii="Arial Narrow" w:hAnsi="Arial Narrow" w:cs="Arial Narrow" w:hint="eastAsia" w:eastAsia="仿宋_GB2312"/>
                <w:color w:val="0000FF"/>
                <w:sz w:val="24"/>
                <w:szCs w:val="24"/>
                <w:u w:val="single"/>
                <w:lang w:eastAsia="zh-CN"/>
              </w:rPr>
              <w:t>的透明塑料封皮，请将封面页页眉删除</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无页眉、页脚。</w:t>
            </w:r>
          </w:p>
          <w:p>
            <w:pPr>
              <w:pStyle w:val="Normal"/>
              <w:widowControl w:val="false"/>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hint="eastAsia" w:eastAsia="仿宋_GB2312"/>
                <w:color w:val="0000FF"/>
                <w:sz w:val="24"/>
                <w:szCs w:val="24"/>
                <w:lang w:eastAsia="zh-CN"/>
              </w:rPr>
              <w:t>报告首页页眉包括“</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和事务所具体地址、电话、传真、网址等内容；次页及以后的页眉仅是“</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、其他</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为“小四”，单倍行距），内容居中显示。如果客户名称或报告期间较长时（如</w:t>
            </w:r>
            <w:r>
              <w:rPr>
                <w:rFonts w:eastAsia="仿宋_GB2312" w:cs="Arial Narrow" w:hint="eastAsia" w:ascii="Arial Narrow" w:hAnsi="Arial Narrow"/>
                <w:color w:val="0000FF"/>
                <w:sz w:val="24"/>
                <w:szCs w:val="24"/>
                <w:lang w:eastAsia="zh-CN"/>
              </w:rPr>
              <w:t>IPO</w:t>
            </w:r>
            <w:r>
              <w:rPr>
                <w:rFonts w:ascii="Arial Narrow" w:hAnsi="Arial Narrow" w:cs="Arial Narrow" w:hint="eastAsia" w:eastAsia="仿宋_GB2312"/>
                <w:color w:val="0000FF"/>
                <w:sz w:val="24"/>
                <w:szCs w:val="24"/>
                <w:lang w:eastAsia="zh-CN"/>
              </w:rPr>
              <w:t>客户），应分行排列。</w:t>
            </w:r>
          </w:p>
          <w:p>
            <w:pPr>
              <w:pStyle w:val="Normal"/>
              <w:widowControl w:val="false"/>
              <w:jc w:val="both"/>
              <w:rPr>
                <w:rFonts w:ascii="Arial Narrow" w:hAnsi="Arial Narrow" w:eastAsia="仿宋_GB2312" w:cs="Arial Narrow"/>
                <w:b/>
                <w:color w:val="0000FF"/>
                <w:sz w:val="24"/>
                <w:szCs w:val="24"/>
                <w:highlight w:val="yellow"/>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为“小四”，单倍行距），标题居中、内容居左显示。</w:t>
            </w:r>
          </w:p>
        </w:tc>
      </w:tr>
    </w:tbl>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shd w:fill="E5DFEC" w:val="clear"/>
          </w:tcPr>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、《监管规则适用指引——审计类第</w:t>
            </w:r>
            <w:r>
              <w:rPr>
                <w:rFonts w:eastAsia="仿宋_GB2312" w:cs="Arial Narrow"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号》</w:t>
            </w:r>
            <w:r>
              <w:rPr>
                <w:rFonts w:ascii="Arial Narrow" w:hAnsi="Arial Narrow" w:cs="Arial Narrow" w:hint="eastAsia" w:eastAsia="仿宋_GB2312"/>
                <w:b/>
                <w:color w:val="FF0000"/>
                <w:sz w:val="24"/>
                <w:szCs w:val="24"/>
                <w:lang w:eastAsia="zh-CN"/>
              </w:rPr>
              <w:t>【适用于注册会计师对上市公司财务报表发表非标准审计意见，注册会计师在其他证券服务业务中发表非标准审计意见可参照本指引】</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根据《监管规则适用指引——审计类第</w:t>
            </w:r>
            <w:r>
              <w:rPr>
                <w:rFonts w:eastAsia="仿宋_GB2312" w:cs="Arial Narrow"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号》，对财务报表特别是涉及会计估计、专业判断的领域，准确识别和应对重大错报风险。如发现财务报表整体存在重大错报，应发表恰当的“错报”类型审计意见，不得以“受限”为由进行替代。</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注册会计师应充分识别和评估重大错报风险，并设计和实施恰当的应对措施，必要时扩大审计范围、增强审计程序的替代性和不可预见性，在此基础上准确认定是否真正“受限”，如确认存在“受限”应当就此事项与治理层沟通。</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注册会计师应当运用重要性水平评价错报是否重大。对于已发现的错报，如错报金额超过财务报表整体重要性水平，表明错报具有重大性，除非基于特定情况认为不重大（例如某些重分类错报）；如错报金额低于财务报表整体重要性水平，需要考虑错报的性质以及错报发生的特定环境。对于因“受限”未发现的错报，注册会计师也应合理估计相关事项可能存在的错报，判断是否影响财务报表使用者的经济决策。</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hint="eastAsia"/>
                <w:b/>
                <w:color w:val="0000FF"/>
                <w:sz w:val="24"/>
                <w:szCs w:val="24"/>
                <w:lang w:eastAsia="zh-CN"/>
              </w:rPr>
            </w:pPr>
            <w:r>
              <w:rPr>
                <w:rFonts w:ascii="Arial Narrow" w:hAnsi="Arial Narrow" w:cs="Arial Narrow" w:hint="eastAsia" w:eastAsia="仿宋_GB2312"/>
                <w:b/>
                <w:color w:val="0000FF"/>
                <w:sz w:val="24"/>
                <w:szCs w:val="24"/>
                <w:lang w:eastAsia="zh-CN"/>
              </w:rPr>
              <w:t>注册会计师应当审慎评价相关事项对财务报表的影响是否具有广泛性，如无明显相反证据，以下情形表明相关事项对财务报表的影响具有广泛性：包括存在多个无法获取充分、适当审计证据的重大事项；单个事项对财务报表的主要组成部分形成较大影响；可能影响退市指标、风险警示指标、盈亏性质变化、持续经营等。注册会计师若在获取充分、适当的审计证据后，认为错报对财务报表的影响重大且具有广泛性，应当发表否定意见。若无法获取充分、适当的审计证据，但认为未发现的错报对财务报表可能产生的影响重大且具有广泛性，应当发表无法表示意见。</w:t>
            </w:r>
          </w:p>
          <w:p>
            <w:pPr>
              <w:pStyle w:val="Style26"/>
              <w:widowControl w:val="false"/>
              <w:tabs>
                <w:tab w:val="clear" w:pos="720"/>
                <w:tab w:val="left" w:pos="0" w:leader="none"/>
                <w:tab w:val="left" w:pos="993" w:leader="none"/>
              </w:tabs>
              <w:spacing w:before="120" w:after="60"/>
              <w:ind w:firstLineChars="0" w:firstLine="0" w:endChars="0" w:end="0"/>
              <w:jc w:val="both"/>
              <w:rPr>
                <w:rFonts w:ascii="Arial Narrow" w:hAnsi="Arial Narrow" w:eastAsia="仿宋_GB2312" w:cs="Arial Narrow" w:hint="eastAsia"/>
                <w:b/>
                <w:color w:val="0000FF"/>
                <w:sz w:val="24"/>
                <w:szCs w:val="24"/>
                <w:lang w:eastAsia="zh-CN"/>
              </w:rPr>
            </w:pPr>
            <w:r>
              <w:rPr>
                <w:rFonts w:eastAsia="仿宋_GB2312" w:cs="Arial Narrow" w:hint="eastAsia" w:ascii="Arial Narrow" w:hAnsi="Arial Narrow"/>
                <w:b/>
                <w:color w:val="0000FF"/>
                <w:sz w:val="24"/>
                <w:szCs w:val="24"/>
                <w:lang w:eastAsia="zh-CN"/>
              </w:rPr>
            </w:r>
          </w:p>
          <w:p>
            <w:pPr>
              <w:pStyle w:val="Style26"/>
              <w:widowControl w:val="false"/>
              <w:tabs>
                <w:tab w:val="clear" w:pos="720"/>
                <w:tab w:val="left" w:pos="0" w:leader="none"/>
                <w:tab w:val="left" w:pos="993" w:leader="none"/>
              </w:tabs>
              <w:spacing w:before="120" w:after="60"/>
              <w:ind w:firstLineChars="0" w:firstLine="0" w:endChars="0" w:end="0"/>
              <w:jc w:val="both"/>
              <w:rPr>
                <w:rFonts w:ascii="Arial Narrow" w:hAnsi="Arial Narrow" w:eastAsia="仿宋_GB2312" w:cs="Arial Narrow"/>
                <w:b/>
                <w:color w:val="0000FF"/>
                <w:sz w:val="24"/>
                <w:szCs w:val="24"/>
                <w:lang w:val="en-AU" w:eastAsia="zh-CN"/>
              </w:rPr>
            </w:pPr>
            <w:r>
              <w:rPr>
                <w:rFonts w:eastAsia="仿宋_GB2312" w:cs="Arial Narrow" w:hint="eastAsia" w:ascii="Arial Narrow" w:hAnsi="Arial Narrow"/>
                <w:b/>
                <w:color w:val="0000FF"/>
                <w:sz w:val="24"/>
                <w:szCs w:val="24"/>
                <w:lang w:val="en-AU" w:eastAsia="zh-CN"/>
              </w:rPr>
              <w:t>2</w:t>
            </w:r>
            <w:r>
              <w:rPr>
                <w:rFonts w:ascii="Arial Narrow" w:hAnsi="Arial Narrow" w:cs="Arial Narrow" w:hint="eastAsia" w:eastAsia="仿宋_GB2312"/>
                <w:b/>
                <w:color w:val="0000FF"/>
                <w:sz w:val="24"/>
                <w:szCs w:val="24"/>
                <w:lang w:val="en-AU" w:eastAsia="zh-CN"/>
              </w:rPr>
              <w:t>、本模板使用说明：</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val="en-AU" w:eastAsia="zh-CN"/>
              </w:rPr>
            </w:pPr>
            <w:r>
              <w:rPr>
                <w:rFonts w:ascii="Arial Narrow" w:hAnsi="Arial Narrow" w:cs="Arial Narrow" w:hint="eastAsia" w:eastAsia="仿宋_GB2312"/>
                <w:b/>
                <w:color w:val="0000FF"/>
                <w:sz w:val="24"/>
                <w:szCs w:val="24"/>
                <w:lang w:eastAsia="zh-CN"/>
              </w:rPr>
              <w:t>本模板主要是对</w:t>
            </w:r>
            <w:r>
              <w:rPr>
                <w:rFonts w:ascii="Arial Narrow" w:hAnsi="Arial Narrow" w:cs="Arial Narrow" w:hint="eastAsia" w:eastAsia="仿宋_GB2312"/>
                <w:b/>
                <w:color w:val="0000FF"/>
                <w:sz w:val="24"/>
                <w:szCs w:val="24"/>
                <w:highlight w:val="yellow"/>
                <w:lang w:eastAsia="zh-CN"/>
              </w:rPr>
              <w:t>上市公司（</w:t>
            </w:r>
            <w:r>
              <w:rPr>
                <w:rFonts w:eastAsia="仿宋_GB2312" w:cs="Arial Narrow" w:ascii="Arial Narrow" w:hAnsi="Arial Narrow"/>
                <w:b/>
                <w:color w:val="0000FF"/>
                <w:sz w:val="24"/>
                <w:szCs w:val="24"/>
                <w:highlight w:val="yellow"/>
                <w:lang w:eastAsia="zh-CN"/>
              </w:rPr>
              <w:t>A+H</w:t>
            </w:r>
            <w:r>
              <w:rPr>
                <w:rFonts w:ascii="Arial Narrow" w:hAnsi="Arial Narrow" w:cs="Arial Narrow" w:hint="eastAsia" w:eastAsia="仿宋_GB2312"/>
                <w:b/>
                <w:color w:val="0000FF"/>
                <w:sz w:val="24"/>
                <w:szCs w:val="24"/>
                <w:highlight w:val="yellow"/>
                <w:lang w:eastAsia="zh-CN"/>
              </w:rPr>
              <w:t>股公司、</w:t>
            </w:r>
            <w:r>
              <w:rPr>
                <w:rFonts w:eastAsia="仿宋_GB2312" w:cs="Arial Narrow" w:ascii="Arial Narrow" w:hAnsi="Arial Narrow"/>
                <w:b/>
                <w:color w:val="0000FF"/>
                <w:sz w:val="24"/>
                <w:szCs w:val="24"/>
                <w:highlight w:val="yellow"/>
                <w:lang w:eastAsia="zh-CN"/>
              </w:rPr>
              <w:t>H</w:t>
            </w:r>
            <w:r>
              <w:rPr>
                <w:rFonts w:ascii="Arial Narrow" w:hAnsi="Arial Narrow" w:cs="Arial Narrow" w:hint="eastAsia" w:eastAsia="仿宋_GB2312"/>
                <w:b/>
                <w:color w:val="0000FF"/>
                <w:sz w:val="24"/>
                <w:szCs w:val="24"/>
                <w:highlight w:val="yellow"/>
                <w:lang w:eastAsia="zh-CN"/>
              </w:rPr>
              <w:t>股公司、股票在沪深北交易所交易的上市公司）、新三板创新层、公开发行债券公司</w:t>
            </w:r>
            <w:r>
              <w:rPr>
                <w:rFonts w:ascii="Arial Narrow" w:hAnsi="Arial Narrow" w:cs="Arial Narrow" w:hint="eastAsia" w:eastAsia="仿宋_GB2312"/>
                <w:b/>
                <w:color w:val="0000FF"/>
                <w:sz w:val="24"/>
                <w:szCs w:val="24"/>
                <w:lang w:eastAsia="zh-CN"/>
              </w:rPr>
              <w:t>否定意见的简单版本，对于发表否定意见但是需要包含与持续经营相关的重大不确定性、强调事项段、其他事项段的情况，请参考</w:t>
            </w:r>
            <w:r>
              <w:rPr>
                <w:rFonts w:ascii="Arial Narrow" w:hAnsi="Arial Narrow" w:cs="Arial Narrow" w:hint="eastAsia" w:eastAsia="仿宋_GB2312"/>
                <w:b/>
                <w:color w:val="0000FF"/>
                <w:sz w:val="24"/>
                <w:szCs w:val="24"/>
                <w:highlight w:val="yellow"/>
                <w:lang w:eastAsia="zh-CN"/>
              </w:rPr>
              <w:t>上市公司、新三板创新层、公开发行债券公司</w:t>
            </w:r>
            <w:r>
              <w:rPr>
                <w:rFonts w:ascii="Arial Narrow" w:hAnsi="Arial Narrow" w:cs="Arial Narrow" w:hint="eastAsia" w:eastAsia="仿宋_GB2312"/>
                <w:b/>
                <w:color w:val="0000FF"/>
                <w:sz w:val="24"/>
                <w:szCs w:val="24"/>
                <w:lang w:eastAsia="zh-CN"/>
              </w:rPr>
              <w:t>无保留意见的详细版本。</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2.1</w:t>
            </w:r>
            <w:r>
              <w:rPr>
                <w:rFonts w:ascii="Arial Narrow" w:hAnsi="Arial Narrow" w:cs="Arial Narrow" w:hint="eastAsia" w:eastAsia="仿宋_GB2312"/>
                <w:b/>
                <w:color w:val="0000FF"/>
                <w:sz w:val="24"/>
                <w:szCs w:val="24"/>
                <w:lang w:eastAsia="zh-CN"/>
              </w:rPr>
              <w:t>对</w:t>
            </w:r>
            <w:r>
              <w:rPr>
                <w:rFonts w:ascii="Arial Narrow" w:hAnsi="Arial Narrow" w:cs="Arial Narrow" w:hint="eastAsia" w:eastAsia="仿宋_GB2312"/>
                <w:b/>
                <w:color w:val="0000FF"/>
                <w:sz w:val="24"/>
                <w:szCs w:val="24"/>
                <w:highlight w:val="yellow"/>
                <w:lang w:eastAsia="zh-CN"/>
              </w:rPr>
              <w:t>上市公司、新三板创新层、公开发行债券公司</w:t>
            </w:r>
            <w:r>
              <w:rPr>
                <w:rFonts w:ascii="Arial Narrow" w:hAnsi="Arial Narrow" w:cs="Arial Narrow" w:hint="eastAsia" w:eastAsia="仿宋_GB2312"/>
                <w:b/>
                <w:color w:val="0000FF"/>
                <w:sz w:val="24"/>
                <w:szCs w:val="24"/>
                <w:lang w:eastAsia="zh-CN"/>
              </w:rPr>
              <w:t>套合并和公司财务报表进行审计。</w:t>
            </w:r>
            <w:r>
              <w:rPr>
                <w:rFonts w:ascii="Arial Narrow" w:hAnsi="Arial Narrow" w:cs="Arial Narrow" w:hint="eastAsia" w:eastAsia="仿宋_GB2312"/>
                <w:b/>
                <w:bCs/>
                <w:color w:val="0000FF"/>
                <w:sz w:val="24"/>
                <w:szCs w:val="24"/>
                <w:lang w:val="en-GB" w:eastAsia="zh-CN"/>
              </w:rPr>
              <w:t>该审计属于集团审计，被审计单位拥有多个子公司</w:t>
            </w:r>
            <w:r>
              <w:rPr>
                <w:rFonts w:ascii="Arial Narrow" w:hAnsi="Arial Narrow" w:cs="Arial Narrow" w:hint="eastAsia" w:eastAsia="仿宋_GB2312"/>
                <w:b/>
                <w:color w:val="0000FF"/>
                <w:sz w:val="24"/>
                <w:szCs w:val="24"/>
                <w:lang w:eastAsia="zh-CN"/>
              </w:rPr>
              <w:t>（即适用《中国注册会计师审计准则第</w:t>
            </w:r>
            <w:r>
              <w:rPr>
                <w:rFonts w:eastAsia="仿宋_GB2312" w:cs="Arial Narrow" w:ascii="Arial Narrow" w:hAnsi="Arial Narrow"/>
                <w:b/>
                <w:color w:val="0000FF"/>
                <w:sz w:val="24"/>
                <w:szCs w:val="24"/>
                <w:lang w:eastAsia="zh-CN"/>
              </w:rPr>
              <w:t>1401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对集团财务报表审计的特殊考虑》）；</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存在错报，该错报对财务报表影响重大且具有广泛性（即否定意见是恰当的）；</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管理层按照企业会计准则编制合并和公司财务报表；</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4</w:t>
            </w:r>
            <w:r>
              <w:rPr>
                <w:rFonts w:ascii="Arial Narrow" w:hAnsi="Arial Narrow" w:cs="Arial Narrow" w:hint="eastAsia" w:eastAsia="仿宋_GB2312"/>
                <w:b/>
                <w:color w:val="0000FF"/>
                <w:sz w:val="24"/>
                <w:szCs w:val="24"/>
                <w:lang w:eastAsia="zh-CN"/>
              </w:rPr>
              <w:t>审计业务约定条款体现了《中国注册会计师审计准则第</w:t>
            </w:r>
            <w:r>
              <w:rPr>
                <w:rFonts w:eastAsia="仿宋_GB2312" w:cs="Arial Narrow" w:ascii="Arial Narrow" w:hAnsi="Arial Narrow"/>
                <w:b/>
                <w:color w:val="0000FF"/>
                <w:sz w:val="24"/>
                <w:szCs w:val="24"/>
                <w:lang w:eastAsia="zh-CN"/>
              </w:rPr>
              <w:t>1111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就审计业务约定条款达成一致意见》关于管理层对财务报表责任的描述；</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2.5</w:t>
            </w:r>
            <w:r>
              <w:rPr>
                <w:rFonts w:ascii="Arial Narrow" w:hAnsi="Arial Narrow" w:cs="Arial Narrow" w:hint="eastAsia" w:eastAsia="仿宋_GB2312"/>
                <w:b/>
                <w:color w:val="0000FF"/>
                <w:sz w:val="24"/>
                <w:szCs w:val="24"/>
                <w:lang w:eastAsia="zh-CN"/>
              </w:rPr>
              <w:t>适用的相关职业道德要求和</w:t>
            </w:r>
            <w:r>
              <w:rPr>
                <w:rFonts w:ascii="Arial Narrow" w:hAnsi="Arial Narrow" w:cs="Arial Narrow" w:hint="eastAsia" w:eastAsia="仿宋_GB2312"/>
                <w:b/>
                <w:color w:val="0000FF"/>
                <w:sz w:val="24"/>
                <w:szCs w:val="24"/>
                <w:highlight w:val="cyan"/>
                <w:lang w:eastAsia="zh-CN"/>
              </w:rPr>
              <w:t>独立性</w:t>
            </w:r>
            <w:r>
              <w:rPr>
                <w:rFonts w:ascii="Arial Narrow" w:hAnsi="Arial Narrow" w:cs="Arial Narrow" w:hint="eastAsia" w:eastAsia="仿宋_GB2312"/>
                <w:b/>
                <w:color w:val="0000FF"/>
                <w:sz w:val="24"/>
                <w:szCs w:val="24"/>
                <w:lang w:eastAsia="zh-CN"/>
              </w:rPr>
              <w:t>要求为中国注册会计师职业道德守则</w:t>
            </w:r>
            <w:r>
              <w:rPr>
                <w:rFonts w:ascii="Arial Narrow" w:hAnsi="Arial Narrow" w:cs="Arial Narrow" w:hint="eastAsia" w:eastAsia="仿宋_GB2312"/>
                <w:b/>
                <w:color w:val="0000FF"/>
                <w:sz w:val="24"/>
                <w:szCs w:val="24"/>
                <w:highlight w:val="cyan"/>
                <w:lang w:eastAsia="zh-CN"/>
              </w:rPr>
              <w:t>和中国注册会计师独立性准则对公众利益实体的独立性要求（如适用）</w:t>
            </w:r>
            <w:r>
              <w:rPr>
                <w:rFonts w:ascii="Arial Narrow" w:hAnsi="Arial Narrow" w:cs="Arial Narrow" w:hint="eastAsia" w:eastAsia="仿宋_GB2312"/>
                <w:b/>
                <w:color w:val="0000FF"/>
                <w:sz w:val="24"/>
                <w:szCs w:val="24"/>
                <w:lang w:eastAsia="zh-CN"/>
              </w:rPr>
              <w:t>；</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ascii="Arial Narrow" w:hAnsi="Arial Narrow" w:cs="Arial Narrow" w:hint="eastAsia" w:eastAsia="仿宋_GB2312"/>
                <w:i/>
                <w:color w:val="0000FF"/>
                <w:sz w:val="24"/>
                <w:szCs w:val="24"/>
                <w:highlight w:val="cyan"/>
                <w:lang w:eastAsia="zh-CN"/>
              </w:rPr>
              <w:t>公众利益实体包括：公开交易实体；以吸收公众存款作为其主要职能的实体；以向公众提供保险作为其主要职能的实体；中央企业集团公司；根据法律法规的规定，应当视为公众利益实体的实体。另外，如涉及面向公众投资者的证券、基金、期货、信托、理财等金融产品涉及的主体、非上市金融机构（但其资金并非来源于公众且不具有大量利益相关者的非上市金融机构除外）、利益相关者众多的国有企业、其他拥有大量利益相关者的实体也需进一步考虑是否作为公众利益实体。</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2.6</w:t>
            </w:r>
            <w:r>
              <w:rPr>
                <w:rFonts w:ascii="Arial Narrow" w:hAnsi="Arial Narrow" w:cs="Arial Narrow" w:hint="eastAsia" w:eastAsia="仿宋_GB2312"/>
                <w:b/>
                <w:color w:val="0000FF"/>
                <w:sz w:val="24"/>
                <w:szCs w:val="24"/>
                <w:lang w:eastAsia="zh-CN"/>
              </w:rPr>
              <w:t>基于获取的审计证据，根据《中国注册会计师审计准则第</w:t>
            </w:r>
            <w:r>
              <w:rPr>
                <w:rFonts w:eastAsia="仿宋_GB2312" w:cs="Arial Narrow" w:ascii="Arial Narrow" w:hAnsi="Arial Narrow"/>
                <w:b/>
                <w:color w:val="0000FF"/>
                <w:sz w:val="24"/>
                <w:szCs w:val="24"/>
                <w:lang w:eastAsia="zh-CN"/>
              </w:rPr>
              <w:t>1324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持续经营》，注册会计师认为可能导致对被审计单位持续经营能力产生重大疑虑的相关事项或情况不存在重大不确定性，当适用注册会计师确定存在重大不确定性，且财务报表已经做出充分披露时，请参考发表无保留意见的审计报告模板（详版）；</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2.7</w:t>
            </w:r>
            <w:r>
              <w:rPr>
                <w:rFonts w:ascii="Arial Narrow" w:hAnsi="Arial Narrow" w:cs="Arial Narrow" w:hint="eastAsia" w:eastAsia="仿宋_GB2312"/>
                <w:b/>
                <w:color w:val="0000FF"/>
                <w:sz w:val="24"/>
                <w:szCs w:val="24"/>
                <w:lang w:eastAsia="zh-CN"/>
              </w:rPr>
              <w:t>已按照《中国注册会计师审计准则第</w:t>
            </w:r>
            <w:r>
              <w:rPr>
                <w:rFonts w:eastAsia="仿宋_GB2312" w:cs="Arial Narrow" w:ascii="Arial Narrow" w:hAnsi="Arial Narrow"/>
                <w:b/>
                <w:color w:val="0000FF"/>
                <w:sz w:val="24"/>
                <w:szCs w:val="24"/>
                <w:lang w:eastAsia="zh-CN"/>
              </w:rPr>
              <w:t>1504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 xml:space="preserve">在审计报告中沟通关键审计事项》的规定沟通了关键审计事项； </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.8  </w:t>
            </w:r>
            <w:r>
              <w:rPr>
                <w:rFonts w:ascii="Arial Narrow" w:hAnsi="Arial Narrow" w:cs="Arial Narrow" w:hint="eastAsia" w:eastAsia="仿宋_GB2312"/>
                <w:b/>
                <w:color w:val="0000FF"/>
                <w:sz w:val="24"/>
                <w:szCs w:val="24"/>
                <w:lang w:eastAsia="zh-CN"/>
              </w:rPr>
              <w:t>注册会计师在审计报告日前已经获取所有其他信息，且导致对财务报表发表否定意见的事项也影响了其他信息。</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9</w:t>
            </w:r>
            <w:r>
              <w:rPr>
                <w:rFonts w:ascii="Arial Narrow" w:hAnsi="Arial Narrow" w:cs="Arial Narrow" w:hint="eastAsia" w:eastAsia="仿宋_GB2312"/>
                <w:b/>
                <w:i/>
                <w:color w:val="0000FF"/>
                <w:sz w:val="24"/>
                <w:szCs w:val="24"/>
                <w:lang w:eastAsia="zh-CN"/>
              </w:rPr>
              <w:t>本报告模板适用于负责监督</w:t>
            </w:r>
            <w:r>
              <w:rPr>
                <w:rFonts w:ascii="Arial Narrow" w:hAnsi="Arial Narrow" w:cs="Arial Narrow" w:hint="eastAsia" w:eastAsia="仿宋_GB2312"/>
                <w:b/>
                <w:i/>
                <w:color w:val="0000FF"/>
                <w:sz w:val="24"/>
                <w:szCs w:val="24"/>
                <w:u w:val="single"/>
                <w:lang w:eastAsia="zh-CN"/>
              </w:rPr>
              <w:t>合并财务报表的人员与负责编制合并财务报表的人员不同</w:t>
            </w:r>
            <w:r>
              <w:rPr>
                <w:rFonts w:ascii="Arial Narrow" w:hAnsi="Arial Narrow" w:cs="Arial Narrow" w:hint="eastAsia" w:eastAsia="仿宋_GB2312"/>
                <w:b/>
                <w:i/>
                <w:color w:val="0000FF"/>
                <w:sz w:val="24"/>
                <w:szCs w:val="24"/>
                <w:lang w:eastAsia="zh-CN"/>
              </w:rPr>
              <w:t>；如对</w:t>
            </w:r>
            <w:r>
              <w:rPr>
                <w:rFonts w:ascii="Arial Narrow" w:hAnsi="Arial Narrow" w:cs="Arial Narrow" w:hint="eastAsia" w:eastAsia="仿宋_GB2312"/>
                <w:b/>
                <w:i/>
                <w:color w:val="0000FF"/>
                <w:sz w:val="24"/>
                <w:szCs w:val="24"/>
                <w:u w:val="single"/>
                <w:lang w:eastAsia="zh-CN"/>
              </w:rPr>
              <w:t>财务报告过程负有监督责任的人员与负责编制财务报表的人员相同</w:t>
            </w:r>
            <w:r>
              <w:rPr>
                <w:rFonts w:ascii="Arial Narrow" w:hAnsi="Arial Narrow" w:cs="Arial Narrow" w:hint="eastAsia" w:eastAsia="仿宋_GB2312"/>
                <w:b/>
                <w:i/>
                <w:color w:val="0000FF"/>
                <w:sz w:val="24"/>
                <w:szCs w:val="24"/>
                <w:lang w:eastAsia="zh-CN"/>
              </w:rPr>
              <w:t>时，管理层对财务报表的责任部分还应当删除对财务报告过程负有监督责任的人员，将</w:t>
            </w:r>
            <w:r>
              <w:rPr>
                <w:rFonts w:ascii="Arial Narrow" w:hAnsi="Arial Narrow" w:cs="Arial Narrow" w:hint="eastAsia" w:eastAsia="仿宋_GB2312"/>
                <w:b/>
                <w:i/>
                <w:color w:val="0000FF"/>
                <w:sz w:val="24"/>
                <w:szCs w:val="24"/>
                <w:u w:val="single"/>
                <w:lang w:eastAsia="zh-CN"/>
              </w:rPr>
              <w:t>“（五）管理层和治理层对财务报表的责任”修改为“（五）管理层对财务报表的责任”</w:t>
            </w:r>
            <w:r>
              <w:rPr>
                <w:rFonts w:ascii="Arial Narrow" w:hAnsi="Arial Narrow" w:cs="Arial Narrow" w:hint="eastAsia" w:eastAsia="仿宋_GB2312"/>
                <w:b/>
                <w:i/>
                <w:color w:val="0000FF"/>
                <w:sz w:val="24"/>
                <w:szCs w:val="24"/>
                <w:lang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.10</w:t>
            </w:r>
            <w:r>
              <w:rPr>
                <w:rFonts w:ascii="Arial Narrow" w:hAnsi="Arial Narrow" w:cs="Arial Narrow" w:hint="eastAsia" w:eastAsia="仿宋_GB2312"/>
                <w:b/>
                <w:color w:val="0000FF"/>
                <w:sz w:val="24"/>
                <w:szCs w:val="24"/>
                <w:lang w:eastAsia="zh-CN"/>
              </w:rPr>
              <w:t>除财务报表审计外，注册会计师不承担法律法规要求的其他报告责任，或虽然存在法律法规要求的其他报告责任，但注册会计师决定不在审计报告中履行其他报告责任。</w:t>
            </w:r>
          </w:p>
          <w:p>
            <w:pPr>
              <w:pStyle w:val="Normal"/>
              <w:widowControl w:val="false"/>
              <w:spacing w:before="120" w:after="0"/>
              <w:jc w:val="both"/>
              <w:rPr>
                <w:rFonts w:ascii="Arial Narrow" w:hAnsi="Arial Narrow" w:eastAsia="仿宋_GB2312" w:cs="Arial Narrow"/>
                <w:b/>
                <w:color w:val="0000FF"/>
                <w:sz w:val="24"/>
                <w:szCs w:val="24"/>
                <w:u w:val="single"/>
                <w:lang w:val="en-AU" w:eastAsia="zh-CN"/>
              </w:rPr>
            </w:pPr>
            <w:r>
              <w:rPr>
                <w:rFonts w:eastAsia="仿宋_GB2312" w:cs="Arial Narrow" w:ascii="Arial Narrow" w:hAnsi="Arial Narrow"/>
                <w:b/>
                <w:color w:val="0000FF"/>
                <w:sz w:val="24"/>
                <w:szCs w:val="24"/>
                <w:u w:val="single"/>
                <w:lang w:val="en-AU" w:eastAsia="zh-CN"/>
              </w:rPr>
              <w:t>3</w:t>
            </w:r>
            <w:r>
              <w:rPr>
                <w:rFonts w:ascii="Arial Narrow" w:hAnsi="Arial Narrow" w:cs="Arial Narrow" w:hint="eastAsia" w:eastAsia="仿宋_GB2312"/>
                <w:b/>
                <w:color w:val="0000FF"/>
                <w:sz w:val="24"/>
                <w:szCs w:val="24"/>
                <w:u w:val="single"/>
                <w:lang w:val="en-AU" w:eastAsia="zh-CN"/>
              </w:rPr>
              <w:t>、措辞修改</w:t>
            </w:r>
          </w:p>
          <w:p>
            <w:pPr>
              <w:pStyle w:val="Normal"/>
              <w:widowControl w:val="false"/>
              <w:spacing w:before="120" w:after="0"/>
              <w:jc w:val="both"/>
              <w:rPr>
                <w:rFonts w:ascii="Arial Narrow" w:hAnsi="Arial Narrow" w:eastAsia="仿宋_GB2312" w:cs="Arial Narrow"/>
                <w:b/>
                <w:color w:val="0000FF"/>
                <w:sz w:val="24"/>
                <w:szCs w:val="24"/>
                <w:lang w:val="en-AU" w:eastAsia="zh-CN"/>
              </w:rPr>
            </w:pPr>
            <w:r>
              <w:rPr>
                <w:rFonts w:eastAsia="仿宋_GB2312" w:cs="Arial Narrow" w:ascii="Arial Narrow" w:hAnsi="Arial Narrow"/>
                <w:b/>
                <w:color w:val="0000FF"/>
                <w:sz w:val="24"/>
                <w:szCs w:val="24"/>
                <w:lang w:val="en-AU" w:eastAsia="zh-CN"/>
              </w:rPr>
              <w:t xml:space="preserve">3.1 </w:t>
            </w:r>
            <w:r>
              <w:rPr>
                <w:rFonts w:ascii="Arial Narrow" w:hAnsi="Arial Narrow" w:cs="Arial Narrow" w:hint="eastAsia" w:eastAsia="仿宋_GB2312"/>
                <w:b/>
                <w:color w:val="0000FF"/>
                <w:sz w:val="24"/>
                <w:szCs w:val="24"/>
                <w:lang w:val="en-AU" w:eastAsia="zh-CN"/>
              </w:rPr>
              <w:t>若不涉及合并，仅是单体报表，请删除“</w:t>
            </w:r>
            <w:r>
              <w:rPr>
                <w:rFonts w:ascii="Arial Narrow" w:hAnsi="Arial Narrow" w:cs="Arial Narrow" w:hint="eastAsia" w:eastAsia="仿宋_GB2312"/>
                <w:b/>
                <w:color w:val="FF0000"/>
                <w:sz w:val="24"/>
                <w:szCs w:val="24"/>
                <w:lang w:val="en-AU" w:eastAsia="zh-CN"/>
              </w:rPr>
              <w:t>合并及公司</w:t>
            </w:r>
            <w:r>
              <w:rPr>
                <w:rFonts w:ascii="Arial Narrow" w:hAnsi="Arial Narrow" w:cs="Arial Narrow" w:hint="eastAsia" w:eastAsia="仿宋_GB2312"/>
                <w:b/>
                <w:color w:val="0000FF"/>
                <w:sz w:val="24"/>
                <w:szCs w:val="24"/>
                <w:lang w:val="en-AU"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 xml:space="preserve">3.2 </w:t>
            </w:r>
            <w:r>
              <w:rPr>
                <w:rFonts w:ascii="Arial Narrow" w:hAnsi="Arial Narrow" w:cs="Arial Narrow" w:hint="eastAsia" w:eastAsia="仿宋_GB2312"/>
                <w:b/>
                <w:color w:val="0000FF"/>
                <w:sz w:val="24"/>
                <w:szCs w:val="24"/>
                <w:lang w:eastAsia="zh-CN"/>
              </w:rPr>
              <w:t>若截止日或会计期间非年底或年度，请修改具体日期或期间，如：</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6</w:t>
            </w:r>
            <w:r>
              <w:rPr>
                <w:rFonts w:ascii="Arial Narrow" w:hAnsi="Arial Narrow" w:cs="Arial Narrow" w:hint="eastAsia" w:eastAsia="仿宋_GB2312"/>
                <w:b/>
                <w:color w:val="0000FF"/>
                <w:sz w:val="24"/>
                <w:szCs w:val="24"/>
                <w:lang w:eastAsia="zh-CN"/>
              </w:rPr>
              <w:t>月</w:t>
            </w:r>
            <w:r>
              <w:rPr>
                <w:rFonts w:eastAsia="仿宋_GB2312" w:cs="Arial Narrow" w:ascii="Arial Narrow" w:hAnsi="Arial Narrow"/>
                <w:b/>
                <w:color w:val="0000FF"/>
                <w:sz w:val="24"/>
                <w:szCs w:val="24"/>
                <w:lang w:eastAsia="zh-CN"/>
              </w:rPr>
              <w:t>30</w:t>
            </w:r>
            <w:r>
              <w:rPr>
                <w:rFonts w:ascii="Arial Narrow" w:hAnsi="Arial Narrow" w:cs="Arial Narrow" w:hint="eastAsia" w:eastAsia="仿宋_GB2312"/>
                <w:b/>
                <w:color w:val="0000FF"/>
                <w:sz w:val="24"/>
                <w:szCs w:val="24"/>
                <w:lang w:eastAsia="zh-CN"/>
              </w:rPr>
              <w:t>日及</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月。</w:t>
            </w:r>
          </w:p>
        </w:tc>
      </w:tr>
    </w:tbl>
    <w:p>
      <w:pPr>
        <w:pStyle w:val="Normal"/>
        <w:rPr>
          <w:rFonts w:ascii="Arial Narrow" w:hAnsi="Arial Narrow" w:eastAsia="仿宋_GB2312" w:cs="Arial Narrow"/>
          <w:b/>
          <w:color w:val="0000FF"/>
          <w:sz w:val="24"/>
          <w:szCs w:val="24"/>
          <w:lang w:eastAsia="zh-CN"/>
        </w:rPr>
        <w:sectPr>
          <w:type w:val="continuous"/>
          <w:pgSz w:w="11906" w:h="16838"/>
          <w:pgMar w:left="1985" w:right="1803" w:gutter="0" w:header="850" w:top="2835" w:footer="850" w:bottom="1440"/>
          <w:formProt w:val="false"/>
          <w:textDirection w:val="lrTb"/>
          <w:docGrid w:type="default" w:linePitch="272" w:charSpace="0"/>
        </w:sectPr>
      </w:pPr>
      <w:r>
        <w:rPr>
          <w:rFonts w:eastAsia="仿宋_GB2312" w:cs="Arial Narrow" w:ascii="Arial Narrow" w:hAnsi="Arial Narrow"/>
          <w:b/>
          <w:color w:val="0000FF"/>
          <w:sz w:val="24"/>
          <w:szCs w:val="24"/>
          <w:lang w:eastAsia="zh-CN"/>
        </w:rPr>
      </w:r>
      <w:r>
        <w:br w:type="page"/>
      </w:r>
    </w:p>
    <w:p>
      <w:pPr>
        <w:pStyle w:val="Normal"/>
        <w:jc w:val="center"/>
        <w:rPr>
          <w:rFonts w:ascii="Arial Narrow" w:hAnsi="Arial Narrow" w:eastAsia="仿宋_GB2312" w:cs="Arial Narrow" w:hint="eastAsia"/>
          <w:b/>
          <w:bCs/>
          <w:color w:val="0000FF"/>
          <w:sz w:val="24"/>
          <w:szCs w:val="44"/>
          <w:lang w:eastAsia="zh-CN"/>
        </w:rPr>
      </w:pPr>
      <w:r>
        <w:rPr>
          <w:rFonts w:eastAsia="仿宋_GB2312" w:cs="Arial Narrow" w:hint="eastAsia" w:ascii="Arial Narrow" w:hAnsi="Arial Narrow"/>
          <w:b/>
          <w:bCs/>
          <w:color w:val="0000FF"/>
          <w:sz w:val="24"/>
          <w:szCs w:val="44"/>
          <w:lang w:eastAsia="zh-CN"/>
        </w:rPr>
      </w:r>
    </w:p>
    <w:p>
      <w:pPr>
        <w:pStyle w:val="Normal"/>
        <w:jc w:val="center"/>
        <w:rPr>
          <w:rFonts w:ascii="Arial Narrow" w:hAnsi="Arial Narrow" w:eastAsia="仿宋_GB2312" w:cs="Arial Narrow"/>
          <w:b/>
          <w:sz w:val="24"/>
          <w:szCs w:val="32"/>
          <w:lang w:eastAsia="zh-CN"/>
        </w:rPr>
      </w:pPr>
      <w:r>
        <w:rPr>
          <w:rFonts w:eastAsia="仿宋_GB2312" w:cs="Arial Narrow" w:ascii="Arial Narrow" w:hAnsi="Arial Narrow"/>
          <w:b/>
          <w:sz w:val="24"/>
          <w:szCs w:val="32"/>
          <w:lang w:eastAsia="zh-CN"/>
        </w:rPr>
      </w:r>
    </w:p>
    <w:p>
      <w:pPr>
        <w:pStyle w:val="Normal"/>
        <w:spacing w:before="1440" w:after="72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目</w:t>
      </w:r>
      <w:r>
        <w:rPr>
          <w:rFonts w:eastAsia="仿宋_GB2312" w:cs="Arial Narrow" w:hint="eastAsia" w:ascii="Arial Narrow" w:hAnsi="Arial Narrow"/>
          <w:b/>
          <w:sz w:val="32"/>
          <w:szCs w:val="32"/>
          <w:lang w:eastAsia="zh-CN"/>
        </w:rPr>
        <w:tab/>
      </w:r>
      <w:r>
        <w:rPr>
          <w:rFonts w:ascii="Arial Narrow" w:hAnsi="Arial Narrow" w:cs="Arial Narrow" w:hint="eastAsia" w:eastAsia="仿宋_GB2312"/>
          <w:b/>
          <w:sz w:val="32"/>
          <w:szCs w:val="32"/>
          <w:lang w:eastAsia="zh-CN"/>
        </w:rPr>
        <w:t>录</w:t>
      </w:r>
    </w:p>
    <w:tbl>
      <w:tblPr>
        <w:tblW w:w="5000" w:type="pct"/>
        <w:jc w:val="start"/>
        <w:tblInd w:w="0" w:type="dxa"/>
        <w:tblLayout w:type="fixed"/>
        <w:tblCellMar>
          <w:top w:w="0" w:type="dxa"/>
          <w:start w:w="108" w:type="dxa"/>
          <w:bottom w:w="0" w:type="dxa"/>
          <w:end w:w="108" w:type="dxa"/>
        </w:tblCellMar>
      </w:tblPr>
      <w:tblGrid>
        <w:gridCol w:w="6687"/>
        <w:gridCol w:w="1431"/>
      </w:tblGrid>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rPr>
              <w:t>审计报告</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hint="eastAsia" w:ascii="Arial Narrow" w:hAnsi="Arial Narrow"/>
                <w:b/>
                <w:bCs/>
                <w:color w:val="000000"/>
                <w:sz w:val="24"/>
                <w:szCs w:val="24"/>
                <w:lang w:eastAsia="zh-CN"/>
              </w:rPr>
              <w:t>1-</w:t>
            </w:r>
            <w:r>
              <w:rPr>
                <w:rFonts w:eastAsia="宋体;SimSun" w:cs="宋体;SimSun" w:ascii="Arial Narrow" w:hAnsi="Arial Narrow"/>
                <w:b/>
                <w:bCs/>
                <w:color w:val="FF0000"/>
                <w:sz w:val="24"/>
                <w:szCs w:val="24"/>
                <w:lang w:eastAsia="zh-CN"/>
              </w:rPr>
              <w:t>X</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资产负债表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1-2</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利润表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3</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现金流量表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4</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股东权益变动表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5-6</w:t>
            </w:r>
          </w:p>
        </w:tc>
      </w:tr>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lang w:eastAsia="zh-CN"/>
              </w:rPr>
              <w:t>财务报表附注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7-</w:t>
            </w:r>
            <w:r>
              <w:rPr>
                <w:rFonts w:eastAsia="宋体;SimSun" w:cs="宋体;SimSun" w:ascii="Arial Narrow" w:hAnsi="Arial Narrow"/>
                <w:b/>
                <w:bCs/>
                <w:color w:val="FF0000"/>
                <w:sz w:val="24"/>
                <w:szCs w:val="24"/>
                <w:lang w:eastAsia="zh-CN"/>
              </w:rPr>
              <w:t>X</w:t>
            </w:r>
          </w:p>
        </w:tc>
      </w:tr>
    </w:tbl>
    <w:p>
      <w:pPr>
        <w:pStyle w:val="Normal"/>
        <w:ind w:start="900" w:end="1080"/>
        <w:rPr>
          <w:rFonts w:ascii="Arial Narrow" w:hAnsi="Arial Narrow" w:eastAsia="仿宋_GB2312" w:cs="Arial Narrow"/>
          <w:sz w:val="24"/>
          <w:lang w:eastAsia="zh-CN"/>
        </w:rPr>
      </w:pPr>
      <w:r>
        <w:rPr>
          <w:rFonts w:eastAsia="仿宋_GB2312" w:cs="Arial Narrow" w:hint="eastAsia" w:ascii="Arial Narrow" w:hAnsi="Arial Narrow"/>
          <w:sz w:val="24"/>
          <w:lang w:eastAsia="zh-CN"/>
        </w:rPr>
        <w:tab/>
      </w:r>
    </w:p>
    <w:p>
      <w:pPr>
        <w:sectPr>
          <w:headerReference w:type="default" r:id="rId4"/>
          <w:footerReference w:type="default" r:id="rId5"/>
          <w:type w:val="nextPage"/>
          <w:pgSz w:w="11906" w:h="16838"/>
          <w:pgMar w:left="1985" w:right="1803" w:gutter="0" w:header="1440" w:top="2835" w:footer="720" w:bottom="1440"/>
          <w:pgNumType w:fmt="decimal"/>
          <w:formProt w:val="false"/>
          <w:textDirection w:val="lrTb"/>
          <w:docGrid w:type="default" w:linePitch="271" w:charSpace="0"/>
        </w:sectPr>
      </w:pPr>
    </w:p>
    <w:p>
      <w:pPr>
        <w:pStyle w:val="Normal"/>
        <w:rPr>
          <w:rFonts w:ascii="Arial Narrow" w:hAnsi="Arial Narrow" w:eastAsia="仿宋_GB2312" w:cs="Arial Narrow"/>
          <w:sz w:val="24"/>
          <w:szCs w:val="24"/>
          <w:lang w:val="zh-CN" w:eastAsia="zh-CN"/>
        </w:rPr>
      </w:pPr>
      <w:r>
        <w:rPr>
          <w:rFonts w:eastAsia="仿宋_GB2312" w:cs="Arial Narrow" w:ascii="Arial Narrow" w:hAnsi="Arial Narrow"/>
          <w:sz w:val="24"/>
          <w:szCs w:val="24"/>
          <w:lang w:val="zh-CN" w:eastAsia="zh-CN"/>
        </w:rPr>
      </w:r>
      <w:r>
        <mc:AlternateContent>
          <mc:Choice Requires="wps">
            <w:drawing>
              <wp:anchor distT="0" distB="0" distL="114935" distR="114935" simplePos="0" relativeHeight="8"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a:graphic xmlns:a="http://schemas.openxmlformats.org/drawingml/2006/main">
                  <a:graphicData uri="http://schemas.microsoft.com/office/word/2010/wordprocessingShape">
                    <wps:wsp>
                      <wps:cNvSpPr txBox="1"/>
                      <wps:spPr>
                        <a:xfrm>
                          <a:off x="0" y="0"/>
                          <a:ext cx="1619885" cy="756285"/>
                        </a:xfrm>
                        <a:prstGeom prst="rect"/>
                        <a:solidFill>
                          <a:srgbClr val="FFFFFF">
                            <a:alpha val="0"/>
                          </a:srgbClr>
                        </a:solidFill>
                      </wps:spPr>
                      <wps:txbx>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wps:txbx>
                      <wps:bodyPr anchor="t" lIns="92075" tIns="46355" rIns="92075" bIns="46355">
                        <a:noAutofit/>
                      </wps:bodyPr>
                    </wps:wsp>
                  </a:graphicData>
                </a:graphic>
              </wp:anchor>
            </w:drawing>
          </mc:Choice>
          <mc:Fallback>
            <w:pict>
              <v:rect fillcolor="#FFFFFF" style="position:absolute;rotation:-0;width:127.55pt;height:59.55pt;mso-wrap-distance-left:9.05pt;mso-wrap-distance-right:9.05pt;mso-wrap-distance-top:0pt;mso-wrap-distance-bottom:0pt;margin-top:87.9pt;mso-position-vertical-relative:page;margin-left:411.05pt;mso-position-horizontal-relative:page">
                <v:fill opacity="0f"/>
                <v:textbox inset="0.100694444444444in,0.0506944444444444in,0.100694444444444in,0.0506944444444444in">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v:textbox>
                <w10:wrap type="none"/>
              </v:rect>
            </w:pict>
          </mc:Fallback>
        </mc:AlternateContent>
      </w:r>
    </w:p>
    <w:p>
      <w:pPr>
        <w:pStyle w:val="Normal"/>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审计报告</w:t>
      </w:r>
    </w:p>
    <w:p>
      <w:pPr>
        <w:pStyle w:val="Normal"/>
        <w:spacing w:lineRule="atLeast" w:line="34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pacing w:val="4"/>
          <w:sz w:val="24"/>
          <w:lang w:eastAsia="zh-CN"/>
        </w:rPr>
        <w:t>致同审字</w:t>
      </w:r>
      <w:r>
        <w:rPr>
          <w:rFonts w:ascii="Arial Narrow" w:hAnsi="Arial Narrow" w:cs="Arial Narrow" w:hint="eastAsia" w:eastAsia="仿宋_GB2312"/>
          <w:color w:val="FF0000"/>
          <w:sz w:val="24"/>
          <w:szCs w:val="24"/>
          <w:lang w:eastAsia="zh-CN"/>
        </w:rPr>
        <w:t>（</w:t>
      </w:r>
      <w:r>
        <w:rPr>
          <w:rFonts w:eastAsia="仿宋_GB2312" w:cs="Arial Narrow" w:hint="eastAsia" w:ascii="Arial Narrow" w:hAnsi="Arial Narrow"/>
          <w:color w:val="FF0000"/>
          <w:sz w:val="24"/>
          <w:szCs w:val="24"/>
          <w:lang w:eastAsia="zh-CN"/>
        </w:rPr>
        <w:t>20</w:t>
      </w:r>
      <w:r>
        <w:rPr>
          <w:rFonts w:eastAsia="仿宋_GB2312" w:cs="Arial Narrow" w:ascii="Arial Narrow" w:hAnsi="Arial Narrow"/>
          <w:color w:val="FF0000"/>
          <w:sz w:val="24"/>
          <w:szCs w:val="24"/>
          <w:lang w:eastAsia="zh-CN"/>
        </w:rPr>
        <w:t>26</w:t>
      </w:r>
      <w:r>
        <w:rPr>
          <w:rFonts w:ascii="Arial Narrow" w:hAnsi="Arial Narrow" w:cs="Arial Narrow" w:hint="eastAsia" w:eastAsia="仿宋_GB2312"/>
          <w:color w:val="FF0000"/>
          <w:sz w:val="24"/>
          <w:szCs w:val="24"/>
          <w:lang w:eastAsia="zh-CN"/>
        </w:rPr>
        <w:t>）</w:t>
      </w:r>
      <w:r>
        <w:rPr>
          <w:rFonts w:ascii="Arial Narrow" w:hAnsi="Arial Narrow" w:cs="Arial Narrow" w:hint="eastAsia" w:eastAsia="仿宋_GB2312"/>
          <w:color w:val="FF0000"/>
          <w:spacing w:val="4"/>
          <w:sz w:val="24"/>
          <w:lang w:eastAsia="zh-CN"/>
        </w:rPr>
        <w:t>第</w:t>
      </w:r>
      <w:r>
        <w:rPr>
          <w:rFonts w:eastAsia="仿宋_GB2312" w:cs="Arial Narrow" w:hint="eastAsia" w:ascii="Arial Narrow" w:hAnsi="Arial Narrow"/>
          <w:color w:val="FF0000"/>
          <w:spacing w:val="4"/>
          <w:sz w:val="24"/>
          <w:lang w:eastAsia="zh-CN"/>
        </w:rPr>
        <w:t>110AS</w:t>
      </w:r>
      <w:r>
        <w:rPr>
          <w:rFonts w:eastAsia="仿宋_GB2312" w:cs="Arial Narrow" w:hint="eastAsia" w:ascii="Arial Narrow" w:hAnsi="Arial Narrow"/>
          <w:color w:val="FF0000"/>
          <w:sz w:val="24"/>
          <w:szCs w:val="24"/>
          <w:lang w:eastAsia="zh-CN"/>
        </w:rPr>
        <w:t>XXXX</w:t>
      </w:r>
      <w:r>
        <w:rPr>
          <w:rFonts w:ascii="Arial Narrow" w:hAnsi="Arial Narrow" w:cs="Arial Narrow" w:hint="eastAsia" w:eastAsia="仿宋_GB2312"/>
          <w:color w:val="FF0000"/>
          <w:spacing w:val="4"/>
          <w:sz w:val="24"/>
          <w:lang w:eastAsia="zh-CN"/>
        </w:rPr>
        <w:t>号</w:t>
      </w:r>
    </w:p>
    <w:p>
      <w:pPr>
        <w:pStyle w:val="Normal"/>
        <w:spacing w:lineRule="atLeast" w:line="34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z w:val="24"/>
          <w:szCs w:val="24"/>
          <w:lang w:eastAsia="zh-CN"/>
        </w:rPr>
      </w:r>
    </w:p>
    <w:p>
      <w:pPr>
        <w:pStyle w:val="Normal"/>
        <w:numPr>
          <w:ilvl w:val="0"/>
          <w:numId w:val="0"/>
        </w:numPr>
        <w:spacing w:lineRule="auto" w:line="300" w:before="120" w:after="0"/>
        <w:outlineLvl w:val="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pacing w:val="4"/>
          <w:sz w:val="24"/>
          <w:szCs w:val="24"/>
          <w:lang w:eastAsia="zh-CN"/>
        </w:rPr>
        <w:t>ABC</w:t>
      </w:r>
      <w:r>
        <w:rPr>
          <w:rFonts w:ascii="Arial Narrow" w:hAnsi="Arial Narrow" w:cs="Arial Narrow" w:hint="eastAsia" w:eastAsia="仿宋_GB2312"/>
          <w:b/>
          <w:spacing w:val="4"/>
          <w:sz w:val="24"/>
          <w:szCs w:val="24"/>
          <w:lang w:eastAsia="zh-CN"/>
        </w:rPr>
        <w:t>股份有限公司全体股东，</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spacing w:val="4"/>
          <w:sz w:val="24"/>
          <w:szCs w:val="24"/>
          <w:lang w:eastAsia="zh-CN"/>
        </w:rPr>
      </w:pPr>
      <w:r>
        <w:rPr>
          <w:rFonts w:ascii="Arial Narrow" w:hAnsi="Arial Narrow" w:cs="Arial Narrow" w:hint="eastAsia" w:eastAsia="仿宋_GB2312"/>
          <w:b/>
          <w:bCs/>
          <w:sz w:val="24"/>
          <w:szCs w:val="24"/>
        </w:rPr>
        <w:t>一、</w:t>
      </w:r>
      <w:r>
        <w:rPr>
          <w:rFonts w:ascii="Arial Narrow" w:hAnsi="Arial Narrow" w:cs="Arial Narrow" w:hint="eastAsia" w:eastAsia="仿宋_GB2312"/>
          <w:b/>
          <w:bCs/>
          <w:sz w:val="24"/>
          <w:szCs w:val="24"/>
          <w:lang w:eastAsia="zh-CN"/>
        </w:rPr>
        <w:t>否定</w:t>
      </w:r>
      <w:r>
        <w:rPr>
          <w:rFonts w:ascii="Arial Narrow" w:hAnsi="Arial Narrow" w:cs="Arial Narrow" w:hint="eastAsia" w:eastAsia="仿宋_GB2312"/>
          <w:b/>
          <w:bCs/>
          <w:sz w:val="24"/>
          <w:szCs w:val="24"/>
        </w:rPr>
        <w:t>意见</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我们审计了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股份有限公司（以下简称</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公司）财务报表，包括</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资产负债表，</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利润表、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现金流量表、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股东权益变动表以及相关财务报表附注。</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我们认为，由于“形成否定意见的基础”部分所述事项的重要性，后附的财务报表没有在所有重大方面按照企业会计准则的规定编制，未能公允反映</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财务状况以及</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的合并及公司的经营成果和现金流量。</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二、形成否定意见的基础</w:t>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证监会《监管规则适用指引——审计类第</w:t>
            </w:r>
            <w:r>
              <w:rPr>
                <w:rFonts w:eastAsia="仿宋_GB2312" w:cs="Arial Narrow" w:ascii="Arial Narrow" w:hAnsi="Arial Narrow"/>
                <w:b/>
                <w:bCs/>
                <w:color w:val="0000FF"/>
                <w:sz w:val="24"/>
                <w:szCs w:val="24"/>
                <w:lang w:eastAsia="zh-CN"/>
              </w:rPr>
              <w:t>1</w:t>
            </w:r>
            <w:r>
              <w:rPr>
                <w:rFonts w:ascii="Arial Narrow" w:hAnsi="Arial Narrow" w:cs="Arial Narrow" w:hint="eastAsia" w:eastAsia="仿宋_GB2312"/>
                <w:b/>
                <w:bCs/>
                <w:color w:val="0000FF"/>
                <w:sz w:val="24"/>
                <w:szCs w:val="24"/>
                <w:lang w:eastAsia="zh-CN"/>
              </w:rPr>
              <w:t>号》</w:t>
            </w:r>
            <w:r>
              <w:rPr>
                <w:rFonts w:ascii="Arial Narrow" w:hAnsi="Arial Narrow" w:cs="Arial Narrow" w:hint="eastAsia" w:eastAsia="仿宋_GB2312"/>
                <w:b/>
                <w:bCs/>
                <w:color w:val="FF0000"/>
                <w:sz w:val="24"/>
                <w:szCs w:val="24"/>
                <w:lang w:eastAsia="zh-CN"/>
              </w:rPr>
              <w:t>【适用于注册会计师对上市公司财务报表发表非标准审计意见，注册会计师在其他证券服务业务中发表非标准审计意见可参照本指引】</w:t>
            </w:r>
            <w:r>
              <w:rPr>
                <w:rFonts w:ascii="Arial Narrow" w:hAnsi="Arial Narrow" w:cs="Arial Narrow" w:hint="eastAsia" w:eastAsia="仿宋_GB2312"/>
                <w:b/>
                <w:bCs/>
                <w:color w:val="0000FF"/>
                <w:sz w:val="24"/>
                <w:szCs w:val="24"/>
                <w:lang w:eastAsia="zh-CN"/>
              </w:rPr>
              <w:t>：</w:t>
            </w:r>
          </w:p>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如果财务报表中存在与具体金额相关的重大错报，注册会计师应当在“形成审计意见的基础”部分说明并量化该错报的财务影响。</w:t>
            </w:r>
          </w:p>
          <w:p>
            <w:pPr>
              <w:pStyle w:val="Normal"/>
              <w:widowControl w:val="false"/>
              <w:snapToGrid w:val="false"/>
              <w:spacing w:lineRule="auto" w:line="300"/>
              <w:jc w:val="both"/>
              <w:rPr>
                <w:rFonts w:ascii="仿宋_GB2312" w:hAnsi="仿宋_GB2312" w:eastAsia="宋体;SimSun"/>
                <w:bCs/>
                <w:color w:val="FF0000"/>
                <w:sz w:val="24"/>
                <w:szCs w:val="24"/>
                <w:lang w:val="en-GB"/>
              </w:rPr>
            </w:pPr>
            <w:r>
              <w:rPr>
                <w:rFonts w:ascii="Arial Narrow" w:hAnsi="Arial Narrow" w:cs="Arial Narrow" w:hint="eastAsia" w:eastAsia="仿宋_GB2312"/>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tc>
      </w:tr>
    </w:tbl>
    <w:p>
      <w:pPr>
        <w:pStyle w:val="Normal"/>
        <w:snapToGrid w:val="false"/>
        <w:spacing w:lineRule="auto" w:line="300"/>
        <w:ind w:firstLineChars="200" w:startChars="0" w:start="0" w:endChars="0" w:end="0"/>
        <w:jc w:val="both"/>
        <w:rPr>
          <w:rFonts w:ascii="仿宋_GB2312" w:hAnsi="仿宋_GB2312" w:eastAsia="仿宋_GB2312"/>
          <w:bCs/>
          <w:color w:val="FF0000"/>
          <w:sz w:val="24"/>
          <w:szCs w:val="24"/>
          <w:lang w:val="en-GB"/>
        </w:rPr>
      </w:pPr>
      <w:r>
        <w:rPr>
          <w:rFonts w:ascii="仿宋_GB2312" w:hAnsi="仿宋_GB2312" w:hint="eastAsia" w:eastAsia="仿宋_GB2312"/>
          <w:bCs/>
          <w:color w:val="FF0000"/>
          <w:sz w:val="24"/>
          <w:szCs w:val="24"/>
          <w:lang w:val="en-GB"/>
        </w:rPr>
        <w:t>如财务报表附注</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所述，由于无法确定</w:t>
      </w:r>
      <w:r>
        <w:rPr>
          <w:rFonts w:eastAsia="仿宋_GB2312" w:cs="Arial Narrow" w:ascii="Arial Narrow" w:hAnsi="Arial Narrow"/>
          <w:color w:val="FF0000"/>
          <w:spacing w:val="4"/>
          <w:sz w:val="24"/>
          <w:szCs w:val="24"/>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于</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仿宋_GB2312" w:hAnsi="仿宋_GB2312" w:hint="eastAsia" w:eastAsia="仿宋_GB2312"/>
          <w:bCs/>
          <w:color w:val="FF0000"/>
          <w:sz w:val="24"/>
          <w:szCs w:val="24"/>
          <w:lang w:val="en-GB"/>
        </w:rPr>
        <w:t>收购的子公司</w:t>
      </w:r>
      <w:r>
        <w:rPr>
          <w:rFonts w:eastAsia="仿宋_GB2312" w:ascii="仿宋_GB2312" w:hAnsi="仿宋_GB2312"/>
          <w:bCs/>
          <w:color w:val="FF0000"/>
          <w:sz w:val="24"/>
          <w:szCs w:val="24"/>
          <w:lang w:val="en-GB"/>
        </w:rPr>
        <w:t>XYZ</w:t>
      </w:r>
      <w:r>
        <w:rPr>
          <w:rFonts w:ascii="仿宋_GB2312" w:hAnsi="仿宋_GB2312" w:hint="eastAsia" w:eastAsia="仿宋_GB2312"/>
          <w:bCs/>
          <w:color w:val="FF0000"/>
          <w:sz w:val="24"/>
          <w:szCs w:val="24"/>
          <w:lang w:val="en-GB"/>
        </w:rPr>
        <w:t>公司某些重要资产和负债项目在收购日的公允价值，</w:t>
      </w:r>
      <w:r>
        <w:rPr>
          <w:rFonts w:eastAsia="仿宋_GB2312" w:cs="Arial Narrow" w:ascii="Arial Narrow" w:hAnsi="Arial Narrow"/>
          <w:color w:val="FF0000"/>
          <w:spacing w:val="4"/>
          <w:sz w:val="24"/>
          <w:szCs w:val="24"/>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未将该子公司纳入合并范围。该项投资以成本计量。根据企业会计准则，</w:t>
      </w:r>
      <w:r>
        <w:rPr>
          <w:rFonts w:eastAsia="仿宋_GB2312" w:cs="Arial Narrow" w:ascii="Arial Narrow" w:hAnsi="Arial Narrow"/>
          <w:color w:val="FF0000"/>
          <w:spacing w:val="4"/>
          <w:sz w:val="24"/>
          <w:szCs w:val="24"/>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应将该子公司纳入合并范围，并以暂估金额为基础核算该项收购。如果将</w:t>
      </w:r>
      <w:r>
        <w:rPr>
          <w:rFonts w:eastAsia="仿宋_GB2312" w:ascii="仿宋_GB2312" w:hAnsi="仿宋_GB2312"/>
          <w:bCs/>
          <w:color w:val="FF0000"/>
          <w:sz w:val="24"/>
          <w:szCs w:val="24"/>
          <w:lang w:val="en-GB"/>
        </w:rPr>
        <w:t>XYZ</w:t>
      </w:r>
      <w:r>
        <w:rPr>
          <w:rFonts w:ascii="仿宋_GB2312" w:hAnsi="仿宋_GB2312" w:hint="eastAsia" w:eastAsia="仿宋_GB2312"/>
          <w:bCs/>
          <w:color w:val="FF0000"/>
          <w:sz w:val="24"/>
          <w:szCs w:val="24"/>
          <w:lang w:val="en-GB"/>
        </w:rPr>
        <w:t>公司纳入合并范围，后附合并财务报表的多个项目将受到重大影响。我们尚未确定未将该公司纳入合并范围对合并财务报表的影响。</w:t>
      </w:r>
    </w:p>
    <w:p>
      <w:pPr>
        <w:pStyle w:val="Normal"/>
        <w:spacing w:lineRule="auto" w:line="300" w:before="120" w:after="0"/>
        <w:ind w:firstLineChars="200" w:startChars="0" w:start="0" w:endChars="0" w:end="0"/>
        <w:jc w:val="both"/>
        <w:rPr>
          <w:rFonts w:ascii="Arial Narrow" w:hAnsi="Arial Narrow" w:eastAsia="仿宋_GB2312" w:cs="宋体;SimSun"/>
          <w:spacing w:val="4"/>
          <w:sz w:val="24"/>
          <w:szCs w:val="24"/>
          <w:lang w:eastAsia="zh-CN"/>
        </w:rPr>
      </w:pPr>
      <w:r>
        <w:rPr>
          <w:rFonts w:ascii="Arial Narrow" w:hAnsi="Arial Narrow" w:cs="宋体;SimSun" w:hint="eastAsia"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w:t>
      </w:r>
      <w:r>
        <w:rPr>
          <w:rFonts w:ascii="Arial Narrow" w:hAnsi="Arial Narrow" w:cs="宋体;SimSun" w:hint="eastAsia" w:eastAsia="仿宋_GB2312"/>
          <w:spacing w:val="4"/>
          <w:sz w:val="24"/>
          <w:szCs w:val="24"/>
          <w:highlight w:val="cyan"/>
          <w:lang w:eastAsia="zh-CN"/>
        </w:rPr>
        <w:t>和中国注册会计师独立性准则对公众利益实体审计的独立性要求（如适用）</w:t>
      </w:r>
      <w:r>
        <w:rPr>
          <w:rFonts w:ascii="Arial Narrow" w:hAnsi="Arial Narrow" w:cs="宋体;SimSun" w:hint="eastAsia" w:eastAsia="仿宋_GB2312"/>
          <w:spacing w:val="4"/>
          <w:sz w:val="24"/>
          <w:szCs w:val="24"/>
          <w:lang w:eastAsia="zh-CN"/>
        </w:rPr>
        <w:t>，我们独立于</w:t>
      </w:r>
      <w:r>
        <w:rPr>
          <w:rFonts w:eastAsia="仿宋_GB2312" w:cs="Arial Narrow" w:ascii="Arial Narrow" w:hAnsi="Arial Narrow"/>
          <w:color w:val="FF0000"/>
          <w:spacing w:val="4"/>
          <w:sz w:val="24"/>
          <w:szCs w:val="24"/>
        </w:rPr>
        <w:t>ABC</w:t>
      </w:r>
      <w:r>
        <w:rPr>
          <w:rFonts w:ascii="Arial Narrow" w:hAnsi="Arial Narrow" w:cs="宋体;SimSun" w:hint="eastAsia" w:eastAsia="仿宋_GB2312"/>
          <w:spacing w:val="4"/>
          <w:sz w:val="24"/>
          <w:szCs w:val="24"/>
          <w:lang w:eastAsia="zh-CN"/>
        </w:rPr>
        <w:t>公司，并履行了职业道德方面的其他责任。我们相信，我们获取的审计证据是充分、适当的，为发表否定审计意见提供了基础。</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三、其他信息</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【适用情形：</w:t>
      </w:r>
      <w:r>
        <w:rPr>
          <w:rFonts w:ascii="Arial Narrow" w:hAnsi="Arial Narrow" w:cs="Arial Narrow" w:hint="eastAsia" w:eastAsia="仿宋_GB2312"/>
          <w:bCs/>
          <w:color w:val="0000FF"/>
          <w:sz w:val="24"/>
          <w:szCs w:val="24"/>
          <w:lang w:eastAsia="zh-CN"/>
        </w:rPr>
        <w:t>如果注册会计师发表非无保留意见的事项未被包含在其他信息中或其他信息未针对该事项，同时</w:t>
      </w:r>
      <w:r>
        <w:rPr>
          <w:rFonts w:ascii="Arial Narrow" w:hAnsi="Arial Narrow" w:cs="Arial Narrow" w:hint="eastAsia" w:eastAsia="仿宋_GB2312"/>
          <w:b/>
          <w:bCs/>
          <w:color w:val="0000FF"/>
          <w:sz w:val="24"/>
          <w:szCs w:val="24"/>
          <w:u w:val="single"/>
          <w:lang w:eastAsia="zh-CN"/>
        </w:rPr>
        <w:t>该事项不影响其他信息的任何部分，对财务报表发表保留意见或否定意见可能不会对其他信息的描述产生影响，需要参照无保留意见模板中的相关措辞</w:t>
      </w:r>
      <w:r>
        <w:rPr>
          <w:rFonts w:ascii="Arial Narrow" w:hAnsi="Arial Narrow" w:cs="Arial Narrow" w:hint="eastAsia" w:eastAsia="仿宋_GB2312"/>
          <w:bCs/>
          <w:color w:val="0000FF"/>
          <w:sz w:val="24"/>
          <w:szCs w:val="24"/>
          <w:lang w:eastAsia="zh-CN"/>
        </w:rPr>
        <w:t>。在其他情形下，可能对此类报告产生影响，需要参考以下段落中的措辞：</w:t>
      </w:r>
      <w:r>
        <w:rPr>
          <w:rFonts w:ascii="Arial Narrow" w:hAnsi="Arial Narrow" w:cs="Arial Narrow" w:hint="eastAsia" w:eastAsia="仿宋_GB2312"/>
          <w:b/>
          <w:bCs/>
          <w:color w:val="0000FF"/>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公司管理层（以下简称管理层）对其他信息负责。其他信息包括</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w:t>
      </w:r>
      <w:r>
        <w:rPr>
          <w:rFonts w:eastAsia="仿宋_GB2312" w:cs="Arial Narrow" w:ascii="Arial Narrow" w:hAnsi="Arial Narrow"/>
          <w:color w:val="FF0000"/>
          <w:spacing w:val="4"/>
          <w:sz w:val="24"/>
          <w:szCs w:val="24"/>
          <w:lang w:eastAsia="zh-CN"/>
        </w:rPr>
        <w:t>2025</w:t>
      </w:r>
      <w:r>
        <w:rPr>
          <w:rFonts w:ascii="Arial Narrow" w:hAnsi="Arial Narrow" w:cs="Arial Narrow" w:hint="eastAsia" w:eastAsia="仿宋_GB2312"/>
          <w:color w:val="FF0000"/>
          <w:spacing w:val="4"/>
          <w:sz w:val="24"/>
          <w:szCs w:val="24"/>
          <w:lang w:eastAsia="zh-CN"/>
        </w:rPr>
        <w:t>年年度报告</w:t>
      </w:r>
      <w:r>
        <w:rPr>
          <w:rFonts w:ascii="Arial Narrow" w:hAnsi="Arial Narrow" w:cs="Arial Narrow" w:hint="eastAsia" w:eastAsia="仿宋_GB2312"/>
          <w:spacing w:val="4"/>
          <w:sz w:val="24"/>
          <w:szCs w:val="24"/>
          <w:lang w:eastAsia="zh-CN"/>
        </w:rPr>
        <w:t>中涵盖的信息，但不包括财务报表和我们的审计报告。</w:t>
      </w:r>
    </w:p>
    <w:p>
      <w:pPr>
        <w:pStyle w:val="Normal"/>
        <w:spacing w:lineRule="auto" w:line="300" w:before="120" w:after="0"/>
        <w:ind w:firstLineChars="200" w:startChars="0" w:start="0" w:endChars="0" w:end="0"/>
        <w:jc w:val="both"/>
        <w:rPr>
          <w:rFonts w:ascii="仿宋_GB2312" w:hAnsi="仿宋_GB2312" w:eastAsia="仿宋_GB2312"/>
          <w:sz w:val="24"/>
          <w:szCs w:val="24"/>
          <w:lang w:eastAsia="zh-CN"/>
        </w:rPr>
      </w:pPr>
      <w:r>
        <w:rPr>
          <w:rFonts w:ascii="仿宋_GB2312" w:hAnsi="仿宋_GB2312" w:hint="eastAsia" w:eastAsia="仿宋_GB2312"/>
          <w:sz w:val="24"/>
          <w:szCs w:val="24"/>
        </w:rPr>
        <w:t>我们对财务报表发表的审计意见不涵盖其他信息，我们也不对其他信息发表任何形式的鉴证结论。</w:t>
      </w:r>
    </w:p>
    <w:p>
      <w:pPr>
        <w:pStyle w:val="Normal"/>
        <w:spacing w:lineRule="auto" w:line="300" w:before="120" w:after="0"/>
        <w:ind w:firstLineChars="200" w:startChars="0" w:start="0" w:endChars="0" w:end="0"/>
        <w:jc w:val="both"/>
        <w:rPr>
          <w:rFonts w:ascii="仿宋_GB2312" w:hAnsi="仿宋_GB2312" w:eastAsia="仿宋_GB2312"/>
          <w:sz w:val="24"/>
          <w:szCs w:val="24"/>
        </w:rPr>
      </w:pPr>
      <w:r>
        <w:rPr>
          <w:rFonts w:ascii="仿宋_GB2312" w:hAnsi="仿宋_GB2312" w:hint="eastAsia" w:eastAsia="仿宋_GB2312"/>
          <w:sz w:val="24"/>
          <w:szCs w:val="24"/>
        </w:rPr>
        <w:t>结合我们对财务报表的审计，我们的责任是阅读其他信息，在此过程中，考虑其他信息是否与财务报表或我们在审计过程中了解到的情况存在重大不一致或者似乎存在重大错报。</w:t>
      </w:r>
    </w:p>
    <w:p>
      <w:pPr>
        <w:pStyle w:val="Normal"/>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仿宋_GB2312" w:hAnsi="仿宋_GB2312" w:hint="eastAsia" w:eastAsia="仿宋_GB2312"/>
          <w:color w:val="FF0000"/>
          <w:sz w:val="24"/>
          <w:szCs w:val="24"/>
        </w:rPr>
        <w:t>基于我们已执行的工作，如果我们确定其他信息存在重大错报，我们应当报告该事实</w:t>
      </w:r>
      <w:r>
        <w:rPr>
          <w:rFonts w:ascii="仿宋_GB2312" w:hAnsi="仿宋_GB2312" w:eastAsia="仿宋_GB2312"/>
          <w:color w:val="FF0000"/>
          <w:sz w:val="24"/>
          <w:szCs w:val="24"/>
          <w:lang w:eastAsia="zh-CN"/>
        </w:rPr>
        <w:t>……</w:t>
      </w:r>
      <w:r>
        <w:rPr>
          <w:rFonts w:ascii="Arial Narrow" w:hAnsi="Arial Narrow" w:cs="Arial Narrow" w:hint="eastAsia" w:eastAsia="仿宋_GB2312"/>
          <w:b/>
          <w:bCs/>
          <w:color w:val="0000FF"/>
          <w:sz w:val="24"/>
          <w:szCs w:val="24"/>
          <w:lang w:eastAsia="zh-CN"/>
        </w:rPr>
        <w:t>【</w:t>
      </w:r>
      <w:r>
        <w:rPr>
          <w:rFonts w:ascii="Arial Narrow" w:hAnsi="Arial Narrow" w:cs="Arial Narrow" w:hint="eastAsia" w:eastAsia="仿宋_GB2312"/>
          <w:bCs/>
          <w:color w:val="0000FF"/>
          <w:sz w:val="24"/>
          <w:szCs w:val="24"/>
          <w:lang w:eastAsia="zh-CN"/>
        </w:rPr>
        <w:t>本段落</w:t>
      </w:r>
      <w:r>
        <w:rPr>
          <w:rFonts w:ascii="Arial Narrow" w:hAnsi="Arial Narrow" w:cs="Arial Narrow" w:hint="eastAsia" w:eastAsia="仿宋_GB2312"/>
          <w:color w:val="0000FF"/>
          <w:spacing w:val="4"/>
          <w:sz w:val="24"/>
          <w:szCs w:val="24"/>
          <w:lang w:eastAsia="zh-CN"/>
        </w:rPr>
        <w:t>需要根据情况进行改写，以描述导致注册会计师对财务报表发表否定意见并且也影响其他信息的事项，如：</w:t>
      </w:r>
      <w:r>
        <w:rPr>
          <w:rFonts w:ascii="Arial Narrow" w:hAnsi="Arial Narrow" w:cs="Arial Narrow" w:hint="eastAsia" w:eastAsia="仿宋_GB2312"/>
          <w:b/>
          <w:bCs/>
          <w:color w:val="0000FF"/>
          <w:sz w:val="24"/>
          <w:szCs w:val="24"/>
          <w:lang w:eastAsia="zh-CN"/>
        </w:rPr>
        <w:t>】</w:t>
      </w:r>
    </w:p>
    <w:p>
      <w:pPr>
        <w:pStyle w:val="Normal"/>
        <w:spacing w:lineRule="auto" w:line="300" w:before="120" w:after="0"/>
        <w:ind w:firstLineChars="200" w:startChars="0" w:start="0" w:endChars="0" w:end="0"/>
        <w:jc w:val="both"/>
        <w:rPr>
          <w:rFonts w:ascii="仿宋_GB2312" w:hAnsi="仿宋_GB2312" w:eastAsia="仿宋_GB2312"/>
          <w:sz w:val="24"/>
          <w:szCs w:val="24"/>
          <w:lang w:eastAsia="zh-CN"/>
        </w:rPr>
      </w:pPr>
      <w:r>
        <w:rPr>
          <w:rFonts w:ascii="Arial Narrow" w:hAnsi="Arial Narrow" w:cs="Arial Narrow" w:hint="eastAsia" w:eastAsia="仿宋_GB2312"/>
          <w:spacing w:val="4"/>
          <w:sz w:val="24"/>
          <w:szCs w:val="24"/>
          <w:lang w:eastAsia="zh-CN"/>
        </w:rPr>
        <w:t>基于我们已执行的工作，如果我们确定其他信息存在重大错报，我们应当报告该事实</w:t>
      </w:r>
      <w:r>
        <w:rPr>
          <w:rFonts w:ascii="仿宋_GB2312" w:hAnsi="仿宋_GB2312" w:hint="eastAsia" w:eastAsia="仿宋_GB2312"/>
          <w:sz w:val="24"/>
          <w:szCs w:val="24"/>
        </w:rPr>
        <w:t>。</w:t>
      </w:r>
      <w:r>
        <w:rPr>
          <w:rFonts w:ascii="Arial Narrow" w:hAnsi="Arial Narrow" w:cs="Arial Narrow" w:hint="eastAsia" w:eastAsia="仿宋_GB2312"/>
          <w:color w:val="FF0000"/>
          <w:spacing w:val="4"/>
          <w:sz w:val="24"/>
          <w:szCs w:val="24"/>
          <w:lang w:eastAsia="zh-CN"/>
        </w:rPr>
        <w:t>如上述“形成否定意见的基础”部分所述，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color w:val="FF0000"/>
          <w:spacing w:val="4"/>
          <w:sz w:val="24"/>
          <w:szCs w:val="24"/>
          <w:lang w:eastAsia="zh-CN"/>
        </w:rPr>
        <w:t>公司应当将</w:t>
      </w:r>
      <w:r>
        <w:rPr>
          <w:rFonts w:eastAsia="仿宋_GB2312" w:cs="Arial Narrow" w:ascii="Arial Narrow" w:hAnsi="Arial Narrow"/>
          <w:color w:val="FF0000"/>
          <w:spacing w:val="4"/>
          <w:sz w:val="24"/>
          <w:szCs w:val="24"/>
          <w:lang w:eastAsia="zh-CN"/>
        </w:rPr>
        <w:t>XYZ</w:t>
      </w:r>
      <w:r>
        <w:rPr>
          <w:rFonts w:ascii="Arial Narrow" w:hAnsi="Arial Narrow" w:cs="Arial Narrow" w:hint="eastAsia" w:eastAsia="仿宋_GB2312"/>
          <w:color w:val="FF0000"/>
          <w:spacing w:val="4"/>
          <w:sz w:val="24"/>
          <w:szCs w:val="24"/>
          <w:lang w:eastAsia="zh-CN"/>
        </w:rPr>
        <w:t>公司纳入合并范围，并以暂估金额为基础核算该项收购。我们认为，由于</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color w:val="FF0000"/>
          <w:spacing w:val="4"/>
          <w:sz w:val="24"/>
          <w:szCs w:val="24"/>
          <w:lang w:eastAsia="zh-CN"/>
        </w:rPr>
        <w:t>公司</w:t>
      </w:r>
      <w:r>
        <w:rPr>
          <w:rFonts w:eastAsia="仿宋_GB2312" w:cs="Arial Narrow" w:ascii="Arial Narrow" w:hAnsi="Arial Narrow"/>
          <w:color w:val="FF0000"/>
          <w:spacing w:val="4"/>
          <w:sz w:val="24"/>
          <w:szCs w:val="24"/>
          <w:lang w:eastAsia="zh-CN"/>
        </w:rPr>
        <w:t>2025</w:t>
      </w:r>
      <w:r>
        <w:rPr>
          <w:rFonts w:ascii="Arial Narrow" w:hAnsi="Arial Narrow" w:cs="Arial Narrow" w:hint="eastAsia" w:eastAsia="仿宋_GB2312"/>
          <w:color w:val="FF0000"/>
          <w:spacing w:val="4"/>
          <w:sz w:val="24"/>
          <w:szCs w:val="24"/>
          <w:lang w:eastAsia="zh-CN"/>
        </w:rPr>
        <w:t>年年度报告中的相关金额或其他项目受到未合并</w:t>
      </w:r>
      <w:r>
        <w:rPr>
          <w:rFonts w:eastAsia="仿宋_GB2312" w:cs="Arial Narrow" w:ascii="Arial Narrow" w:hAnsi="Arial Narrow"/>
          <w:color w:val="FF0000"/>
          <w:spacing w:val="4"/>
          <w:sz w:val="24"/>
          <w:szCs w:val="24"/>
          <w:lang w:eastAsia="zh-CN"/>
        </w:rPr>
        <w:t>XYZ</w:t>
      </w:r>
      <w:r>
        <w:rPr>
          <w:rFonts w:ascii="Arial Narrow" w:hAnsi="Arial Narrow" w:cs="Arial Narrow" w:hint="eastAsia" w:eastAsia="仿宋_GB2312"/>
          <w:color w:val="FF0000"/>
          <w:spacing w:val="4"/>
          <w:sz w:val="24"/>
          <w:szCs w:val="24"/>
          <w:lang w:eastAsia="zh-CN"/>
        </w:rPr>
        <w:t>公司的影响，其他信息存在重大错报。</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spacing w:val="4"/>
          <w:sz w:val="24"/>
          <w:szCs w:val="24"/>
          <w:lang w:eastAsia="zh-CN"/>
        </w:rPr>
      </w:pPr>
      <w:r>
        <w:rPr>
          <w:rFonts w:ascii="Arial Narrow" w:hAnsi="Arial Narrow" w:cs="Arial Narrow" w:hint="eastAsia" w:eastAsia="仿宋_GB2312"/>
          <w:b/>
          <w:bCs/>
          <w:sz w:val="24"/>
          <w:szCs w:val="24"/>
          <w:lang w:eastAsia="zh-CN"/>
        </w:rPr>
        <w:t>四</w:t>
      </w:r>
      <w:r>
        <w:rPr>
          <w:rFonts w:ascii="Arial Narrow" w:hAnsi="Arial Narrow" w:cs="Arial Narrow" w:hint="eastAsia" w:eastAsia="仿宋_GB2312"/>
          <w:b/>
          <w:bCs/>
          <w:sz w:val="24"/>
          <w:szCs w:val="24"/>
        </w:rPr>
        <w:t>、关键审计事项</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除“形成否定意见的基础”部分所述事项外，我们确定下列事项是需要在审计报告中沟通的关键审计事项。</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bCs/>
          <w:color w:val="0000FF"/>
          <w:sz w:val="24"/>
          <w:szCs w:val="24"/>
          <w:lang w:eastAsia="zh-CN"/>
        </w:rPr>
        <w:t>【按照《中国注册会计师审计准则第</w:t>
      </w:r>
      <w:r>
        <w:rPr>
          <w:rFonts w:eastAsia="仿宋_GB2312" w:cs="Arial Narrow" w:ascii="Arial Narrow" w:hAnsi="Arial Narrow"/>
          <w:bCs/>
          <w:color w:val="0000FF"/>
          <w:sz w:val="24"/>
          <w:szCs w:val="24"/>
          <w:lang w:eastAsia="zh-CN"/>
        </w:rPr>
        <w:t>1504</w:t>
      </w:r>
      <w:r>
        <w:rPr>
          <w:rFonts w:ascii="Arial Narrow" w:hAnsi="Arial Narrow" w:cs="Arial Narrow" w:hint="eastAsia" w:eastAsia="仿宋_GB2312"/>
          <w:bCs/>
          <w:color w:val="0000FF"/>
          <w:sz w:val="24"/>
          <w:szCs w:val="24"/>
          <w:lang w:eastAsia="zh-CN"/>
        </w:rPr>
        <w:t>号——在审计报告中沟通关键审计事项》的规定描述每一关键审计事项。】</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bCs/>
          <w:color w:val="0000FF"/>
          <w:sz w:val="24"/>
          <w:szCs w:val="24"/>
          <w:lang w:eastAsia="zh-CN"/>
        </w:rPr>
        <w:t>【当注册会计师认为除“形成否定意见的基础”部分所述事项外，无其他需要在审计报告中沟通的关键审计事项时，修改为：</w:t>
      </w:r>
      <w:r>
        <w:rPr>
          <w:rFonts w:ascii="Arial Narrow" w:hAnsi="Arial Narrow" w:cs="Arial Narrow" w:hint="eastAsia" w:eastAsia="仿宋_GB2312"/>
          <w:bCs/>
          <w:color w:val="FF0000"/>
          <w:sz w:val="24"/>
          <w:szCs w:val="24"/>
          <w:lang w:eastAsia="zh-CN"/>
        </w:rPr>
        <w:t>除“形成否定意见的基础”部分所述事项外，我们认为，没有其他需要在审计报中沟通的关键审计事项。</w:t>
      </w:r>
      <w:r>
        <w:rPr>
          <w:rFonts w:ascii="Arial Narrow" w:hAnsi="Arial Narrow" w:cs="Arial Narrow" w:hint="eastAsia" w:eastAsia="仿宋_GB2312"/>
          <w:b/>
          <w:bCs/>
          <w:color w:val="0000FF"/>
          <w:sz w:val="24"/>
          <w:szCs w:val="24"/>
          <w:lang w:eastAsia="zh-CN"/>
        </w:rPr>
        <w:t>】</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五、管理层和治理层对财务报表的责任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公司管理层负责按照企业会计准则的规定编制财务报表，使其实现公允反映，并设计、执行和维护必要的内部控制，以使财务报表不存在由于舞弊或错误导致的重大错报。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在编制财务报表时，管理层负责评估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公司的持续经营能力，披露与持续经营相关的事项（如适用），并运用持续经营假设，除非管理层计划清算</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公司、终止运营或别无其他现实的选择。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治理层负责监督</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公司的财务报告过程。</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六、注册会计师对财务报表审计的责任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在按照审计准则执行审计工作的过程中，我们运用职业判断，并保持职业怀疑。同时，我们也执行以下工作：</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1</w:t>
      </w:r>
      <w:r>
        <w:rPr>
          <w:rFonts w:ascii="Arial Narrow" w:hAnsi="Arial Narrow" w:cs="Arial Narrow" w:hint="eastAsia" w:eastAsia="仿宋_GB2312"/>
          <w:spacing w:val="4"/>
          <w:sz w:val="24"/>
          <w:szCs w:val="24"/>
          <w:lang w:eastAsia="zh-CN"/>
        </w:rPr>
        <w:t>）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2</w:t>
      </w:r>
      <w:r>
        <w:rPr>
          <w:rFonts w:ascii="Arial Narrow" w:hAnsi="Arial Narrow" w:cs="Arial Narrow" w:hint="eastAsia" w:eastAsia="仿宋_GB2312"/>
          <w:spacing w:val="4"/>
          <w:sz w:val="24"/>
          <w:szCs w:val="24"/>
          <w:lang w:eastAsia="zh-CN"/>
        </w:rPr>
        <w:t>）了解与审计相关的内部控制，以设计恰当的审计程序</w:t>
      </w:r>
      <w:r>
        <w:rPr>
          <w:rFonts w:ascii="Arial Narrow" w:hAnsi="Arial Narrow" w:cs="Arial Narrow" w:hint="eastAsia" w:eastAsia="仿宋_GB2312"/>
          <w:color w:val="FF0000"/>
          <w:spacing w:val="4"/>
          <w:sz w:val="24"/>
          <w:szCs w:val="24"/>
          <w:lang w:eastAsia="zh-CN"/>
        </w:rPr>
        <w:t>，但目的并非对内部控制的有效性发表意见</w:t>
      </w:r>
      <w:r>
        <w:rPr>
          <w:rFonts w:ascii="Arial Narrow" w:hAnsi="Arial Narrow" w:cs="Arial Narrow" w:hint="eastAsia" w:eastAsia="仿宋_GB2312"/>
          <w:spacing w:val="4"/>
          <w:sz w:val="24"/>
          <w:szCs w:val="24"/>
          <w:lang w:eastAsia="zh-CN"/>
        </w:rPr>
        <w:t>。</w:t>
      </w:r>
      <w:r>
        <w:rPr>
          <w:rFonts w:ascii="Arial Narrow" w:hAnsi="Arial Narrow" w:cs="Arial Narrow" w:hint="eastAsia" w:eastAsia="仿宋_GB2312"/>
          <w:color w:val="0000FF"/>
          <w:spacing w:val="4"/>
          <w:sz w:val="24"/>
          <w:szCs w:val="24"/>
          <w:lang w:eastAsia="zh-CN"/>
        </w:rPr>
        <w:t>【如果注册会计师结合财务报表审计对内部控制的有效性发表意见，应当删除“但目的并非对内部控制的有效性发表意见”的措辞。】</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3</w:t>
      </w:r>
      <w:r>
        <w:rPr>
          <w:rFonts w:ascii="Arial Narrow" w:hAnsi="Arial Narrow" w:cs="Arial Narrow" w:hint="eastAsia" w:eastAsia="仿宋_GB2312"/>
          <w:spacing w:val="4"/>
          <w:sz w:val="24"/>
          <w:szCs w:val="24"/>
          <w:lang w:eastAsia="zh-CN"/>
        </w:rPr>
        <w:t>）评价管理层选用会计政策的恰当性和作出会计估计及相关披露的合理性。</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4</w:t>
      </w:r>
      <w:r>
        <w:rPr>
          <w:rFonts w:ascii="Arial Narrow" w:hAnsi="Arial Narrow" w:cs="Arial Narrow" w:hint="eastAsia" w:eastAsia="仿宋_GB2312"/>
          <w:spacing w:val="4"/>
          <w:sz w:val="24"/>
          <w:szCs w:val="24"/>
          <w:lang w:eastAsia="zh-CN"/>
        </w:rPr>
        <w:t>）对管理层使用持续经营假设的恰当性得出结论。同时，根据获取的审计证据，就可能导致对</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公司不能持续经营。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5</w:t>
      </w:r>
      <w:r>
        <w:rPr>
          <w:rFonts w:ascii="Arial Narrow" w:hAnsi="Arial Narrow" w:cs="Arial Narrow" w:hint="eastAsia" w:eastAsia="仿宋_GB2312"/>
          <w:spacing w:val="4"/>
          <w:sz w:val="24"/>
          <w:szCs w:val="24"/>
          <w:lang w:eastAsia="zh-CN"/>
        </w:rPr>
        <w:t>）评价财务报表的总体列报、结构和内容（包括披露），并评价财务报表是否公允反映相关交易和事项。</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6</w:t>
      </w:r>
      <w:r>
        <w:rPr>
          <w:rFonts w:ascii="Arial Narrow" w:hAnsi="Arial Narrow" w:cs="Arial Narrow" w:hint="eastAsia" w:eastAsia="仿宋_GB2312"/>
          <w:spacing w:val="4"/>
          <w:sz w:val="24"/>
          <w:szCs w:val="24"/>
          <w:lang w:eastAsia="zh-CN"/>
        </w:rPr>
        <w:t>）就</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公司中实体或业务活动的财务信息获取充分、适当的审计证据，以对财务报表发表意见。我们负责指导、监督和执行集团审计，并对审计意见承担全部责任。</w:t>
      </w:r>
      <w:r>
        <w:rPr>
          <w:rFonts w:ascii="Arial Narrow" w:hAnsi="Arial Narrow" w:cs="Arial Narrow" w:hint="eastAsia" w:eastAsia="仿宋_GB2312"/>
          <w:color w:val="0000FF"/>
          <w:spacing w:val="4"/>
          <w:sz w:val="24"/>
          <w:szCs w:val="24"/>
          <w:lang w:eastAsia="zh-CN"/>
        </w:rPr>
        <w:t>【如果不是集团审计，例如</w:t>
      </w:r>
      <w:r>
        <w:rPr>
          <w:rFonts w:ascii="Arial Narrow" w:hAnsi="Arial Narrow" w:cs="Arial Narrow" w:eastAsia="仿宋_GB2312"/>
          <w:color w:val="0000FF"/>
          <w:spacing w:val="4"/>
          <w:sz w:val="24"/>
          <w:szCs w:val="24"/>
          <w:lang w:eastAsia="zh-CN"/>
        </w:rPr>
        <w:t>被审计</w:t>
      </w:r>
      <w:r>
        <w:rPr>
          <w:rFonts w:ascii="Arial Narrow" w:hAnsi="Arial Narrow" w:cs="Arial Narrow" w:hint="eastAsia" w:eastAsia="仿宋_GB2312"/>
          <w:color w:val="0000FF"/>
          <w:spacing w:val="4"/>
          <w:sz w:val="24"/>
          <w:szCs w:val="24"/>
          <w:lang w:eastAsia="zh-CN"/>
        </w:rPr>
        <w:t>单位</w:t>
      </w:r>
      <w:r>
        <w:rPr>
          <w:rFonts w:ascii="Arial Narrow" w:hAnsi="Arial Narrow" w:cs="Arial Narrow" w:eastAsia="仿宋_GB2312"/>
          <w:color w:val="0000FF"/>
          <w:spacing w:val="4"/>
          <w:sz w:val="24"/>
          <w:szCs w:val="24"/>
          <w:lang w:eastAsia="zh-CN"/>
        </w:rPr>
        <w:t>是单一</w:t>
      </w:r>
      <w:r>
        <w:rPr>
          <w:rFonts w:ascii="Arial Narrow" w:hAnsi="Arial Narrow" w:cs="Arial Narrow" w:hint="eastAsia" w:eastAsia="仿宋_GB2312"/>
          <w:color w:val="0000FF"/>
          <w:spacing w:val="4"/>
          <w:sz w:val="24"/>
          <w:szCs w:val="24"/>
          <w:lang w:eastAsia="zh-CN"/>
        </w:rPr>
        <w:t>主体且无重大对外投资，</w:t>
      </w:r>
      <w:r>
        <w:rPr>
          <w:rFonts w:ascii="Arial Narrow" w:hAnsi="Arial Narrow" w:cs="Arial Narrow" w:eastAsia="仿宋_GB2312"/>
          <w:color w:val="0000FF"/>
          <w:spacing w:val="4"/>
          <w:sz w:val="24"/>
          <w:szCs w:val="24"/>
          <w:lang w:eastAsia="zh-CN"/>
        </w:rPr>
        <w:t>则删除本段</w:t>
      </w:r>
      <w:r>
        <w:rPr>
          <w:rFonts w:ascii="Arial Narrow" w:hAnsi="Arial Narrow" w:cs="Arial Narrow" w:hint="eastAsia" w:eastAsia="仿宋_GB2312"/>
          <w:color w:val="0000FF"/>
          <w:spacing w:val="4"/>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我们与治理层就计划的审计范围、时间安排和重大审计发现等事项进行沟通，包括沟通我们在审计中识别出的值得关注的内部控制缺陷。</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eastAsia="仿宋_GB2312" w:cs="Arial Narrow" w:ascii="Arial Narrow" w:hAnsi="Arial Narrow"/>
          <w:color w:val="0000FF"/>
          <w:spacing w:val="4"/>
          <w:sz w:val="24"/>
          <w:szCs w:val="24"/>
          <w:lang w:eastAsia="zh-CN"/>
        </w:rPr>
      </w:r>
    </w:p>
    <w:tbl>
      <w:tblPr>
        <w:tblpPr w:vertAnchor="text" w:horzAnchor="margin" w:tblpXSpec="center" w:leftFromText="181" w:rightFromText="181" w:tblpY="1"/>
        <w:tblOverlap w:val="never"/>
        <w:tblW w:w="8549" w:type="dxa"/>
        <w:jc w:val="start"/>
        <w:tblInd w:w="108" w:type="dxa"/>
        <w:tblLayout w:type="fixed"/>
        <w:tblCellMar>
          <w:top w:w="0" w:type="dxa"/>
          <w:start w:w="108" w:type="dxa"/>
          <w:bottom w:w="0" w:type="dxa"/>
          <w:end w:w="108" w:type="dxa"/>
        </w:tblCellMar>
      </w:tblPr>
      <w:tblGrid>
        <w:gridCol w:w="3108"/>
        <w:gridCol w:w="3237"/>
        <w:gridCol w:w="2204"/>
      </w:tblGrid>
      <w:tr>
        <w:trPr>
          <w:trHeight w:val="1305"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致同会计师事务所</w:t>
            </w:r>
          </w:p>
          <w:p>
            <w:pPr>
              <w:pStyle w:val="Normal"/>
              <w:spacing w:lineRule="atLeast" w:line="340"/>
              <w:rPr>
                <w:rFonts w:ascii="Arial Narrow" w:hAnsi="Arial Narrow" w:eastAsia="仿宋_GB2312" w:cs="Arial Narrow"/>
                <w:sz w:val="24"/>
                <w:szCs w:val="24"/>
                <w:lang w:eastAsia="zh-CN"/>
              </w:rPr>
            </w:pPr>
            <w:r>
              <w:rPr>
                <w:rFonts w:ascii="Arial Narrow" w:hAnsi="Arial Narrow" w:cs="Arial Narrow" w:hint="eastAsia" w:eastAsia="仿宋_GB2312"/>
                <w:spacing w:val="4"/>
                <w:sz w:val="24"/>
                <w:szCs w:val="24"/>
                <w:lang w:eastAsia="zh-CN"/>
              </w:rPr>
              <w:t>（特殊普通合伙）</w:t>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tc>
        <w:tc>
          <w:tcPr>
            <w:tcW w:w="3237" w:type="dxa"/>
            <w:tcBorders/>
          </w:tcPr>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（项目合伙人）</w:t>
            </w:r>
          </w:p>
          <w:p>
            <w:pPr>
              <w:pStyle w:val="Normal"/>
              <w:spacing w:lineRule="atLeast" w:line="340"/>
              <w:jc w:val="end"/>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end"/>
              <w:rPr>
                <w:rFonts w:ascii="Arial Narrow" w:hAnsi="Arial Narrow" w:eastAsia="仿宋_GB2312" w:cs="Arial Narrow"/>
                <w:sz w:val="24"/>
                <w:szCs w:val="24"/>
                <w:lang w:val="en-AU" w:eastAsia="zh-CN"/>
              </w:rPr>
            </w:pPr>
            <w:r>
              <w:rPr>
                <w:rFonts w:eastAsia="仿宋_GB2312" w:cs="Arial Narrow" w:ascii="Arial Narrow" w:hAnsi="Arial Narrow"/>
                <w:sz w:val="24"/>
                <w:szCs w:val="24"/>
                <w:lang w:val="en-AU"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tc>
        <w:tc>
          <w:tcPr>
            <w:tcW w:w="2204" w:type="dxa"/>
            <w:tcBorders/>
          </w:tcPr>
          <w:p>
            <w:pPr>
              <w:pStyle w:val="Normal"/>
              <w:snapToGrid w:val="false"/>
              <w:spacing w:lineRule="atLeast" w:line="34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tc>
      </w:tr>
      <w:tr>
        <w:trPr>
          <w:trHeight w:val="507"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z w:val="24"/>
                <w:szCs w:val="24"/>
                <w:lang w:eastAsia="zh-CN"/>
              </w:rPr>
              <w:t>中国</w:t>
            </w:r>
            <w:r>
              <w:rPr>
                <w:rFonts w:eastAsia="仿宋_GB2312" w:cs="Arial Narrow" w:hint="eastAsia" w:ascii="Arial Narrow" w:hAnsi="Arial Narrow"/>
                <w:spacing w:val="4"/>
                <w:sz w:val="24"/>
                <w:szCs w:val="24"/>
                <w:lang w:eastAsia="zh-CN"/>
              </w:rPr>
              <w:t>·</w:t>
            </w:r>
            <w:r>
              <w:rPr>
                <w:rFonts w:ascii="Arial Narrow" w:hAnsi="Arial Narrow" w:cs="Arial Narrow" w:hint="eastAsia" w:eastAsia="仿宋_GB2312"/>
                <w:sz w:val="24"/>
                <w:szCs w:val="24"/>
                <w:lang w:eastAsia="zh-CN"/>
              </w:rPr>
              <w:t>北京</w:t>
            </w:r>
          </w:p>
        </w:tc>
        <w:tc>
          <w:tcPr>
            <w:tcW w:w="5441" w:type="dxa"/>
            <w:gridSpan w:val="2"/>
            <w:tcBorders/>
          </w:tcPr>
          <w:p>
            <w:pPr>
              <w:pStyle w:val="Normal"/>
              <w:spacing w:lineRule="atLeast" w:line="340"/>
              <w:ind w:firstLineChars="550" w:startChars="0" w:start="0" w:endChars="0" w:end="0"/>
              <w:rPr>
                <w:rFonts w:ascii="Arial Narrow" w:hAnsi="Arial Narrow" w:eastAsia="仿宋_GB2312" w:cs="Arial Narrow"/>
                <w:color w:val="FF0000"/>
                <w:sz w:val="24"/>
                <w:szCs w:val="24"/>
                <w:lang w:eastAsia="zh-CN"/>
              </w:rPr>
            </w:pPr>
            <w:r>
              <w:rPr>
                <w:rFonts w:ascii="Arial Narrow" w:hAnsi="Arial Narrow" w:cs="Arial Narrow" w:hint="eastAsia" w:eastAsia="仿宋_GB2312"/>
                <w:color w:val="FF0000"/>
                <w:sz w:val="24"/>
                <w:szCs w:val="24"/>
                <w:lang w:eastAsia="zh-CN"/>
              </w:rPr>
              <w:t xml:space="preserve">二〇二六年 </w:t>
            </w:r>
            <w:r>
              <w:rPr>
                <w:rFonts w:eastAsia="仿宋_GB2312" w:cs="Arial Narrow" w:hint="eastAsia" w:ascii="Arial Narrow" w:hAnsi="Arial Narrow"/>
                <w:color w:val="FF0000"/>
                <w:sz w:val="24"/>
                <w:szCs w:val="24"/>
                <w:lang w:eastAsia="zh-CN"/>
              </w:rPr>
              <w:t xml:space="preserve">X </w:t>
            </w:r>
            <w:r>
              <w:rPr>
                <w:rFonts w:ascii="Arial Narrow" w:hAnsi="Arial Narrow" w:cs="Arial Narrow" w:hint="eastAsia" w:eastAsia="仿宋_GB2312"/>
                <w:color w:val="FF0000"/>
                <w:sz w:val="24"/>
                <w:szCs w:val="24"/>
                <w:lang w:eastAsia="zh-CN"/>
              </w:rPr>
              <w:t>月</w:t>
            </w:r>
            <w:r>
              <w:rPr>
                <w:rFonts w:eastAsia="仿宋_GB2312" w:cs="Arial Narrow" w:hint="eastAsia" w:ascii="Arial Narrow" w:hAnsi="Arial Narrow"/>
                <w:color w:val="FF0000"/>
                <w:sz w:val="24"/>
                <w:szCs w:val="24"/>
                <w:lang w:eastAsia="zh-CN"/>
              </w:rPr>
              <w:t>XX</w:t>
            </w:r>
            <w:r>
              <w:rPr>
                <w:rFonts w:ascii="Arial Narrow" w:hAnsi="Arial Narrow" w:cs="Arial Narrow" w:hint="eastAsia" w:eastAsia="仿宋_GB2312"/>
                <w:color w:val="FF0000"/>
                <w:sz w:val="24"/>
                <w:szCs w:val="24"/>
                <w:lang w:eastAsia="zh-CN"/>
              </w:rPr>
              <w:t>日</w:t>
            </w:r>
          </w:p>
        </w:tc>
      </w:tr>
    </w:tbl>
    <w:p>
      <w:pPr>
        <w:pStyle w:val="Normal"/>
        <w:rPr>
          <w:rFonts w:ascii="Arial Narrow" w:hAnsi="Arial Narrow" w:eastAsia="仿宋_GB2312" w:cs="Arial Narrow"/>
          <w:lang w:eastAsia="zh-CN"/>
        </w:rPr>
      </w:pPr>
      <w:r>
        <w:rPr>
          <w:rFonts w:eastAsia="仿宋_GB2312" w:cs="Arial Narrow" w:ascii="Arial Narrow" w:hAnsi="Arial Narrow"/>
          <w:lang w:eastAsia="zh-CN"/>
        </w:rPr>
      </w:r>
    </w:p>
    <w:sectPr>
      <w:headerReference w:type="default" r:id="rId6"/>
      <w:headerReference w:type="first" r:id="rId7"/>
      <w:footerReference w:type="default" r:id="rId8"/>
      <w:footerReference w:type="first" r:id="rId9"/>
      <w:type w:val="nextPage"/>
      <w:pgSz w:w="11906" w:h="16838"/>
      <w:pgMar w:left="1985" w:right="1803" w:gutter="0" w:header="850" w:top="2835" w:footer="850" w:bottom="1440"/>
      <w:pgNumType w:start="1"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Optimum">
    <w:altName w:val="Times New Roman"/>
    <w:charset w:val="00" w:characterSet="windows-1252"/>
    <w:family w:val="auto"/>
    <w:pitch w:val="default"/>
  </w:font>
  <w:font w:name="Wingdings">
    <w:charset w:val="02"/>
    <w:family w:val="auto"/>
    <w:pitch w:val="variable"/>
  </w:font>
  <w:font w:name="宋体">
    <w:altName w:val="SimSun"/>
    <w:charset w:val="86"/>
    <w:family w:val="auto"/>
    <w:pitch w:val="variable"/>
  </w:font>
  <w:font w:name="Liberation Sans">
    <w:altName w:val="Arial"/>
    <w:charset w:val="86"/>
    <w:family w:val="swiss"/>
    <w:pitch w:val="variable"/>
  </w:font>
  <w:font w:name="Univers">
    <w:altName w:val="Arial"/>
    <w:charset w:val="00" w:characterSet="windows-1252"/>
    <w:family w:val="swiss"/>
    <w:pitch w:val="default"/>
  </w:font>
  <w:font w:name="Garamond">
    <w:charset w:val="00" w:characterSet="windows-1252"/>
    <w:family w:val="roman"/>
    <w:pitch w:val="variable"/>
  </w:font>
  <w:font w:name="Arial Narrow">
    <w:charset w:val="00" w:characterSet="windows-1252"/>
    <w:family w:val="swiss"/>
    <w:pitch w:val="variable"/>
  </w:font>
  <w:font w:name="挀甀洀攀渀">
    <w:altName w:val="仿宋"/>
    <w:charset w:val="86"/>
    <w:family w:val="auto"/>
    <w:pitch w:val="default"/>
  </w:font>
  <w:font w:name="黑体">
    <w:altName w:val="SimHei"/>
    <w:charset w:val="86"/>
    <w:family w:val="modern"/>
    <w:pitch w:val="default"/>
  </w:font>
  <w:font w:name="仿宋_GB2312">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5</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480"/>
      <w:ind w:end="900"/>
      <w:jc w:val="both"/>
      <w:rPr>
        <w:lang w:val="zh-CN" w:eastAsia="zh-CN"/>
      </w:rPr>
    </w:pPr>
    <w:r>
      <w:rPr>
        <w:lang w:val="zh-CN" w:eastAsia="zh-CN"/>
      </w:rPr>
      <w:drawing>
        <wp:anchor distT="0" distB="0" distL="114935" distR="114935" simplePos="0" relativeHeight="7"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bwMode="auto">
                  <a:xfrm>
                    <a:off x="0" y="0"/>
                    <a:ext cx="1843405" cy="62928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227"/>
        </w:tabs>
        <w:ind w:start="227" w:hanging="227"/>
      </w:pPr>
      <w:rPr>
        <w:rFonts w:ascii="Symbol" w:hAnsi="Symbol" w:cs="Symbol" w:hint="default"/>
        <w:color w:val="000000"/>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1080"/>
        </w:tabs>
        <w:ind w:start="1080" w:hanging="360"/>
      </w:pPr>
      <w:rPr>
        <w:rFonts w:ascii="Wingdings" w:hAnsi="Wingdings" w:cs="Wingdings"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Symbol" w:hAnsi="Symbol" w:cs="Symbol" w:hint="default"/>
      </w:rPr>
    </w:lvl>
    <w:lvl w:ilvl="5">
      <w:start w:val="1"/>
      <w:numFmt w:val="bullet"/>
      <w:lvlText w:val=""/>
      <w:lvlJc w:val="start"/>
      <w:pPr>
        <w:tabs>
          <w:tab w:val="num" w:pos="2160"/>
        </w:tabs>
        <w:ind w:start="2160" w:hanging="360"/>
      </w:pPr>
      <w:rPr>
        <w:rFonts w:ascii="Wingdings" w:hAnsi="Wingdings" w:cs="Wingdings" w:hint="default"/>
      </w:rPr>
    </w:lvl>
    <w:lvl w:ilvl="6">
      <w:start w:val="1"/>
      <w:numFmt w:val="bullet"/>
      <w:lvlText w:val=""/>
      <w:lvlJc w:val="start"/>
      <w:pPr>
        <w:tabs>
          <w:tab w:val="num" w:pos="2520"/>
        </w:tabs>
        <w:ind w:start="2520" w:hanging="360"/>
      </w:pPr>
      <w:rPr>
        <w:rFonts w:ascii="Wingdings" w:hAnsi="Wingdings" w:cs="Wingdings" w:hint="default"/>
      </w:rPr>
    </w:lvl>
    <w:lvl w:ilvl="7">
      <w:start w:val="1"/>
      <w:numFmt w:val="bullet"/>
      <w:lvlText w:val=""/>
      <w:lvlJc w:val="start"/>
      <w:pPr>
        <w:tabs>
          <w:tab w:val="num" w:pos="2880"/>
        </w:tabs>
        <w:ind w:start="2880" w:hanging="360"/>
      </w:pPr>
      <w:rPr>
        <w:rFonts w:ascii="Symbol" w:hAnsi="Symbol" w:cs="Symbol" w:hint="default"/>
      </w:rPr>
    </w:lvl>
    <w:lvl w:ilvl="8">
      <w:start w:val="1"/>
      <w:numFmt w:val="bullet"/>
      <w:lvlText w:val=""/>
      <w:lvlJc w:val="start"/>
      <w:pPr>
        <w:tabs>
          <w:tab w:val="num" w:pos="3240"/>
        </w:tabs>
        <w:ind w:start="3240" w:hanging="360"/>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00"/>
  <w:trackRevisions/>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PMingLiU;Microsoft JhengHei" w:cs="Times New Roman"/>
      <w:color w:val="auto"/>
      <w:sz w:val="20"/>
      <w:szCs w:val="20"/>
      <w:lang w:eastAsia="zh-TW" w:bidi="ar-SA" w:val="en-US"/>
    </w:rPr>
  </w:style>
  <w:style w:type="paragraph" w:styleId="Heading1">
    <w:name w:val="heading 1"/>
    <w:basedOn w:val="Normal"/>
    <w:next w:val="Normal"/>
    <w:qFormat/>
    <w:pPr>
      <w:keepNext w:val="true"/>
      <w:numPr>
        <w:ilvl w:val="0"/>
        <w:numId w:val="1"/>
      </w:numPr>
      <w:tabs>
        <w:tab w:val="clear" w:pos="720"/>
        <w:tab w:val="left" w:pos="0" w:leader="none"/>
      </w:tabs>
      <w:spacing w:before="60" w:after="60"/>
      <w:outlineLvl w:val="0"/>
    </w:pPr>
    <w:rPr>
      <w:rFonts w:ascii="Optimum;Times New Roman" w:hAnsi="Optimum;Times New Roman" w:cs="Optimum;Times New Roman"/>
      <w:b/>
    </w:rPr>
  </w:style>
  <w:style w:type="character" w:styleId="WW8Num1z0">
    <w:name w:val="WW8Num1z0"/>
    <w:qFormat/>
    <w:rPr>
      <w:rFonts w:hint="eastAsia"/>
    </w:rPr>
  </w:style>
  <w:style w:type="character" w:styleId="WW8Num2z0">
    <w:name w:val="WW8Num2z0"/>
    <w:qFormat/>
    <w:rPr>
      <w:rFonts w:hint="eastAsia"/>
    </w:rPr>
  </w:style>
  <w:style w:type="character" w:styleId="WW8Num3z0">
    <w:name w:val="WW8Num3z0"/>
    <w:qFormat/>
    <w:rPr/>
  </w:style>
  <w:style w:type="character" w:styleId="WW8Num4z0">
    <w:name w:val="WW8Num4z0"/>
    <w:qFormat/>
    <w:rPr>
      <w:rFonts w:ascii="Symbol" w:hAnsi="Symbol" w:cs="Symbol"/>
      <w:color w:val="000000"/>
    </w:rPr>
  </w:style>
  <w:style w:type="character" w:styleId="WW8Num4z1">
    <w:name w:val="WW8Num4z1"/>
    <w:qFormat/>
    <w:rPr>
      <w:rFonts w:ascii="Symbol" w:hAnsi="Symbol" w:cs="Symbol"/>
    </w:rPr>
  </w:style>
  <w:style w:type="character" w:styleId="WW8Num4z2">
    <w:name w:val="WW8Num4z2"/>
    <w:qFormat/>
    <w:rPr>
      <w:rFonts w:ascii="Wingdings" w:hAnsi="Wingdings" w:cs="Wingdings"/>
    </w:rPr>
  </w:style>
  <w:style w:type="character" w:styleId="WW8Num5z0">
    <w:name w:val="WW8Num5z0"/>
    <w:qFormat/>
    <w:rPr>
      <w:rFonts w:ascii="宋体;SimSun" w:hAnsi="宋体;SimSun" w:eastAsia="宋体;SimSun" w:cs="Times New Roman" w:hint="eastAsia"/>
    </w:rPr>
  </w:style>
  <w:style w:type="character" w:styleId="WW8Num5z1">
    <w:name w:val="WW8Num5z1"/>
    <w:qFormat/>
    <w:rPr>
      <w:rFonts w:ascii="Wingdings" w:hAnsi="Wingdings" w:cs="Wingdings"/>
    </w:rPr>
  </w:style>
  <w:style w:type="character" w:styleId="WW8Num6z0">
    <w:name w:val="WW8Num6z0"/>
    <w:qFormat/>
    <w:rPr>
      <w:rFonts w:hint="eastAsia"/>
    </w:rPr>
  </w:style>
  <w:style w:type="character" w:styleId="WW8Num7z0">
    <w:name w:val="WW8Num7z0"/>
    <w:qFormat/>
    <w:rPr>
      <w:rFonts w:hint="eastAsia"/>
    </w:rPr>
  </w:style>
  <w:style w:type="character" w:styleId="Style13">
    <w:name w:val="默认段落字体"/>
    <w:qFormat/>
    <w:rPr/>
  </w:style>
  <w:style w:type="character" w:styleId="Hyperlink">
    <w:name w:val="Hyperlink"/>
    <w:rPr>
      <w:color w:val="0000FF"/>
      <w:u w:val="single"/>
    </w:rPr>
  </w:style>
  <w:style w:type="character" w:styleId="Style14">
    <w:name w:val="批注引用"/>
    <w:qFormat/>
    <w:rPr>
      <w:sz w:val="21"/>
      <w:szCs w:val="21"/>
    </w:rPr>
  </w:style>
  <w:style w:type="character" w:styleId="Style15">
    <w:name w:val="文档结构图 字符"/>
    <w:qFormat/>
    <w:rPr>
      <w:rFonts w:ascii="宋体;SimSun" w:hAnsi="宋体;SimSun" w:eastAsia="宋体;SimSun"/>
      <w:sz w:val="18"/>
      <w:szCs w:val="18"/>
      <w:lang w:eastAsia="zh-TW"/>
    </w:rPr>
  </w:style>
  <w:style w:type="character" w:styleId="Style16">
    <w:name w:val="页脚 字符"/>
    <w:qFormat/>
    <w:rPr>
      <w:lang w:eastAsia="zh-TW"/>
    </w:rPr>
  </w:style>
  <w:style w:type="paragraph" w:styleId="Style17">
    <w:name w:val="标题样式"/>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tabs>
        <w:tab w:val="clear" w:pos="720"/>
        <w:tab w:val="left" w:pos="0" w:leader="none"/>
        <w:tab w:val="left" w:pos="993" w:leader="none"/>
      </w:tabs>
      <w:spacing w:before="0" w:after="60"/>
    </w:pPr>
    <w:rPr>
      <w:rFonts w:ascii="Univers;Arial" w:hAnsi="Univers;Arial" w:cs="Univers;Arial"/>
      <w:sz w:val="16"/>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8">
    <w:name w:val="索引"/>
    <w:basedOn w:val="Normal"/>
    <w:qFormat/>
    <w:pPr>
      <w:suppressLineNumbers/>
    </w:pPr>
    <w:rPr>
      <w:rFonts w:cs="Arial"/>
    </w:rPr>
  </w:style>
  <w:style w:type="paragraph" w:styleId="Style19">
    <w:name w:val="页眉与页脚"/>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lang w:val="zh-CN"/>
    </w:rPr>
  </w:style>
  <w:style w:type="paragraph" w:styleId="Style20">
    <w:name w:val="日期"/>
    <w:basedOn w:val="Normal"/>
    <w:next w:val="Normal"/>
    <w:qFormat/>
    <w:pPr>
      <w:widowControl w:val="false"/>
      <w:ind w:firstLineChars="0" w:firstLine="0" w:startChars="2500" w:endChars="0" w:end="0"/>
      <w:jc w:val="both"/>
    </w:pPr>
    <w:rPr>
      <w:rFonts w:ascii="宋体;SimSun" w:hAnsi="宋体;SimSun" w:eastAsia="宋体;SimSun" w:cs="宋体;SimSun"/>
      <w:kern w:val="2"/>
      <w:sz w:val="28"/>
      <w:szCs w:val="24"/>
      <w:lang w:eastAsia="zh-CN"/>
    </w:rPr>
  </w:style>
  <w:style w:type="paragraph" w:styleId="BodyTextIndent">
    <w:name w:val="Body Text Indent"/>
    <w:basedOn w:val="Normal"/>
    <w:pPr>
      <w:widowControl w:val="false"/>
      <w:ind w:hanging="0" w:start="980" w:end="0"/>
      <w:jc w:val="both"/>
    </w:pPr>
    <w:rPr>
      <w:rFonts w:ascii="宋体;SimSun" w:hAnsi="宋体;SimSun" w:eastAsia="宋体;SimSun" w:cs="宋体;SimSun"/>
      <w:b/>
      <w:bCs/>
      <w:kern w:val="2"/>
      <w:sz w:val="21"/>
      <w:szCs w:val="24"/>
      <w:lang w:eastAsia="zh-CN"/>
    </w:rPr>
  </w:style>
  <w:style w:type="paragraph" w:styleId="Style21">
    <w:name w:val="批注文字"/>
    <w:basedOn w:val="Normal"/>
    <w:qFormat/>
    <w:pPr>
      <w:widowControl w:val="false"/>
      <w:textAlignment w:val="baseline"/>
    </w:pPr>
    <w:rPr>
      <w:rFonts w:ascii="宋体;SimSun" w:hAnsi="宋体;SimSun" w:eastAsia="宋体;SimSun"/>
      <w:sz w:val="21"/>
      <w:lang w:eastAsia="zh-CN"/>
    </w:rPr>
  </w:style>
  <w:style w:type="paragraph" w:styleId="Address">
    <w:name w:val="Address"/>
    <w:basedOn w:val="Normal"/>
    <w:qFormat/>
    <w:pPr>
      <w:pBdr>
        <w:left w:val="single" w:sz="4" w:space="6" w:color="000000"/>
      </w:pBdr>
      <w:spacing w:lineRule="exact" w:line="200"/>
    </w:pPr>
    <w:rPr>
      <w:rFonts w:eastAsia="宋体;SimSun"/>
      <w:sz w:val="16"/>
      <w:lang w:val="en-GB"/>
    </w:rPr>
  </w:style>
  <w:style w:type="paragraph" w:styleId="Style22">
    <w:name w:val="批注框文本"/>
    <w:basedOn w:val="Normal"/>
    <w:qFormat/>
    <w:pPr/>
    <w:rPr>
      <w:sz w:val="18"/>
      <w:szCs w:val="18"/>
    </w:rPr>
  </w:style>
  <w:style w:type="paragraph" w:styleId="Style23">
    <w:name w:val="批注主题"/>
    <w:basedOn w:val="Style21"/>
    <w:next w:val="Style21"/>
    <w:qFormat/>
    <w:pPr>
      <w:widowControl/>
      <w:textAlignment w:val="auto"/>
    </w:pPr>
    <w:rPr>
      <w:rFonts w:ascii="Times New Roman" w:hAnsi="Times New Roman" w:eastAsia="PMingLiU;Microsoft JhengHei"/>
      <w:b/>
      <w:bCs/>
      <w:sz w:val="20"/>
      <w:lang w:eastAsia="zh-TW"/>
    </w:rPr>
  </w:style>
  <w:style w:type="paragraph" w:styleId="Style24">
    <w:name w:val="列表项目符号"/>
    <w:basedOn w:val="Normal"/>
    <w:qFormat/>
    <w:pPr>
      <w:numPr>
        <w:ilvl w:val="0"/>
        <w:numId w:val="2"/>
      </w:numPr>
      <w:spacing w:lineRule="atLeast" w:line="280" w:before="0" w:after="20"/>
    </w:pPr>
    <w:rPr>
      <w:rFonts w:ascii="Garamond" w:hAnsi="Garamond" w:cs="Arial"/>
      <w:sz w:val="22"/>
      <w:lang w:val="en-GB"/>
    </w:rPr>
  </w:style>
  <w:style w:type="paragraph" w:styleId="2">
    <w:name w:val="列表项目符号 2"/>
    <w:basedOn w:val="Normal"/>
    <w:qFormat/>
    <w:pPr>
      <w:numPr>
        <w:ilvl w:val="0"/>
        <w:numId w:val="2"/>
      </w:numPr>
      <w:spacing w:lineRule="atLeast" w:line="260" w:before="0" w:after="20"/>
    </w:pPr>
    <w:rPr>
      <w:rFonts w:ascii="Garamond" w:hAnsi="Garamond" w:cs="Arial"/>
      <w:sz w:val="22"/>
      <w:lang w:val="en-GB"/>
    </w:rPr>
  </w:style>
  <w:style w:type="paragraph" w:styleId="TradingName">
    <w:name w:val="Trading Name"/>
    <w:qFormat/>
    <w:pPr>
      <w:widowControl/>
      <w:bidi w:val="0"/>
      <w:spacing w:lineRule="atLeast" w:line="180"/>
    </w:pPr>
    <w:rPr>
      <w:rFonts w:ascii="Arial Narrow" w:hAnsi="Arial Narrow" w:eastAsia="黑体;SimHei" w:cs="Arial"/>
      <w:b/>
      <w:color w:val="auto"/>
      <w:sz w:val="14"/>
      <w:szCs w:val="20"/>
      <w:lang w:val="en-GB" w:bidi="ar-SA" w:eastAsia="zh-CN"/>
    </w:rPr>
  </w:style>
  <w:style w:type="paragraph" w:styleId="PartnerAddress">
    <w:name w:val="Partner Address"/>
    <w:qFormat/>
    <w:pPr>
      <w:widowControl/>
      <w:bidi w:val="0"/>
    </w:pPr>
    <w:rPr>
      <w:rFonts w:ascii="Arial Narrow" w:hAnsi="Arial Narrow" w:eastAsia="黑体;SimHei" w:cs="Arial"/>
      <w:color w:val="auto"/>
      <w:sz w:val="14"/>
      <w:szCs w:val="20"/>
      <w:lang w:val="en-GB" w:bidi="ar-SA" w:eastAsia="zh-CN"/>
    </w:rPr>
  </w:style>
  <w:style w:type="paragraph" w:styleId="HalfLineBreak">
    <w:name w:val="Half Line Break"/>
    <w:qFormat/>
    <w:pPr>
      <w:widowControl/>
      <w:bidi w:val="0"/>
    </w:pPr>
    <w:rPr>
      <w:rFonts w:ascii="Arial Narrow" w:hAnsi="Arial Narrow" w:eastAsia="黑体;SimHei" w:cs="Arial"/>
      <w:b/>
      <w:color w:val="auto"/>
      <w:sz w:val="7"/>
      <w:szCs w:val="20"/>
      <w:lang w:val="en-GB" w:bidi="ar-SA" w:eastAsia="zh-CN"/>
    </w:rPr>
  </w:style>
  <w:style w:type="paragraph" w:styleId="LetterFooterTitle">
    <w:name w:val="Letter Footer Title"/>
    <w:next w:val="LetterFooter"/>
    <w:qFormat/>
    <w:pPr>
      <w:widowControl/>
      <w:bidi w:val="0"/>
      <w:spacing w:lineRule="atLeast" w:line="140"/>
    </w:pPr>
    <w:rPr>
      <w:rFonts w:ascii="Arial Narrow" w:hAnsi="Arial Narrow" w:eastAsia="PMingLiU;Microsoft JhengHei" w:cs="Arial"/>
      <w:b/>
      <w:color w:val="auto"/>
      <w:sz w:val="11"/>
      <w:szCs w:val="20"/>
      <w:lang w:val="en-GB" w:bidi="ar-SA" w:eastAsia="zh-CN"/>
    </w:rPr>
  </w:style>
  <w:style w:type="paragraph" w:styleId="LetterFooter">
    <w:name w:val="Letter Footer"/>
    <w:qFormat/>
    <w:pPr>
      <w:widowControl/>
      <w:bidi w:val="0"/>
      <w:spacing w:lineRule="atLeast" w:line="140"/>
    </w:pPr>
    <w:rPr>
      <w:rFonts w:ascii="Arial Narrow" w:hAnsi="Arial Narrow" w:eastAsia="PMingLiU;Microsoft JhengHei" w:cs="Arial"/>
      <w:color w:val="auto"/>
      <w:sz w:val="11"/>
      <w:szCs w:val="20"/>
      <w:lang w:val="en-GB" w:bidi="ar-SA" w:eastAsia="zh-CN"/>
    </w:rPr>
  </w:style>
  <w:style w:type="paragraph" w:styleId="ParaCharCharCharCharCharCharChar">
    <w:name w:val="默认段落字体 Para Char Char Char Char Char Char Char"/>
    <w:basedOn w:val="Normal"/>
    <w:qFormat/>
    <w:pPr>
      <w:widowControl w:val="false"/>
      <w:jc w:val="both"/>
    </w:pPr>
    <w:rPr>
      <w:rFonts w:ascii="挀甀洀攀渀;仿宋" w:hAnsi="挀甀洀攀渀;仿宋" w:eastAsia="宋体;SimSun" w:cs="挀甀洀攀渀;仿宋"/>
      <w:kern w:val="2"/>
      <w:sz w:val="24"/>
      <w:lang w:eastAsia="zh-CN"/>
    </w:rPr>
  </w:style>
  <w:style w:type="paragraph" w:styleId="Style25">
    <w:name w:val="文档结构图"/>
    <w:basedOn w:val="Normal"/>
    <w:qFormat/>
    <w:pPr/>
    <w:rPr>
      <w:rFonts w:ascii="宋体;SimSun" w:hAnsi="宋体;SimSun" w:eastAsia="宋体;SimSun"/>
      <w:sz w:val="18"/>
      <w:szCs w:val="18"/>
      <w:lang w:val="zh-CN"/>
    </w:rPr>
  </w:style>
  <w:style w:type="paragraph" w:styleId="Style26">
    <w:name w:val="列表段落"/>
    <w:basedOn w:val="Normal"/>
    <w:qFormat/>
    <w:pPr>
      <w:ind w:firstLineChars="200" w:startChars="0" w:start="0" w:endChars="0" w:end="0"/>
    </w:pPr>
    <w:rPr/>
  </w:style>
  <w:style w:type="paragraph" w:styleId="Style27">
    <w:name w:val="表格内容"/>
    <w:basedOn w:val="Normal"/>
    <w:qFormat/>
    <w:pPr>
      <w:widowControl w:val="false"/>
      <w:suppressLineNumbers/>
    </w:pPr>
    <w:rPr/>
  </w:style>
  <w:style w:type="paragraph" w:styleId="Style28">
    <w:name w:val="表格标题"/>
    <w:basedOn w:val="Style27"/>
    <w:qFormat/>
    <w:pPr>
      <w:suppressLineNumbers/>
      <w:jc w:val="center"/>
    </w:pPr>
    <w:rPr>
      <w:b/>
      <w:bCs/>
    </w:rPr>
  </w:style>
  <w:style w:type="paragraph" w:styleId="Style29">
    <w:name w:val="框架内容"/>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HCPA(1st).dot</Template>
  <TotalTime>24</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2019-08-12T16:28:00Z</dcterms:created>
  <dc:creator>SW</dc:creator>
  <dc:description/>
  <cp:keywords/>
  <dc:language>zh-CN</dc:language>
  <cp:lastModifiedBy>1</cp:lastModifiedBy>
  <cp:lastPrinted>2017-03-15T11:59:00Z</cp:lastPrinted>
  <dcterms:modified xsi:type="dcterms:W3CDTF">2026-01-30T16:22:00Z</dcterms:modified>
  <cp:revision>12</cp:revision>
  <dc:subject/>
  <dc:title/>
</cp:coreProperties>
</file>