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当注册会计师发表无法表示意见时，仍需要对审计范围没有受到限制的方面按照审计准则的规定执行并完成审计工作。</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当运用重要性水平评价错报是否重大。对于已发现的错报，如错报金额超过财务报表整体重要性水平，表明错报具有重大性，除非基于特定情况认为不重大（例如某些重分类错报）；如错报金额低于财务报表整体重要性水平，需要考虑错报的性质以及错报发生的特定环境。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注册会计师若在获取充分、适当的审计证据后，认为错报对财务报表的影响重大且具有广泛性，应当发表否定意见。若无法获取充分、适当的审计证据，但认为未发现的错报对财务报表可能产生的影响重大且具有广泛性，应当发表无法表示意见。</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本模板主要是无法表示意见的简单版本，对于发表无法表示意见但是需要包含与持续经营相关的重大不确定性、强调事项段、其他事项段的情况，请参考无保留意见的详细版本。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对被审计单位整套合并和公司财务报表进行审计。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如果无法获取充分、适当的审计证据以作为形成审计意见的基础，但认为未发现的错报（如存在）对财务报表可能产生的影响重大且具有广泛性，注册会计师应当发表无法表示意见；</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在极少数情况下，可能存在多个不确定事项。尽管注册会计师对每个单独的不确定事项获取了充分、适当的审计证据，但由于不确定事项之间可能存在相互影响，以及可能对财务报表产生累积影响，注册会计师不可能对财务报表形成审计意见。在这种情况下，</w:t>
            </w:r>
            <w:r>
              <w:rPr>
                <w:rFonts w:ascii="Arial Narrow" w:hAnsi="Arial Narrow" w:cs="Arial Narrow" w:eastAsia="仿宋_GB2312"/>
                <w:b/>
                <w:color w:val="0000FF"/>
                <w:sz w:val="24"/>
                <w:szCs w:val="24"/>
                <w:lang w:eastAsia="zh-CN"/>
              </w:rPr>
              <w:t xml:space="preserve"> </w:t>
            </w:r>
            <w:r>
              <w:rPr>
                <w:rFonts w:ascii="Arial Narrow" w:hAnsi="Arial Narrow" w:cs="Arial Narrow" w:hint="eastAsia" w:eastAsia="仿宋_GB2312"/>
                <w:b/>
                <w:color w:val="0000FF"/>
                <w:sz w:val="24"/>
                <w:szCs w:val="24"/>
                <w:lang w:eastAsia="zh-CN"/>
              </w:rPr>
              <w:t>注册会计师应当发表无法表示意见。</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3  </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4  </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适用的相关职业道德要求为中国注册会计师职业道德守则；</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除非法律法规另有规定，当对财务报表发表无法表示意见时，注册会计师不得在审计报告中包含《中国注册会计师审计准则第</w:t>
            </w:r>
            <w:r>
              <w:rPr>
                <w:rFonts w:eastAsia="仿宋_GB2312" w:cs="Arial Narrow" w:ascii="Arial Narrow" w:hAnsi="Arial Narrow"/>
                <w:b/>
                <w:color w:val="0000FF"/>
                <w:sz w:val="24"/>
                <w:szCs w:val="24"/>
                <w:lang w:eastAsia="zh-CN"/>
              </w:rPr>
              <w:t>1504</w:t>
            </w:r>
            <w:r>
              <w:rPr>
                <w:rFonts w:ascii="Arial Narrow" w:hAnsi="Arial Narrow" w:cs="Arial Narrow" w:hint="eastAsia" w:eastAsia="仿宋_GB2312"/>
                <w:b/>
                <w:color w:val="0000FF"/>
                <w:sz w:val="24"/>
                <w:szCs w:val="24"/>
                <w:lang w:eastAsia="zh-CN"/>
              </w:rPr>
              <w:t>号——在审计报告中沟通关键审计事项》规定的关键审计事项部分，也不得在审计报告中包含《中国注册会计师审计准则第</w:t>
            </w:r>
            <w:r>
              <w:rPr>
                <w:rFonts w:eastAsia="仿宋_GB2312" w:cs="Arial Narrow" w:ascii="Arial Narrow" w:hAnsi="Arial Narrow"/>
                <w:b/>
                <w:color w:val="0000FF"/>
                <w:sz w:val="24"/>
                <w:szCs w:val="24"/>
                <w:lang w:eastAsia="zh-CN"/>
              </w:rPr>
              <w:t>1521</w:t>
            </w:r>
            <w:r>
              <w:rPr>
                <w:rFonts w:ascii="Arial Narrow" w:hAnsi="Arial Narrow" w:cs="Arial Narrow" w:hint="eastAsia" w:eastAsia="仿宋_GB2312"/>
                <w:b/>
                <w:color w:val="0000FF"/>
                <w:sz w:val="24"/>
                <w:szCs w:val="24"/>
                <w:lang w:eastAsia="zh-CN"/>
              </w:rPr>
              <w:t>号——注册会计师对其他信息的责任》规定的其他信息部分。</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2.8</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w:t>
            </w:r>
            <w:r>
              <w:rPr>
                <w:rFonts w:eastAsia="仿宋_GB2312" w:cs="Arial Narrow" w:ascii="Arial Narrow" w:hAnsi="Arial Narrow"/>
                <w:b/>
                <w:color w:val="0000FF"/>
                <w:sz w:val="24"/>
                <w:szCs w:val="24"/>
                <w:lang w:eastAsia="zh-CN"/>
              </w:rPr>
              <w:t xml:space="preserve">9 </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hint="eastAsia" w:ascii="Arial Narrow" w:hAnsi="Arial Narrow"/>
                <w:b/>
                <w:bCs/>
                <w:color w:val="000000"/>
                <w:sz w:val="24"/>
                <w:szCs w:val="24"/>
                <w:lang w:eastAsia="zh-CN"/>
              </w:rPr>
              <w:t>1-</w:t>
            </w:r>
            <w:r>
              <w:rPr>
                <w:rFonts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7-</w:t>
            </w:r>
            <w:r>
              <w:rPr>
                <w:rFonts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6"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无法表示意见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我们接受委托，审计</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我们不对后附的</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公司财务报表发表审计意见。由于“形成无法表示意见的基础”部分所述事项的重要性，我们无法获取充分、适当的审计证据以作为对合并财务报表发表审计意见的基础。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二、形成无法表示意见的基础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bCs/>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如果因无法获取充分、适当的审计证据而导致发表非无保留意见，注册会计师应当在“形成审计意见的基础”部分说明无法获取审计证据的原因。</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hint="eastAsia"/>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ascii="Arial Narrow" w:hAnsi="Arial Narrow" w:cs="Arial Narrow" w:hint="eastAsia" w:eastAsia="仿宋_GB2312"/>
                <w:b/>
                <w:bCs/>
                <w:color w:val="FF0000"/>
                <w:sz w:val="24"/>
                <w:szCs w:val="24"/>
                <w:lang w:eastAsia="zh-CN"/>
              </w:rPr>
              <w:t>“受限”事项未能获取的审计证据内容，即应获取何种审计证据方可解决“受限”</w:t>
            </w:r>
            <w:r>
              <w:rPr>
                <w:rFonts w:ascii="Arial Narrow" w:hAnsi="Arial Narrow" w:cs="Arial Narrow" w:hint="eastAsia" w:eastAsia="仿宋_GB2312"/>
                <w:b/>
                <w:bCs/>
                <w:color w:val="0000FF"/>
                <w:sz w:val="24"/>
                <w:szCs w:val="24"/>
                <w:lang w:eastAsia="zh-CN"/>
              </w:rPr>
              <w:t>。</w:t>
            </w:r>
          </w:p>
        </w:tc>
      </w:tr>
    </w:tbl>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0000FF"/>
          <w:sz w:val="24"/>
          <w:szCs w:val="24"/>
          <w:lang w:eastAsia="zh-CN"/>
        </w:rPr>
      </w:r>
    </w:p>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：对合并财务报表的某个要素，注册会计师无法获取充分、适当的审计证据】</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公司对共同经营</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公司享有的利益份额在合并资产负债表中的金额（资产扣除负债后的净影响）为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元，占</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ascii="仿宋_GB2312" w:hAnsi="仿宋_GB2312"/>
          <w:bCs/>
          <w:color w:val="FF0000"/>
          <w:sz w:val="24"/>
          <w:szCs w:val="24"/>
          <w:lang w:val="en-GB"/>
        </w:rPr>
        <w:t>31</w:t>
      </w:r>
      <w:r>
        <w:rPr>
          <w:rFonts w:ascii="仿宋_GB2312" w:hAnsi="仿宋_GB2312" w:hint="eastAsia" w:eastAsia="仿宋_GB2312"/>
          <w:bCs/>
          <w:color w:val="FF0000"/>
          <w:sz w:val="24"/>
          <w:szCs w:val="24"/>
          <w:lang w:val="en-GB"/>
        </w:rPr>
        <w:t>日净资产的</w:t>
      </w:r>
      <w:r>
        <w:rPr>
          <w:rFonts w:eastAsia="仿宋_GB2312" w:ascii="仿宋_GB2312" w:hAnsi="仿宋_GB2312"/>
          <w:bCs/>
          <w:color w:val="FF0000"/>
          <w:sz w:val="24"/>
          <w:szCs w:val="24"/>
          <w:lang w:val="en-GB"/>
        </w:rPr>
        <w:t>90%</w:t>
      </w:r>
      <w:r>
        <w:rPr>
          <w:rFonts w:ascii="仿宋_GB2312" w:hAnsi="仿宋_GB2312" w:hint="eastAsia" w:eastAsia="仿宋_GB2312"/>
          <w:bCs/>
          <w:color w:val="FF0000"/>
          <w:sz w:val="24"/>
          <w:szCs w:val="24"/>
          <w:lang w:val="en-GB"/>
        </w:rPr>
        <w:t>以上。我们未被允许接触</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公司的管理层和注册会计师，包括</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公司注册会计师的审计工作底稿。因此，我们无法确定是否有必要对</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公司资产中</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公司共同控制的比例份额、</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公司负债中</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共同承担的比例份额、</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公司收入和费用中</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的比例份额，以及合并现金流量表和合并股东权益变动表中的要素作出调整。</w:t>
      </w:r>
    </w:p>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Cs/>
          <w:color w:val="0000FF"/>
          <w:sz w:val="24"/>
          <w:szCs w:val="24"/>
          <w:lang w:eastAsia="zh-CN"/>
        </w:rPr>
        <w:t>情形</w:t>
      </w:r>
      <w:r>
        <w:rPr>
          <w:rFonts w:eastAsia="仿宋_GB2312" w:cs="Arial Narrow" w:ascii="Arial Narrow" w:hAnsi="Arial Narrow"/>
          <w:bCs/>
          <w:color w:val="0000FF"/>
          <w:sz w:val="24"/>
          <w:szCs w:val="24"/>
          <w:lang w:eastAsia="zh-CN"/>
        </w:rPr>
        <w:t>2</w:t>
      </w:r>
      <w:r>
        <w:rPr>
          <w:rFonts w:ascii="Arial Narrow" w:hAnsi="Arial Narrow" w:cs="Arial Narrow" w:hint="eastAsia" w:eastAsia="仿宋_GB2312"/>
          <w:bCs/>
          <w:color w:val="0000FF"/>
          <w:sz w:val="24"/>
          <w:szCs w:val="24"/>
          <w:lang w:eastAsia="zh-CN"/>
        </w:rPr>
        <w:t>：</w:t>
      </w:r>
      <w:r>
        <w:rPr>
          <w:rFonts w:ascii="Arial Narrow" w:hAnsi="Arial Narrow" w:cs="Arial Narrow" w:hint="eastAsia" w:eastAsia="仿宋_GB2312"/>
          <w:color w:val="0000FF"/>
          <w:sz w:val="24"/>
          <w:szCs w:val="24"/>
          <w:lang w:eastAsia="zh-CN"/>
        </w:rPr>
        <w:t>对财务报表的多个要素，注册会计师无法获取充分、适当的审计证据</w:t>
      </w:r>
      <w:r>
        <w:rPr>
          <w:rFonts w:ascii="Arial Narrow" w:hAnsi="Arial Narrow" w:cs="Arial Narrow" w:hint="eastAsia" w:eastAsia="仿宋_GB2312"/>
          <w:b/>
          <w:bCs/>
          <w:color w:val="0000FF"/>
          <w:sz w:val="24"/>
          <w:szCs w:val="24"/>
          <w:lang w:eastAsia="zh-CN"/>
        </w:rPr>
        <w:t>】</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我们于</w:t>
      </w:r>
      <w:r>
        <w:rPr>
          <w:rFonts w:eastAsia="仿宋_GB2312" w:ascii="仿宋_GB2312" w:hAnsi="仿宋_GB2312"/>
          <w:bCs/>
          <w:color w:val="FF0000"/>
          <w:sz w:val="24"/>
          <w:szCs w:val="24"/>
          <w:lang w:val="en-GB"/>
        </w:rPr>
        <w:t>2022</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1</w:t>
      </w:r>
      <w:r>
        <w:rPr>
          <w:rFonts w:ascii="仿宋_GB2312" w:hAnsi="仿宋_GB2312" w:hint="eastAsia" w:eastAsia="仿宋_GB2312"/>
          <w:bCs/>
          <w:color w:val="FF0000"/>
          <w:sz w:val="24"/>
          <w:szCs w:val="24"/>
          <w:lang w:val="en-GB"/>
        </w:rPr>
        <w:t>月接受委托审计</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公司财务报表，因而未能对</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年初金额为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元的存货和年末金额为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元的存货实施监盘程序。此外，我们也无法实施替代审计程序获取充分、适当的审计证据。并且，</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公司于</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9</w:t>
      </w:r>
      <w:r>
        <w:rPr>
          <w:rFonts w:ascii="仿宋_GB2312" w:hAnsi="仿宋_GB2312" w:hint="eastAsia" w:eastAsia="仿宋_GB2312"/>
          <w:bCs/>
          <w:color w:val="FF0000"/>
          <w:sz w:val="24"/>
          <w:szCs w:val="24"/>
          <w:lang w:val="en-GB"/>
        </w:rPr>
        <w:t>月采用新的应收账款电算化系统，由于存在系统缺陷导致应收账款出现大量错误。截至报告日，</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公司管理层（以下简称管理层）仍在纠正系统缺陷并更正错误，我们也无法实施替代审计程序，以对截至</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ascii="仿宋_GB2312" w:hAnsi="仿宋_GB2312"/>
          <w:bCs/>
          <w:color w:val="FF0000"/>
          <w:sz w:val="24"/>
          <w:szCs w:val="24"/>
          <w:lang w:val="en-GB"/>
        </w:rPr>
        <w:t>31</w:t>
      </w:r>
      <w:r>
        <w:rPr>
          <w:rFonts w:ascii="仿宋_GB2312" w:hAnsi="仿宋_GB2312" w:hint="eastAsia" w:eastAsia="仿宋_GB2312"/>
          <w:bCs/>
          <w:color w:val="FF0000"/>
          <w:sz w:val="24"/>
          <w:szCs w:val="24"/>
          <w:lang w:val="en-GB"/>
        </w:rPr>
        <w:t>日的应收账款总额</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元获取充分、适当的审计证据。因此，我们无法确定是否有必要对存货、应收账款以及财务报表其他项目作出调整，也无法确定应调整的金额。</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lang w:eastAsia="zh-CN"/>
        </w:rPr>
        <w:t>三</w:t>
      </w:r>
      <w:r>
        <w:rPr>
          <w:rFonts w:ascii="Arial Narrow" w:hAnsi="Arial Narrow" w:cs="Arial Narrow" w:hint="eastAsia" w:eastAsia="仿宋_GB2312"/>
          <w:b/>
          <w:bCs/>
          <w:sz w:val="24"/>
          <w:szCs w:val="24"/>
        </w:rPr>
        <w:t>、管理层和治理层对财务报表的责任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公司管理层（以下简称管理层）负责按照企业会计准则的规定编制财务报表，使其实现公允反映，并设计、执行和维护必要的内部控制，以使财务报表不存在由于舞弊或错误导致的重大错报。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lang w:eastAsia="zh-CN"/>
        </w:rPr>
        <w:t>四</w:t>
      </w:r>
      <w:r>
        <w:rPr>
          <w:rFonts w:ascii="Arial Narrow" w:hAnsi="Arial Narrow" w:cs="Arial Narrow" w:hint="eastAsia" w:eastAsia="仿宋_GB2312"/>
          <w:b/>
          <w:bCs/>
          <w:sz w:val="24"/>
          <w:szCs w:val="24"/>
        </w:rPr>
        <w:t>、注册会计师对财务报表审计的责任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我们的责任是按照中国注册会计师审计准则的规定，对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公司的合并财务报表执行审计工作，以出具审计报告。但由于“形成无法表示意见的基础”部分所述的事项，我们无法获取充分、适当的审计证据以作为发表审计意见的基础。</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按照中国注册会计师职业道德守则</w:t>
      </w:r>
      <w:r>
        <w:rPr>
          <w:rFonts w:ascii="Arial Narrow" w:hAnsi="Arial Narrow" w:cs="宋体;SimSun" w:hint="eastAsia" w:eastAsia="仿宋_GB2312"/>
          <w:spacing w:val="4"/>
          <w:sz w:val="24"/>
          <w:szCs w:val="24"/>
          <w:highlight w:val="cyan"/>
          <w:lang w:eastAsia="zh-CN"/>
        </w:rPr>
        <w:t>和</w:t>
      </w:r>
      <w:r>
        <w:rPr>
          <w:rFonts w:ascii="Arial Narrow" w:hAnsi="Arial Narrow" w:cs="宋体;SimSun" w:hint="eastAsia" w:eastAsia="仿宋_GB2312"/>
          <w:color w:val="FF0000"/>
          <w:spacing w:val="4"/>
          <w:sz w:val="24"/>
          <w:szCs w:val="24"/>
          <w:highlight w:val="cyan"/>
          <w:lang w:eastAsia="zh-CN"/>
        </w:rPr>
        <w:t>中国注册会计师独立性准则对公众利益实体审计的独立性要求（如适用）</w:t>
      </w:r>
      <w:r>
        <w:rPr>
          <w:rFonts w:ascii="Arial Narrow" w:hAnsi="Arial Narrow" w:cs="宋体;SimSun" w:hint="eastAsia" w:eastAsia="仿宋_GB2312"/>
          <w:color w:val="0000FF"/>
          <w:spacing w:val="4"/>
          <w:sz w:val="24"/>
          <w:szCs w:val="24"/>
          <w:highlight w:val="cyan"/>
          <w:lang w:eastAsia="zh-CN"/>
        </w:rPr>
        <w:t>【公众利益实体适用】</w:t>
      </w:r>
      <w:r>
        <w:rPr>
          <w:rFonts w:eastAsia="仿宋_GB2312" w:cs="宋体;SimSun" w:hint="eastAsia" w:ascii="Arial Narrow" w:hAnsi="Arial Narrow"/>
          <w:color w:val="FF0000"/>
          <w:spacing w:val="4"/>
          <w:sz w:val="24"/>
          <w:szCs w:val="24"/>
          <w:highlight w:val="cyan"/>
          <w:lang w:eastAsia="zh-CN"/>
        </w:rPr>
        <w:t>/</w:t>
      </w:r>
      <w:r>
        <w:rPr>
          <w:rFonts w:ascii="Arial Narrow" w:hAnsi="Arial Narrow" w:cs="宋体;SimSun" w:hint="eastAsia" w:eastAsia="仿宋_GB2312"/>
          <w:color w:val="FF0000"/>
          <w:spacing w:val="4"/>
          <w:sz w:val="24"/>
          <w:szCs w:val="24"/>
          <w:highlight w:val="cyan"/>
          <w:lang w:eastAsia="zh-CN"/>
        </w:rPr>
        <w:t>中国注册会计师独立性准则</w:t>
      </w:r>
      <w:r>
        <w:rPr>
          <w:rFonts w:ascii="Arial Narrow" w:hAnsi="Arial Narrow" w:cs="宋体;SimSun" w:hint="eastAsia" w:eastAsia="仿宋_GB2312"/>
          <w:color w:val="0000FF"/>
          <w:spacing w:val="4"/>
          <w:sz w:val="24"/>
          <w:szCs w:val="24"/>
          <w:highlight w:val="cyan"/>
          <w:lang w:eastAsia="zh-CN"/>
        </w:rPr>
        <w:t>【非公众利益实体适用】</w:t>
      </w:r>
      <w:r>
        <w:rPr>
          <w:rFonts w:ascii="Arial Narrow" w:hAnsi="Arial Narrow" w:cs="Arial Narrow" w:hint="eastAsia" w:eastAsia="仿宋_GB2312"/>
          <w:spacing w:val="4"/>
          <w:sz w:val="24"/>
          <w:szCs w:val="24"/>
          <w:lang w:eastAsia="zh-CN"/>
        </w:rPr>
        <w:t>，我们独立于</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公司，并履行了职业道德方面的其他责任。</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（项目合伙人）</w:t>
            </w:r>
          </w:p>
          <w:p>
            <w:pPr>
              <w:pStyle w:val="Normal"/>
              <w:spacing w:lineRule="atLeast" w:line="340"/>
              <w:jc w:val="end"/>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0000FF"/>
                <w:sz w:val="24"/>
                <w:szCs w:val="24"/>
                <w:lang w:eastAsia="zh-CN"/>
              </w:rPr>
            </w:pPr>
            <w:r>
              <w:rPr>
                <w:rFonts w:ascii="Arial Narrow" w:hAnsi="Arial Narrow" w:cs="Arial Narrow" w:hint="eastAsia" w:eastAsia="仿宋_GB2312"/>
                <w:color w:val="0000FF"/>
                <w:sz w:val="24"/>
                <w:szCs w:val="24"/>
                <w:lang w:eastAsia="zh-CN"/>
              </w:rPr>
              <w:t>【非上市实体删除</w:t>
            </w:r>
            <w:r>
              <w:rPr>
                <w:rFonts w:ascii="Arial Narrow" w:hAnsi="Arial Narrow" w:cs="Arial Narrow" w:hint="eastAsia" w:eastAsia="仿宋_GB2312"/>
                <w:color w:val="FF0000"/>
                <w:sz w:val="24"/>
                <w:szCs w:val="24"/>
                <w:lang w:eastAsia="zh-CN"/>
              </w:rPr>
              <w:t>（项目合伙人）</w:t>
            </w:r>
            <w:r>
              <w:rPr>
                <w:rFonts w:ascii="Arial Narrow" w:hAnsi="Arial Narrow" w:cs="Arial Narrow" w:hint="eastAsia" w:eastAsia="仿宋_GB2312"/>
                <w:color w:val="0000FF"/>
                <w:sz w:val="24"/>
                <w:szCs w:val="24"/>
                <w:lang w:eastAsia="zh-CN"/>
              </w:rPr>
              <w:t>】</w:t>
            </w:r>
          </w:p>
          <w:p>
            <w:pPr>
              <w:pStyle w:val="Normal"/>
              <w:spacing w:lineRule="atLeast" w:line="200"/>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二</w:t>
            </w:r>
            <w:r>
              <w:rPr>
                <w:rFonts w:ascii="Arial Narrow" w:hAnsi="Arial Narrow" w:cs="Arial Narrow" w:hint="eastAsia" w:eastAsia="仿宋_GB2312"/>
                <w:color w:val="FF0000"/>
                <w:sz w:val="28"/>
                <w:szCs w:val="28"/>
                <w:lang w:eastAsia="zh-CN"/>
              </w:rPr>
              <w:t>○二二</w:t>
            </w:r>
            <w:r>
              <w:rPr>
                <w:rFonts w:ascii="Arial Narrow" w:hAnsi="Arial Narrow" w:cs="Arial Narrow" w:hint="eastAsia" w:eastAsia="仿宋_GB2312"/>
                <w:color w:val="FF0000"/>
                <w:sz w:val="24"/>
                <w:szCs w:val="24"/>
                <w:lang w:eastAsia="zh-CN"/>
              </w:rPr>
              <w:t>年</w:t>
            </w:r>
            <w:r>
              <w:rPr>
                <w:rFonts w:eastAsia="仿宋_GB2312" w:cs="Arial Narrow" w:hint="eastAsia" w:ascii="Arial Narrow" w:hAnsi="Arial Narrow"/>
                <w:color w:val="FF0000"/>
                <w:sz w:val="24"/>
                <w:szCs w:val="24"/>
                <w:lang w:eastAsia="zh-CN"/>
              </w:rPr>
              <w:t>X</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5"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宋体;SimSu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新細明體"/>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宋体;SimSu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宋体;SimSu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68</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dc:description/>
  <cp:keywords/>
  <dc:language>zh-CN</dc:language>
  <cp:lastModifiedBy>1</cp:lastModifiedBy>
  <cp:lastPrinted>2017-03-15T11:59:00Z</cp:lastPrinted>
  <dcterms:modified xsi:type="dcterms:W3CDTF">2026-01-30T16:29:00Z</dcterms:modified>
  <cp:revision>21</cp:revision>
  <dc:subject/>
  <dc:title/>
</cp:coreProperties>
</file>