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numbering.xml" ContentType="application/vnd.openxmlformats-officedocument.wordprocessingml.numbering+xml"/>
  <Override PartName="/word/footer4.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rPr>
      </w:pPr>
      <w:r>
        <w:rPr>
          <w:rFonts w:eastAsia="仿宋_GB2312" w:cs="Arial Narrow" w:ascii="Arial Narrow" w:hAnsi="Arial Narrow"/>
          <w:sz w:val="24"/>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jc w:val="center"/>
        <w:rPr>
          <w:rFonts w:ascii="Arial Narrow" w:hAnsi="Arial Narrow" w:eastAsia="仿宋_GB2312" w:cs="Arial Narrow"/>
          <w:sz w:val="24"/>
          <w:lang w:eastAsia="zh-CN"/>
        </w:rPr>
      </w:pPr>
      <w:r>
        <w:rPr>
          <w:rFonts w:eastAsia="仿宋_GB2312" w:cs="Arial Narrow" w:ascii="Arial Narrow" w:hAnsi="Arial Narrow"/>
          <w:sz w:val="24"/>
          <w:lang w:eastAsia="zh-CN"/>
        </w:rPr>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eastAsia="黑体;SimHei" w:cs="Arial Narrow" w:hint="eastAsia" w:ascii="黑体;SimHei" w:hAnsi="黑体;SimHei"/>
          <w:b/>
          <w:color w:val="FF0000"/>
          <w:sz w:val="48"/>
          <w:szCs w:val="48"/>
          <w:lang w:eastAsia="zh-CN"/>
        </w:rPr>
        <w:t>ABC</w:t>
      </w:r>
      <w:r>
        <w:rPr>
          <w:rFonts w:ascii="黑体;SimHei" w:hAnsi="黑体;SimHei" w:cs="Arial Narrow" w:hint="eastAsia" w:eastAsia="黑体;SimHei"/>
          <w:b/>
          <w:color w:val="FF0000"/>
          <w:sz w:val="48"/>
          <w:szCs w:val="48"/>
          <w:lang w:eastAsia="zh-CN"/>
        </w:rPr>
        <w:t>股份</w:t>
      </w:r>
      <w:r>
        <w:rPr>
          <w:rFonts w:ascii="黑体;SimHei" w:hAnsi="黑体;SimHei" w:cs="Arial Narrow" w:hint="eastAsia" w:eastAsia="黑体;SimHei"/>
          <w:b/>
          <w:sz w:val="48"/>
          <w:szCs w:val="48"/>
          <w:lang w:eastAsia="zh-CN"/>
        </w:rPr>
        <w:t>有限公司</w:t>
      </w:r>
    </w:p>
    <w:p>
      <w:pPr>
        <w:pStyle w:val="Normal"/>
        <w:numPr>
          <w:ilvl w:val="0"/>
          <w:numId w:val="0"/>
        </w:numPr>
        <w:spacing w:lineRule="auto" w:line="360"/>
        <w:jc w:val="center"/>
        <w:outlineLvl w:val="0"/>
        <w:rPr>
          <w:rFonts w:ascii="黑体;SimHei" w:hAnsi="黑体;SimHei" w:eastAsia="黑体;SimHei" w:cs="Arial Narrow"/>
          <w:b/>
          <w:color w:val="FF0000"/>
          <w:sz w:val="48"/>
          <w:szCs w:val="48"/>
          <w:lang w:eastAsia="zh-CN"/>
        </w:rPr>
      </w:pP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〇</w:t>
      </w:r>
      <w:r>
        <w:rPr>
          <w:rFonts w:ascii="黑体;SimHei" w:hAnsi="黑体;SimHei" w:cs="Arial Narrow" w:hint="eastAsia" w:eastAsia="黑体;SimHei"/>
          <w:b/>
          <w:color w:val="FF0000"/>
          <w:sz w:val="48"/>
          <w:szCs w:val="48"/>
          <w:lang w:eastAsia="zh-CN"/>
        </w:rPr>
        <w:t>二</w:t>
      </w:r>
      <w:r>
        <w:rPr>
          <w:rFonts w:ascii="黑体;SimHei" w:hAnsi="黑体;SimHei" w:cs="黑体;SimHei" w:hint="eastAsia" w:eastAsia="黑体;SimHei"/>
          <w:b/>
          <w:color w:val="FF0000"/>
          <w:sz w:val="48"/>
          <w:szCs w:val="48"/>
          <w:lang w:eastAsia="zh-CN"/>
        </w:rPr>
        <w:t>五</w:t>
      </w:r>
      <w:r>
        <w:rPr>
          <w:rFonts w:ascii="黑体;SimHei" w:hAnsi="黑体;SimHei" w:cs="Arial Narrow" w:hint="eastAsia" w:eastAsia="黑体;SimHei"/>
          <w:b/>
          <w:color w:val="000000"/>
          <w:sz w:val="48"/>
          <w:szCs w:val="48"/>
          <w:lang w:eastAsia="zh-CN"/>
        </w:rPr>
        <w:t>年度</w:t>
      </w:r>
    </w:p>
    <w:p>
      <w:pPr>
        <w:pStyle w:val="Normal"/>
        <w:numPr>
          <w:ilvl w:val="0"/>
          <w:numId w:val="0"/>
        </w:numPr>
        <w:spacing w:lineRule="auto" w:line="360"/>
        <w:jc w:val="center"/>
        <w:outlineLvl w:val="0"/>
        <w:rPr>
          <w:rFonts w:ascii="黑体;SimHei" w:hAnsi="黑体;SimHei" w:eastAsia="黑体;SimHei" w:cs="Arial Narrow"/>
          <w:b/>
          <w:sz w:val="48"/>
          <w:szCs w:val="48"/>
          <w:lang w:eastAsia="zh-CN"/>
        </w:rPr>
      </w:pPr>
      <w:r>
        <w:rPr>
          <w:rFonts w:ascii="黑体;SimHei" w:hAnsi="黑体;SimHei" w:cs="Arial Narrow" w:hint="eastAsia" w:eastAsia="黑体;SimHei"/>
          <w:b/>
          <w:sz w:val="48"/>
          <w:szCs w:val="48"/>
          <w:lang w:eastAsia="zh-CN"/>
        </w:rPr>
        <w:t>审计报告</w:t>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jc w:val="center"/>
        <w:rPr>
          <w:rFonts w:ascii="Arial Narrow" w:hAnsi="Arial Narrow" w:eastAsia="仿宋_GB2312" w:cs="Arial Narrow"/>
          <w:b/>
          <w:sz w:val="44"/>
          <w:szCs w:val="44"/>
          <w:lang w:eastAsia="zh-CN"/>
        </w:rPr>
      </w:pPr>
      <w:r>
        <w:rPr>
          <w:rFonts w:eastAsia="仿宋_GB2312" w:cs="Arial Narrow" w:ascii="Arial Narrow" w:hAnsi="Arial Narrow"/>
          <w:b/>
          <w:sz w:val="44"/>
          <w:szCs w:val="44"/>
          <w:lang w:eastAsia="zh-CN"/>
        </w:rPr>
      </w:r>
    </w:p>
    <w:p>
      <w:pPr>
        <w:pStyle w:val="Normal"/>
        <w:spacing w:lineRule="auto" w:line="2400"/>
        <w:jc w:val="center"/>
        <w:rPr>
          <w:rFonts w:ascii="黑体;SimHei" w:hAnsi="黑体;SimHei" w:eastAsia="黑体;SimHei" w:cs="Arial Narrow"/>
          <w:b/>
          <w:color w:val="824BB0"/>
          <w:sz w:val="44"/>
          <w:szCs w:val="44"/>
          <w:lang w:eastAsia="zh-CN"/>
        </w:rPr>
      </w:pPr>
      <w:r>
        <w:rPr>
          <w:rFonts w:ascii="黑体;SimHei" w:hAnsi="黑体;SimHei" w:cs="Arial Narrow" w:hint="eastAsia" w:eastAsia="黑体;SimHei"/>
          <w:b/>
          <w:color w:val="824BB0"/>
          <w:sz w:val="44"/>
          <w:szCs w:val="44"/>
          <w:lang w:eastAsia="zh-CN"/>
        </w:rPr>
        <w:t>致同会计师事务所（特殊普通合伙）</w:t>
      </w:r>
    </w:p>
    <w:p>
      <w:pPr>
        <w:sectPr>
          <w:headerReference w:type="default" r:id="rId2"/>
          <w:footerReference w:type="default" r:id="rId3"/>
          <w:type w:val="nextPage"/>
          <w:pgSz w:w="11906" w:h="16838"/>
          <w:pgMar w:left="1985" w:right="1803" w:gutter="0" w:header="850" w:top="2835" w:footer="850" w:bottom="1440"/>
          <w:pgNumType w:fmt="decimal"/>
          <w:formProt w:val="false"/>
          <w:textDirection w:val="lrTb"/>
          <w:docGrid w:type="default" w:linePitch="272" w:charSpace="0"/>
        </w:sectPr>
      </w:pP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tcPr>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排版说明：</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、字体、字号</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字体为“黑体”、标题字号为“小一”、落款字号为“二号”。</w:t>
            </w:r>
          </w:p>
          <w:p>
            <w:pPr>
              <w:pStyle w:val="Normal"/>
              <w:widowControl w:val="false"/>
              <w:jc w:val="both"/>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为“小四”，但“目录”标题</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为“三号”</w:t>
            </w:r>
            <w:r>
              <w:rPr>
                <w:rFonts w:ascii="Arial Narrow" w:hAnsi="Arial Narrow" w:cs="Arial Narrow" w:eastAsia="仿宋_GB2312"/>
                <w:b/>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eastAsia="仿宋_GB2312"/>
                <w:color w:val="0000FF"/>
                <w:sz w:val="24"/>
                <w:szCs w:val="24"/>
                <w:lang w:eastAsia="zh-CN"/>
              </w:rPr>
              <w:t>中文字体</w:t>
            </w:r>
            <w:r>
              <w:rPr>
                <w:rFonts w:ascii="Arial Narrow" w:hAnsi="Arial Narrow" w:cs="Arial Narrow" w:hint="eastAsia" w:eastAsia="仿宋_GB2312"/>
                <w:color w:val="0000FF"/>
                <w:sz w:val="24"/>
                <w:szCs w:val="24"/>
                <w:lang w:eastAsia="zh-CN"/>
              </w:rPr>
              <w:t>为“</w:t>
            </w:r>
            <w:r>
              <w:rPr>
                <w:rFonts w:ascii="Arial Narrow" w:hAnsi="Arial Narrow" w:cs="Arial Narrow" w:eastAsia="仿宋_GB2312"/>
                <w:color w:val="0000FF"/>
                <w:sz w:val="24"/>
                <w:szCs w:val="24"/>
                <w:lang w:eastAsia="zh-CN"/>
              </w:rPr>
              <w:t>仿宋</w:t>
            </w:r>
            <w:r>
              <w:rPr>
                <w:rFonts w:eastAsia="仿宋_GB2312" w:cs="Arial Narrow" w:ascii="Arial Narrow" w:hAnsi="Arial Narrow"/>
                <w:color w:val="0000FF"/>
                <w:sz w:val="24"/>
                <w:szCs w:val="24"/>
                <w:lang w:eastAsia="zh-CN"/>
              </w:rPr>
              <w:t>_GB2312</w:t>
            </w:r>
            <w:r>
              <w:rPr>
                <w:rFonts w:eastAsia="仿宋_GB2312" w:cs="Arial Narrow" w:hint="eastAsia" w:ascii="Arial Narrow" w:hAnsi="Arial Narrow"/>
                <w:color w:val="0000FF"/>
                <w:sz w:val="24"/>
                <w:szCs w:val="24"/>
                <w:lang w:eastAsia="zh-CN"/>
              </w:rPr>
              <w:t>”</w:t>
            </w:r>
            <w:r>
              <w:rPr>
                <w:rFonts w:ascii="Arial Narrow" w:hAnsi="Arial Narrow" w:cs="Arial Narrow" w:eastAsia="仿宋_GB2312"/>
                <w:color w:val="0000FF"/>
                <w:sz w:val="24"/>
                <w:szCs w:val="24"/>
                <w:lang w:eastAsia="zh-CN"/>
              </w:rPr>
              <w:t>、数字或英文字体</w:t>
            </w:r>
            <w:r>
              <w:rPr>
                <w:rFonts w:ascii="Arial Narrow" w:hAnsi="Arial Narrow" w:cs="Arial Narrow" w:hint="eastAsia" w:eastAsia="仿宋_GB2312"/>
                <w:color w:val="0000FF"/>
                <w:sz w:val="24"/>
                <w:szCs w:val="24"/>
                <w:lang w:eastAsia="zh-CN"/>
              </w:rPr>
              <w:t>为“</w:t>
            </w:r>
            <w:r>
              <w:rPr>
                <w:rFonts w:eastAsia="仿宋_GB2312" w:cs="Arial Narrow" w:ascii="Arial Narrow" w:hAnsi="Arial Narrow"/>
                <w:color w:val="0000FF"/>
                <w:sz w:val="24"/>
                <w:szCs w:val="24"/>
                <w:lang w:eastAsia="zh-CN"/>
              </w:rPr>
              <w:t>Arial Narrow</w:t>
            </w:r>
            <w:r>
              <w:rPr>
                <w:rFonts w:eastAsia="仿宋_GB2312" w:cs="Arial Narrow" w:hint="eastAsia" w:ascii="Arial Narrow" w:hAnsi="Arial Narrow"/>
                <w:color w:val="0000FF"/>
                <w:sz w:val="24"/>
                <w:szCs w:val="24"/>
                <w:lang w:eastAsia="zh-CN"/>
              </w:rPr>
              <w:t>”</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为“小四”，但“审计报告”等标题的</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w:t>
            </w:r>
            <w:r>
              <w:rPr>
                <w:rFonts w:ascii="Arial Narrow" w:hAnsi="Arial Narrow" w:cs="Arial Narrow" w:hint="eastAsia" w:eastAsia="仿宋_GB2312"/>
                <w:b/>
                <w:color w:val="0000FF"/>
                <w:sz w:val="24"/>
                <w:szCs w:val="24"/>
                <w:lang w:eastAsia="zh-CN"/>
              </w:rPr>
              <w:t>三号</w:t>
            </w:r>
            <w:r>
              <w:rPr>
                <w:rFonts w:ascii="Arial Narrow" w:hAnsi="Arial Narrow" w:cs="Arial Narrow" w:hint="eastAsia" w:eastAsia="仿宋_GB2312"/>
                <w:color w:val="0000FF"/>
                <w:sz w:val="24"/>
                <w:szCs w:val="24"/>
                <w:lang w:eastAsia="zh-CN"/>
              </w:rPr>
              <w:t>”</w:t>
            </w:r>
            <w:r>
              <w:rPr>
                <w:rFonts w:ascii="Arial Narrow" w:hAnsi="Arial Narrow" w:cs="Arial Narrow"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、页眉、页脚</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页眉一般应含“</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，无页脚。装订报告时，</w:t>
            </w:r>
            <w:r>
              <w:rPr>
                <w:rFonts w:ascii="Arial Narrow" w:hAnsi="Arial Narrow" w:cs="Arial Narrow" w:hint="eastAsia" w:eastAsia="仿宋_GB2312"/>
                <w:color w:val="0000FF"/>
                <w:sz w:val="24"/>
                <w:szCs w:val="24"/>
                <w:u w:val="single"/>
                <w:lang w:eastAsia="zh-CN"/>
              </w:rPr>
              <w:t>若使用印有“</w:t>
            </w:r>
            <w:r>
              <w:rPr>
                <w:rFonts w:eastAsia="仿宋_GB2312" w:cs="Arial Narrow" w:ascii="Arial Narrow" w:hAnsi="Arial Narrow"/>
                <w:color w:val="0000FF"/>
                <w:sz w:val="24"/>
                <w:szCs w:val="24"/>
                <w:u w:val="single"/>
                <w:lang w:eastAsia="zh-CN"/>
              </w:rPr>
              <w:t>Grant Thornton</w:t>
            </w:r>
            <w:r>
              <w:rPr>
                <w:rFonts w:eastAsia="仿宋_GB2312" w:cs="Arial Narrow" w:hint="eastAsia" w:ascii="Arial Narrow" w:hAnsi="Arial Narrow"/>
                <w:color w:val="0000FF"/>
                <w:sz w:val="24"/>
                <w:szCs w:val="24"/>
                <w:u w:val="single"/>
                <w:lang w:eastAsia="zh-CN"/>
              </w:rPr>
              <w:t>”</w:t>
            </w:r>
            <w:r>
              <w:rPr>
                <w:rFonts w:eastAsia="仿宋_GB2312" w:cs="Arial Narrow" w:ascii="Arial Narrow" w:hAnsi="Arial Narrow"/>
                <w:color w:val="0000FF"/>
                <w:sz w:val="24"/>
                <w:szCs w:val="24"/>
                <w:u w:val="single"/>
                <w:lang w:eastAsia="zh-CN"/>
              </w:rPr>
              <w:t>LOGO</w:t>
            </w:r>
            <w:r>
              <w:rPr>
                <w:rFonts w:ascii="Arial Narrow" w:hAnsi="Arial Narrow" w:cs="Arial Narrow" w:hint="eastAsia" w:eastAsia="仿宋_GB2312"/>
                <w:color w:val="0000FF"/>
                <w:sz w:val="24"/>
                <w:szCs w:val="24"/>
                <w:u w:val="single"/>
                <w:lang w:eastAsia="zh-CN"/>
              </w:rPr>
              <w:t>的透明塑料封皮，请将封面页页眉删除</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无页眉、页脚。</w:t>
            </w:r>
          </w:p>
          <w:p>
            <w:pPr>
              <w:pStyle w:val="Normal"/>
              <w:widowControl w:val="false"/>
              <w:jc w:val="both"/>
              <w:rPr>
                <w:rFonts w:ascii="Arial Narrow" w:hAnsi="Arial Narrow" w:eastAsia="仿宋_GB2312" w:cs="Arial Narrow"/>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）报告正文页：</w:t>
            </w:r>
            <w:r>
              <w:rPr>
                <w:rFonts w:ascii="Arial Narrow" w:hAnsi="Arial Narrow" w:cs="Arial Narrow" w:hint="eastAsia" w:eastAsia="仿宋_GB2312"/>
                <w:color w:val="0000FF"/>
                <w:sz w:val="24"/>
                <w:szCs w:val="24"/>
                <w:lang w:eastAsia="zh-CN"/>
              </w:rPr>
              <w:t>报告首页页眉包括“</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和事务所具体地址、电话、传真、网址等内容；次页及以后的页眉仅是“</w:t>
            </w:r>
            <w:r>
              <w:rPr>
                <w:rFonts w:eastAsia="仿宋_GB2312" w:cs="Arial Narrow" w:ascii="Arial Narrow" w:hAnsi="Arial Narrow"/>
                <w:color w:val="0000FF"/>
                <w:sz w:val="24"/>
                <w:szCs w:val="24"/>
                <w:lang w:eastAsia="zh-CN"/>
              </w:rPr>
              <w:t>Grant Thornton</w:t>
            </w:r>
            <w:r>
              <w:rPr>
                <w:rFonts w:eastAsia="仿宋_GB2312" w:cs="Arial Narrow" w:hint="eastAsia" w:ascii="Arial Narrow" w:hAnsi="Arial Narrow"/>
                <w:color w:val="0000FF"/>
                <w:sz w:val="24"/>
                <w:szCs w:val="24"/>
                <w:lang w:eastAsia="zh-CN"/>
              </w:rPr>
              <w:t>”</w:t>
            </w:r>
            <w:r>
              <w:rPr>
                <w:rFonts w:eastAsia="仿宋_GB2312" w:cs="Arial Narrow" w:ascii="Arial Narrow" w:hAnsi="Arial Narrow"/>
                <w:color w:val="0000FF"/>
                <w:sz w:val="24"/>
                <w:szCs w:val="24"/>
                <w:lang w:eastAsia="zh-CN"/>
              </w:rPr>
              <w:t>LOGO</w:t>
            </w:r>
            <w:r>
              <w:rPr>
                <w:rFonts w:ascii="Arial Narrow" w:hAnsi="Arial Narrow" w:cs="Arial Narrow" w:hint="eastAsia" w:eastAsia="仿宋_GB2312"/>
                <w:color w:val="0000FF"/>
                <w:sz w:val="24"/>
                <w:szCs w:val="24"/>
                <w:lang w:eastAsia="zh-CN"/>
              </w:rPr>
              <w:t>。</w:t>
            </w:r>
          </w:p>
          <w:p>
            <w:pPr>
              <w:pStyle w:val="Normal"/>
              <w:widowControl w:val="false"/>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3</w:t>
            </w:r>
            <w:r>
              <w:rPr>
                <w:rFonts w:ascii="Arial Narrow" w:hAnsi="Arial Narrow" w:cs="Arial Narrow" w:hint="eastAsia" w:eastAsia="仿宋_GB2312"/>
                <w:b/>
                <w:color w:val="0000FF"/>
                <w:sz w:val="24"/>
                <w:szCs w:val="24"/>
                <w:lang w:eastAsia="zh-CN"/>
              </w:rPr>
              <w:t>、其他</w:t>
            </w:r>
          </w:p>
          <w:p>
            <w:pPr>
              <w:pStyle w:val="Normal"/>
              <w:widowControl w:val="false"/>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1</w:t>
            </w:r>
            <w:r>
              <w:rPr>
                <w:rFonts w:ascii="Arial Narrow" w:hAnsi="Arial Narrow" w:cs="Arial Narrow" w:hint="eastAsia" w:eastAsia="仿宋_GB2312"/>
                <w:b/>
                <w:color w:val="0000FF"/>
                <w:sz w:val="24"/>
                <w:szCs w:val="24"/>
                <w:lang w:eastAsia="zh-CN"/>
              </w:rPr>
              <w:t>）封面页：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为“小四”，单倍行距），内容居中显示。如果客户名称或报告期间较长时（如</w:t>
            </w:r>
            <w:r>
              <w:rPr>
                <w:rFonts w:eastAsia="仿宋_GB2312" w:cs="Arial Narrow" w:hint="eastAsia" w:ascii="Arial Narrow" w:hAnsi="Arial Narrow"/>
                <w:color w:val="0000FF"/>
                <w:sz w:val="24"/>
                <w:szCs w:val="24"/>
                <w:lang w:eastAsia="zh-CN"/>
              </w:rPr>
              <w:t>IPO</w:t>
            </w:r>
            <w:r>
              <w:rPr>
                <w:rFonts w:ascii="Arial Narrow" w:hAnsi="Arial Narrow" w:cs="Arial Narrow" w:hint="eastAsia" w:eastAsia="仿宋_GB2312"/>
                <w:color w:val="0000FF"/>
                <w:sz w:val="24"/>
                <w:szCs w:val="24"/>
                <w:lang w:eastAsia="zh-CN"/>
              </w:rPr>
              <w:t>客户），应分行排列。</w:t>
            </w:r>
          </w:p>
          <w:p>
            <w:pPr>
              <w:pStyle w:val="Normal"/>
              <w:widowControl w:val="false"/>
              <w:jc w:val="both"/>
              <w:rPr>
                <w:rFonts w:ascii="Arial Narrow" w:hAnsi="Arial Narrow" w:eastAsia="仿宋_GB2312" w:cs="Arial Narrow"/>
                <w:b/>
                <w:color w:val="0000FF"/>
                <w:sz w:val="24"/>
                <w:szCs w:val="24"/>
                <w:highlight w:val="yellow"/>
                <w:lang w:eastAsia="zh-CN"/>
              </w:rPr>
            </w:pPr>
            <w:r>
              <w:rPr>
                <w:rFonts w:ascii="Arial Narrow" w:hAnsi="Arial Narrow" w:cs="Arial Narrow" w:hint="eastAsia" w:eastAsia="仿宋_GB2312"/>
                <w:b/>
                <w:color w:val="0000FF"/>
                <w:sz w:val="24"/>
                <w:szCs w:val="24"/>
                <w:lang w:eastAsia="zh-CN"/>
              </w:rPr>
              <w:t>（</w:t>
            </w:r>
            <w:r>
              <w:rPr>
                <w:rFonts w:eastAsia="仿宋_GB2312" w:cs="Arial Narrow" w:hint="eastAsia" w:ascii="Arial Narrow" w:hAnsi="Arial Narrow"/>
                <w:b/>
                <w:color w:val="0000FF"/>
                <w:sz w:val="24"/>
                <w:szCs w:val="24"/>
                <w:lang w:eastAsia="zh-CN"/>
              </w:rPr>
              <w:t>2</w:t>
            </w:r>
            <w:r>
              <w:rPr>
                <w:rFonts w:ascii="Arial Narrow" w:hAnsi="Arial Narrow" w:cs="Arial Narrow" w:hint="eastAsia" w:eastAsia="仿宋_GB2312"/>
                <w:b/>
                <w:color w:val="0000FF"/>
                <w:sz w:val="24"/>
                <w:szCs w:val="24"/>
                <w:lang w:eastAsia="zh-CN"/>
              </w:rPr>
              <w:t>）目录页：</w:t>
            </w:r>
            <w:r>
              <w:rPr>
                <w:rFonts w:ascii="Arial Narrow" w:hAnsi="Arial Narrow" w:cs="Arial Narrow" w:hint="eastAsia" w:eastAsia="仿宋_GB2312"/>
                <w:color w:val="0000FF"/>
                <w:sz w:val="24"/>
                <w:szCs w:val="24"/>
                <w:lang w:eastAsia="zh-CN"/>
              </w:rPr>
              <w:t>空</w:t>
            </w:r>
            <w:r>
              <w:rPr>
                <w:rFonts w:eastAsia="仿宋_GB2312" w:cs="Arial Narrow" w:hint="eastAsia" w:ascii="Arial Narrow" w:hAnsi="Arial Narrow"/>
                <w:color w:val="0000FF"/>
                <w:sz w:val="24"/>
                <w:szCs w:val="24"/>
                <w:lang w:eastAsia="zh-CN"/>
              </w:rPr>
              <w:t>6</w:t>
            </w:r>
            <w:r>
              <w:rPr>
                <w:rFonts w:ascii="Arial Narrow" w:hAnsi="Arial Narrow" w:cs="Arial Narrow" w:hint="eastAsia" w:eastAsia="仿宋_GB2312"/>
                <w:color w:val="0000FF"/>
                <w:sz w:val="24"/>
                <w:szCs w:val="24"/>
                <w:lang w:eastAsia="zh-CN"/>
              </w:rPr>
              <w:t>行（</w:t>
            </w:r>
            <w:r>
              <w:rPr>
                <w:rFonts w:ascii="Arial Narrow" w:hAnsi="Arial Narrow" w:cs="Arial Narrow" w:eastAsia="仿宋_GB2312"/>
                <w:color w:val="0000FF"/>
                <w:sz w:val="24"/>
                <w:szCs w:val="24"/>
                <w:lang w:eastAsia="zh-CN"/>
              </w:rPr>
              <w:t>字号</w:t>
            </w:r>
            <w:r>
              <w:rPr>
                <w:rFonts w:ascii="Arial Narrow" w:hAnsi="Arial Narrow" w:cs="Arial Narrow" w:hint="eastAsia" w:eastAsia="仿宋_GB2312"/>
                <w:color w:val="0000FF"/>
                <w:sz w:val="24"/>
                <w:szCs w:val="24"/>
                <w:lang w:eastAsia="zh-CN"/>
              </w:rPr>
              <w:t>为“小四”，单倍行距），标题居中、内容居左显示。</w:t>
            </w:r>
          </w:p>
        </w:tc>
      </w:tr>
    </w:tbl>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tbl>
      <w:tblPr>
        <w:tblW w:w="8335" w:type="dxa"/>
        <w:jc w:val="start"/>
        <w:tblInd w:w="0" w:type="dxa"/>
        <w:tblLayout w:type="fixed"/>
        <w:tblCellMar>
          <w:top w:w="0" w:type="dxa"/>
          <w:start w:w="108" w:type="dxa"/>
          <w:bottom w:w="0" w:type="dxa"/>
          <w:end w:w="108" w:type="dxa"/>
        </w:tblCellMar>
      </w:tblPr>
      <w:tblGrid>
        <w:gridCol w:w="8335"/>
      </w:tblGrid>
      <w:tr>
        <w:trPr/>
        <w:tc>
          <w:tcPr>
            <w:tcW w:w="8335" w:type="dxa"/>
            <w:tcBorders>
              <w:top w:val="single" w:sz="4" w:space="0" w:color="000000"/>
              <w:start w:val="single" w:sz="4" w:space="0" w:color="000000"/>
              <w:bottom w:val="single" w:sz="4" w:space="0" w:color="000000"/>
              <w:end w:val="single" w:sz="4" w:space="0" w:color="000000"/>
            </w:tcBorders>
            <w:shd w:fill="E5DFEC" w:val="clear"/>
          </w:tcPr>
          <w:p>
            <w:pPr>
              <w:pStyle w:val="Style26"/>
              <w:widowControl w:val="false"/>
              <w:tabs>
                <w:tab w:val="clear" w:pos="720"/>
                <w:tab w:val="left" w:pos="0" w:leader="none"/>
                <w:tab w:val="left" w:pos="993" w:leader="none"/>
              </w:tabs>
              <w:spacing w:before="120" w:after="60"/>
              <w:ind w:firstLineChars="0" w:firstLine="0" w:endChars="0" w:end="0"/>
              <w:jc w:val="both"/>
              <w:rPr>
                <w:rFonts w:ascii="Arial Narrow" w:hAnsi="Arial Narrow" w:eastAsia="仿宋_GB2312" w:cs="Arial Narrow"/>
                <w:b/>
                <w:color w:val="0000FF"/>
                <w:sz w:val="24"/>
                <w:szCs w:val="24"/>
                <w:lang w:val="en-AU" w:eastAsia="zh-CN"/>
              </w:rPr>
            </w:pPr>
            <w:r>
              <w:rPr>
                <w:rFonts w:eastAsia="仿宋_GB2312" w:cs="Arial Narrow" w:hint="eastAsia" w:ascii="Arial Narrow" w:hAnsi="Arial Narrow"/>
                <w:b/>
                <w:color w:val="0000FF"/>
                <w:sz w:val="24"/>
                <w:szCs w:val="24"/>
                <w:lang w:val="en-AU" w:eastAsia="zh-CN"/>
              </w:rPr>
              <w:t>1</w:t>
            </w:r>
            <w:r>
              <w:rPr>
                <w:rFonts w:ascii="Arial Narrow" w:hAnsi="Arial Narrow" w:cs="Arial Narrow" w:hint="eastAsia" w:eastAsia="仿宋_GB2312"/>
                <w:b/>
                <w:color w:val="0000FF"/>
                <w:sz w:val="24"/>
                <w:szCs w:val="24"/>
                <w:lang w:val="en-AU" w:eastAsia="zh-CN"/>
              </w:rPr>
              <w:t>、本模板使用说明：</w:t>
            </w:r>
          </w:p>
          <w:p>
            <w:pPr>
              <w:pStyle w:val="Normal"/>
              <w:widowControl w:val="false"/>
              <w:tabs>
                <w:tab w:val="clear" w:pos="720"/>
                <w:tab w:val="left" w:pos="0" w:leader="none"/>
                <w:tab w:val="left" w:pos="993" w:leader="none"/>
              </w:tabs>
              <w:spacing w:before="120" w:after="60"/>
              <w:jc w:val="both"/>
              <w:rPr>
                <w:rFonts w:ascii="Arial Narrow" w:hAnsi="Arial Narrow" w:eastAsia="仿宋_GB2312" w:cs="Arial Narrow"/>
                <w:b/>
                <w:color w:val="0000FF"/>
                <w:sz w:val="24"/>
                <w:szCs w:val="24"/>
                <w:lang w:eastAsia="zh-CN"/>
              </w:rPr>
            </w:pPr>
            <w:r>
              <w:rPr>
                <w:rFonts w:ascii="Arial Narrow" w:hAnsi="Arial Narrow" w:cs="Arial Narrow" w:hint="eastAsia" w:eastAsia="仿宋_GB2312"/>
                <w:b/>
                <w:color w:val="0000FF"/>
                <w:sz w:val="24"/>
                <w:szCs w:val="24"/>
                <w:highlight w:val="yellow"/>
                <w:lang w:eastAsia="zh-CN"/>
              </w:rPr>
              <w:t>本模板主要是对三板基础层、银行、保险、期货、证券无保留意见的简单版本，对于发表无保留意见但是需要包含与持续经营相关的重大不确定性、强调事项段、其他事项段的情况，请参考其无保留意见的详细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1.1</w:t>
            </w:r>
            <w:r>
              <w:rPr>
                <w:rFonts w:ascii="Arial Narrow" w:hAnsi="Arial Narrow" w:cs="Arial Narrow" w:hint="eastAsia" w:eastAsia="仿宋_GB2312"/>
                <w:b/>
                <w:color w:val="0000FF"/>
                <w:sz w:val="24"/>
                <w:szCs w:val="24"/>
                <w:lang w:eastAsia="zh-CN"/>
              </w:rPr>
              <w:t>对</w:t>
            </w:r>
            <w:r>
              <w:rPr>
                <w:rFonts w:ascii="Arial Narrow" w:hAnsi="Arial Narrow" w:cs="Arial Narrow" w:hint="eastAsia" w:eastAsia="仿宋_GB2312"/>
                <w:b/>
                <w:color w:val="0000FF"/>
                <w:sz w:val="24"/>
                <w:szCs w:val="24"/>
                <w:highlight w:val="yellow"/>
                <w:lang w:eastAsia="zh-CN"/>
              </w:rPr>
              <w:t>三板基础层、银行、保险、期货、证券</w:t>
            </w:r>
            <w:r>
              <w:rPr>
                <w:rFonts w:ascii="Arial Narrow" w:hAnsi="Arial Narrow" w:cs="Arial Narrow" w:hint="eastAsia" w:eastAsia="仿宋_GB2312"/>
                <w:b/>
                <w:color w:val="0000FF"/>
                <w:sz w:val="24"/>
                <w:szCs w:val="24"/>
                <w:lang w:eastAsia="zh-CN"/>
              </w:rPr>
              <w:t>整套合并和公司财务报表进行审计。</w:t>
            </w:r>
            <w:r>
              <w:rPr>
                <w:rFonts w:ascii="Arial Narrow" w:hAnsi="Arial Narrow" w:cs="Arial Narrow" w:hint="eastAsia" w:eastAsia="仿宋_GB2312"/>
                <w:b/>
                <w:bCs/>
                <w:color w:val="0000FF"/>
                <w:sz w:val="24"/>
                <w:szCs w:val="24"/>
                <w:lang w:val="en-GB" w:eastAsia="zh-CN"/>
              </w:rPr>
              <w:t>该审计属于集团审计，被审计单位拥有多个子公司</w:t>
            </w:r>
            <w:r>
              <w:rPr>
                <w:rFonts w:ascii="Arial Narrow" w:hAnsi="Arial Narrow" w:cs="Arial Narrow" w:hint="eastAsia" w:eastAsia="仿宋_GB2312"/>
                <w:b/>
                <w:color w:val="0000FF"/>
                <w:sz w:val="24"/>
                <w:szCs w:val="24"/>
                <w:lang w:eastAsia="zh-CN"/>
              </w:rPr>
              <w:t>（即适用《中国注册会计师审计准则第</w:t>
            </w:r>
            <w:r>
              <w:rPr>
                <w:rFonts w:eastAsia="仿宋_GB2312" w:cs="Arial Narrow" w:ascii="Arial Narrow" w:hAnsi="Arial Narrow"/>
                <w:b/>
                <w:color w:val="0000FF"/>
                <w:sz w:val="24"/>
                <w:szCs w:val="24"/>
                <w:lang w:eastAsia="zh-CN"/>
              </w:rPr>
              <w:t>1401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对集团财务报表审计的特殊考虑》）；</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1.2</w:t>
            </w:r>
            <w:r>
              <w:rPr>
                <w:rFonts w:ascii="Arial Narrow" w:hAnsi="Arial Narrow" w:cs="Arial Narrow" w:hint="eastAsia" w:eastAsia="仿宋_GB2312"/>
                <w:b/>
                <w:color w:val="0000FF"/>
                <w:sz w:val="24"/>
                <w:szCs w:val="24"/>
                <w:lang w:eastAsia="zh-CN"/>
              </w:rPr>
              <w:t>管理层按照企业会计准则编制合并和公司财务报表；</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1.3</w:t>
            </w:r>
            <w:r>
              <w:rPr>
                <w:rFonts w:ascii="Arial Narrow" w:hAnsi="Arial Narrow" w:cs="Arial Narrow" w:hint="eastAsia" w:eastAsia="仿宋_GB2312"/>
                <w:b/>
                <w:color w:val="0000FF"/>
                <w:sz w:val="24"/>
                <w:szCs w:val="24"/>
                <w:lang w:eastAsia="zh-CN"/>
              </w:rPr>
              <w:t>审计业务约定条款体现了《中国注册会计师审计准则第</w:t>
            </w:r>
            <w:r>
              <w:rPr>
                <w:rFonts w:eastAsia="仿宋_GB2312" w:cs="Arial Narrow" w:ascii="Arial Narrow" w:hAnsi="Arial Narrow"/>
                <w:b/>
                <w:color w:val="0000FF"/>
                <w:sz w:val="24"/>
                <w:szCs w:val="24"/>
                <w:lang w:eastAsia="zh-CN"/>
              </w:rPr>
              <w:t>1111</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就审计业务约定条款达成一致意见》关于管理层对财务报表责任的描述；</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1.4</w:t>
            </w:r>
            <w:r>
              <w:rPr>
                <w:rFonts w:ascii="Arial Narrow" w:hAnsi="Arial Narrow" w:cs="Arial Narrow" w:hint="eastAsia" w:eastAsia="仿宋_GB2312"/>
                <w:b/>
                <w:color w:val="0000FF"/>
                <w:sz w:val="24"/>
                <w:szCs w:val="24"/>
                <w:lang w:eastAsia="zh-CN"/>
              </w:rPr>
              <w:t>基于获取的审计证据，注册会计师认为发表无保留意见是恰当的；</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1.5</w:t>
            </w:r>
            <w:r>
              <w:rPr>
                <w:rFonts w:ascii="Arial Narrow" w:hAnsi="Arial Narrow" w:cs="Arial Narrow" w:hint="eastAsia" w:eastAsia="仿宋_GB2312"/>
                <w:b/>
                <w:color w:val="0000FF"/>
                <w:sz w:val="24"/>
                <w:szCs w:val="24"/>
                <w:lang w:eastAsia="zh-CN"/>
              </w:rPr>
              <w:t>适用的相关职业道德要求和</w:t>
            </w:r>
            <w:r>
              <w:rPr>
                <w:rFonts w:ascii="Arial Narrow" w:hAnsi="Arial Narrow" w:cs="Arial Narrow" w:hint="eastAsia" w:eastAsia="仿宋_GB2312"/>
                <w:b/>
                <w:color w:val="0000FF"/>
                <w:sz w:val="24"/>
                <w:szCs w:val="24"/>
                <w:highlight w:val="cyan"/>
                <w:lang w:eastAsia="zh-CN"/>
              </w:rPr>
              <w:t>独立性</w:t>
            </w:r>
            <w:r>
              <w:rPr>
                <w:rFonts w:ascii="Arial Narrow" w:hAnsi="Arial Narrow" w:cs="Arial Narrow" w:hint="eastAsia" w:eastAsia="仿宋_GB2312"/>
                <w:b/>
                <w:color w:val="0000FF"/>
                <w:sz w:val="24"/>
                <w:szCs w:val="24"/>
                <w:lang w:eastAsia="zh-CN"/>
              </w:rPr>
              <w:t>要求为中国注册会计师职业道德守则</w:t>
            </w:r>
            <w:r>
              <w:rPr>
                <w:rFonts w:ascii="Arial Narrow" w:hAnsi="Arial Narrow" w:cs="Arial Narrow" w:hint="eastAsia" w:eastAsia="仿宋_GB2312"/>
                <w:b/>
                <w:color w:val="0000FF"/>
                <w:sz w:val="24"/>
                <w:szCs w:val="24"/>
                <w:highlight w:val="cyan"/>
                <w:lang w:eastAsia="zh-CN"/>
              </w:rPr>
              <w:t>和中国注册会计师独立性准则对公众利益实体的独立性要求（如适用）</w:t>
            </w:r>
            <w:r>
              <w:rPr>
                <w:rFonts w:ascii="Arial Narrow" w:hAnsi="Arial Narrow" w:cs="Arial Narrow" w:hint="eastAsia" w:eastAsia="仿宋_GB2312"/>
                <w:b/>
                <w:color w:val="0000FF"/>
                <w:sz w:val="24"/>
                <w:szCs w:val="24"/>
                <w:lang w:eastAsia="zh-CN"/>
              </w:rPr>
              <w:t>；</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ascii="Arial Narrow" w:hAnsi="Arial Narrow" w:cs="Arial Narrow" w:hint="eastAsia" w:eastAsia="仿宋_GB2312"/>
                <w:i/>
                <w:color w:val="0000FF"/>
                <w:sz w:val="24"/>
                <w:szCs w:val="24"/>
                <w:highlight w:val="cyan"/>
                <w:lang w:eastAsia="zh-CN"/>
              </w:rPr>
              <w:t>公众利益实体包括：公开交易实体；以吸收公众存款作为其主要职能的实体；以向公众提供保险作为其主要职能的实体；中央企业集团公司；根据法律法规的规定，应当视为公众利益实体的实体。另外，如涉及面向公众投资者的证券、基金、期货、信托、理财等金融产品涉及的主体、非上市金融机构（但其资金并非来源于公众且不具有大量利益相关者的非上市金融机构除外）、利益相关者众多的国有企业、其他拥有大量利益相关者的实体也需进一步考虑是否作为公众利益实体。</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基于获取的审计证据，根据《中国注册会计师审计准则第</w:t>
            </w:r>
            <w:r>
              <w:rPr>
                <w:rFonts w:eastAsia="仿宋_GB2312" w:cs="Arial Narrow" w:ascii="Arial Narrow" w:hAnsi="Arial Narrow"/>
                <w:b/>
                <w:color w:val="0000FF"/>
                <w:sz w:val="24"/>
                <w:szCs w:val="24"/>
                <w:lang w:eastAsia="zh-CN"/>
              </w:rPr>
              <w:t>1324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持续经营》，注册会计师认为可能导致对被审计单位持续经营能力产生重大疑虑的相关事项或情况不存在重大不确定性；当适用注册会计师确定被审计单位持续经营能力存在重大不确定性，且财务报表已经做出充分披露时，发表无保留意见的审计报告的情形，请参考详细版本；</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1.7</w:t>
            </w:r>
            <w:r>
              <w:rPr>
                <w:rFonts w:ascii="Arial Narrow" w:hAnsi="Arial Narrow" w:cs="Arial Narrow" w:hint="eastAsia" w:eastAsia="仿宋_GB2312"/>
                <w:b/>
                <w:color w:val="0000FF"/>
                <w:sz w:val="24"/>
                <w:szCs w:val="24"/>
                <w:lang w:eastAsia="zh-CN"/>
              </w:rPr>
              <w:t>注册会计师未被要求，并且也决定不沟通关键审计事项。如果决定沟通关键审计事项，需按照《中国注册会计师审计准则第</w:t>
            </w:r>
            <w:r>
              <w:rPr>
                <w:rFonts w:eastAsia="仿宋_GB2312" w:cs="Arial Narrow" w:ascii="Arial Narrow" w:hAnsi="Arial Narrow"/>
                <w:b/>
                <w:color w:val="0000FF"/>
                <w:sz w:val="24"/>
                <w:szCs w:val="24"/>
                <w:lang w:eastAsia="zh-CN"/>
              </w:rPr>
              <w:t>1504</w:t>
            </w:r>
            <w:r>
              <w:rPr>
                <w:rFonts w:ascii="Arial Narrow" w:hAnsi="Arial Narrow" w:cs="Arial Narrow" w:hint="eastAsia" w:eastAsia="仿宋_GB2312"/>
                <w:b/>
                <w:color w:val="0000FF"/>
                <w:sz w:val="24"/>
                <w:szCs w:val="24"/>
                <w:lang w:eastAsia="zh-CN"/>
              </w:rPr>
              <w:t>号</w:t>
            </w:r>
            <w:r>
              <w:rPr>
                <w:rFonts w:ascii="Arial Narrow" w:hAnsi="Arial Narrow" w:cs="Arial Narrow" w:eastAsia="仿宋_GB2312"/>
                <w:b/>
                <w:color w:val="0000FF"/>
                <w:sz w:val="24"/>
                <w:szCs w:val="24"/>
                <w:lang w:eastAsia="zh-CN"/>
              </w:rPr>
              <w:t>——</w:t>
            </w:r>
            <w:r>
              <w:rPr>
                <w:rFonts w:ascii="Arial Narrow" w:hAnsi="Arial Narrow" w:cs="Arial Narrow" w:hint="eastAsia" w:eastAsia="仿宋_GB2312"/>
                <w:b/>
                <w:color w:val="0000FF"/>
                <w:sz w:val="24"/>
                <w:szCs w:val="24"/>
                <w:lang w:eastAsia="zh-CN"/>
              </w:rPr>
              <w:t>在审计报告中沟通关键审计事项》的规定沟通关键审计事项；</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 xml:space="preserve">1.8  </w:t>
            </w:r>
            <w:r>
              <w:rPr>
                <w:rFonts w:ascii="Arial Narrow" w:hAnsi="Arial Narrow" w:cs="Arial Narrow" w:hint="eastAsia" w:eastAsia="仿宋_GB2312"/>
                <w:b/>
                <w:color w:val="0000FF"/>
                <w:sz w:val="24"/>
                <w:szCs w:val="24"/>
                <w:lang w:eastAsia="zh-CN"/>
              </w:rPr>
              <w:t>注册会计师在审计报告日前已经获取所有其他信息，且未识别出信息存在重大错报；对于审计日前未获取所有其他信息或识别出信息存在重大错报的情形，但还可以出具无保留审计意见的情形，参考详细版。</w:t>
            </w:r>
          </w:p>
          <w:p>
            <w:pPr>
              <w:pStyle w:val="Normal"/>
              <w:tabs>
                <w:tab w:val="clear" w:pos="720"/>
                <w:tab w:val="left" w:pos="0" w:leader="none"/>
                <w:tab w:val="left" w:pos="993" w:leader="none"/>
              </w:tabs>
              <w:spacing w:before="120" w:after="60"/>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1.</w:t>
            </w:r>
            <w:r>
              <w:rPr>
                <w:rFonts w:eastAsia="仿宋_GB2312" w:cs="Arial Narrow" w:hint="eastAsia" w:ascii="Arial Narrow" w:hAnsi="Arial Narrow"/>
                <w:b/>
                <w:color w:val="0000FF"/>
                <w:sz w:val="24"/>
                <w:szCs w:val="24"/>
                <w:lang w:eastAsia="zh-CN"/>
              </w:rPr>
              <w:t>9</w:t>
            </w:r>
            <w:r>
              <w:rPr>
                <w:rFonts w:ascii="Arial Narrow" w:hAnsi="Arial Narrow" w:cs="Arial Narrow" w:hint="eastAsia" w:eastAsia="仿宋_GB2312"/>
                <w:b/>
                <w:i/>
                <w:color w:val="0000FF"/>
                <w:sz w:val="24"/>
                <w:szCs w:val="24"/>
                <w:lang w:eastAsia="zh-CN"/>
              </w:rPr>
              <w:t>本报告模板适用于负责监督</w:t>
            </w:r>
            <w:r>
              <w:rPr>
                <w:rFonts w:ascii="Arial Narrow" w:hAnsi="Arial Narrow" w:cs="Arial Narrow" w:hint="eastAsia" w:eastAsia="仿宋_GB2312"/>
                <w:b/>
                <w:i/>
                <w:color w:val="0000FF"/>
                <w:sz w:val="24"/>
                <w:szCs w:val="24"/>
                <w:u w:val="single"/>
                <w:lang w:eastAsia="zh-CN"/>
              </w:rPr>
              <w:t>合并财务报表的人员与负责编制合并财务报表的人员不同</w:t>
            </w:r>
            <w:r>
              <w:rPr>
                <w:rFonts w:ascii="Arial Narrow" w:hAnsi="Arial Narrow" w:cs="Arial Narrow" w:hint="eastAsia" w:eastAsia="仿宋_GB2312"/>
                <w:b/>
                <w:i/>
                <w:color w:val="0000FF"/>
                <w:sz w:val="24"/>
                <w:szCs w:val="24"/>
                <w:lang w:eastAsia="zh-CN"/>
              </w:rPr>
              <w:t>；如对</w:t>
            </w:r>
            <w:r>
              <w:rPr>
                <w:rFonts w:ascii="Arial Narrow" w:hAnsi="Arial Narrow" w:cs="Arial Narrow" w:hint="eastAsia" w:eastAsia="仿宋_GB2312"/>
                <w:b/>
                <w:i/>
                <w:color w:val="0000FF"/>
                <w:sz w:val="24"/>
                <w:szCs w:val="24"/>
                <w:u w:val="single"/>
                <w:lang w:eastAsia="zh-CN"/>
              </w:rPr>
              <w:t>财务报告过程负有监督责任的人员与负责编制财务报表的人员相同</w:t>
            </w:r>
            <w:r>
              <w:rPr>
                <w:rFonts w:ascii="Arial Narrow" w:hAnsi="Arial Narrow" w:cs="Arial Narrow" w:hint="eastAsia" w:eastAsia="仿宋_GB2312"/>
                <w:b/>
                <w:i/>
                <w:color w:val="0000FF"/>
                <w:sz w:val="24"/>
                <w:szCs w:val="24"/>
                <w:lang w:eastAsia="zh-CN"/>
              </w:rPr>
              <w:t>时，管理层对财务报表的责任部分还应当删除对财务报告过程负有监督责任的人员，将</w:t>
            </w:r>
            <w:r>
              <w:rPr>
                <w:rFonts w:ascii="Arial Narrow" w:hAnsi="Arial Narrow" w:cs="Arial Narrow" w:hint="eastAsia" w:eastAsia="仿宋_GB2312"/>
                <w:b/>
                <w:i/>
                <w:color w:val="0000FF"/>
                <w:sz w:val="24"/>
                <w:szCs w:val="24"/>
                <w:u w:val="single"/>
                <w:lang w:eastAsia="zh-CN"/>
              </w:rPr>
              <w:t>“（五）管理层和治理层对财务报表的责任”修改为“（五）管理层对财务报表的责任”</w:t>
            </w:r>
            <w:r>
              <w:rPr>
                <w:rFonts w:ascii="Arial Narrow" w:hAnsi="Arial Narrow" w:cs="Arial Narrow" w:hint="eastAsia" w:eastAsia="仿宋_GB2312"/>
                <w:b/>
                <w:i/>
                <w:color w:val="0000FF"/>
                <w:sz w:val="24"/>
                <w:szCs w:val="24"/>
                <w:lang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hint="eastAsia" w:ascii="Arial Narrow" w:hAnsi="Arial Narrow"/>
                <w:b/>
                <w:color w:val="0000FF"/>
                <w:sz w:val="24"/>
                <w:szCs w:val="24"/>
                <w:lang w:eastAsia="zh-CN"/>
              </w:rPr>
              <w:t>1.10</w:t>
            </w:r>
            <w:r>
              <w:rPr>
                <w:rFonts w:ascii="Arial Narrow" w:hAnsi="Arial Narrow" w:cs="Arial Narrow" w:hint="eastAsia" w:eastAsia="仿宋_GB2312"/>
                <w:b/>
                <w:color w:val="0000FF"/>
                <w:sz w:val="24"/>
                <w:szCs w:val="24"/>
                <w:lang w:eastAsia="zh-CN"/>
              </w:rPr>
              <w:t>除财务报表审计外，注册会计师不承担法律法规要求的其他报告责任。</w:t>
            </w:r>
          </w:p>
          <w:p>
            <w:pPr>
              <w:pStyle w:val="Normal"/>
              <w:widowControl w:val="false"/>
              <w:spacing w:before="120" w:after="0"/>
              <w:jc w:val="both"/>
              <w:rPr>
                <w:rFonts w:ascii="Arial Narrow" w:hAnsi="Arial Narrow" w:eastAsia="仿宋_GB2312" w:cs="Arial Narrow"/>
                <w:b/>
                <w:color w:val="0000FF"/>
                <w:sz w:val="24"/>
                <w:szCs w:val="24"/>
                <w:u w:val="single"/>
                <w:lang w:val="en-AU" w:eastAsia="zh-CN"/>
              </w:rPr>
            </w:pPr>
            <w:r>
              <w:rPr>
                <w:rFonts w:eastAsia="仿宋_GB2312" w:cs="Arial Narrow" w:ascii="Arial Narrow" w:hAnsi="Arial Narrow"/>
                <w:b/>
                <w:color w:val="0000FF"/>
                <w:sz w:val="24"/>
                <w:szCs w:val="24"/>
                <w:u w:val="single"/>
                <w:lang w:val="en-AU" w:eastAsia="zh-CN"/>
              </w:rPr>
              <w:t>2</w:t>
            </w:r>
            <w:r>
              <w:rPr>
                <w:rFonts w:ascii="Arial Narrow" w:hAnsi="Arial Narrow" w:cs="Arial Narrow" w:hint="eastAsia" w:eastAsia="仿宋_GB2312"/>
                <w:b/>
                <w:color w:val="0000FF"/>
                <w:sz w:val="24"/>
                <w:szCs w:val="24"/>
                <w:u w:val="single"/>
                <w:lang w:val="en-AU" w:eastAsia="zh-CN"/>
              </w:rPr>
              <w:t>、措辞修改</w:t>
            </w:r>
          </w:p>
          <w:p>
            <w:pPr>
              <w:pStyle w:val="Normal"/>
              <w:widowControl w:val="false"/>
              <w:spacing w:before="120" w:after="0"/>
              <w:jc w:val="both"/>
              <w:rPr>
                <w:rFonts w:ascii="Arial Narrow" w:hAnsi="Arial Narrow" w:eastAsia="仿宋_GB2312" w:cs="Arial Narrow"/>
                <w:b/>
                <w:color w:val="0000FF"/>
                <w:sz w:val="24"/>
                <w:szCs w:val="24"/>
                <w:lang w:val="en-AU" w:eastAsia="zh-CN"/>
              </w:rPr>
            </w:pPr>
            <w:r>
              <w:rPr>
                <w:rFonts w:eastAsia="仿宋_GB2312" w:cs="Arial Narrow" w:ascii="Arial Narrow" w:hAnsi="Arial Narrow"/>
                <w:b/>
                <w:color w:val="0000FF"/>
                <w:sz w:val="24"/>
                <w:szCs w:val="24"/>
                <w:lang w:val="en-AU" w:eastAsia="zh-CN"/>
              </w:rPr>
              <w:t xml:space="preserve">2.1 </w:t>
            </w:r>
            <w:r>
              <w:rPr>
                <w:rFonts w:ascii="Arial Narrow" w:hAnsi="Arial Narrow" w:cs="Arial Narrow" w:hint="eastAsia" w:eastAsia="仿宋_GB2312"/>
                <w:b/>
                <w:color w:val="0000FF"/>
                <w:sz w:val="24"/>
                <w:szCs w:val="24"/>
                <w:lang w:val="en-AU" w:eastAsia="zh-CN"/>
              </w:rPr>
              <w:t>若不涉及合并，仅是单体报表，请删除“</w:t>
            </w:r>
            <w:r>
              <w:rPr>
                <w:rFonts w:ascii="Arial Narrow" w:hAnsi="Arial Narrow" w:cs="Arial Narrow" w:hint="eastAsia" w:eastAsia="仿宋_GB2312"/>
                <w:b/>
                <w:color w:val="FF0000"/>
                <w:sz w:val="24"/>
                <w:szCs w:val="24"/>
                <w:lang w:val="en-AU" w:eastAsia="zh-CN"/>
              </w:rPr>
              <w:t>合并及公司</w:t>
            </w:r>
            <w:r>
              <w:rPr>
                <w:rFonts w:ascii="Arial Narrow" w:hAnsi="Arial Narrow" w:cs="Arial Narrow" w:hint="eastAsia" w:eastAsia="仿宋_GB2312"/>
                <w:b/>
                <w:color w:val="0000FF"/>
                <w:sz w:val="24"/>
                <w:szCs w:val="24"/>
                <w:lang w:val="en-AU" w:eastAsia="zh-CN"/>
              </w:rPr>
              <w:t>”；</w:t>
            </w:r>
          </w:p>
          <w:p>
            <w:pPr>
              <w:pStyle w:val="Normal"/>
              <w:widowControl w:val="false"/>
              <w:spacing w:before="120" w:after="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t xml:space="preserve">2.2 </w:t>
            </w:r>
            <w:r>
              <w:rPr>
                <w:rFonts w:ascii="Arial Narrow" w:hAnsi="Arial Narrow" w:cs="Arial Narrow" w:hint="eastAsia" w:eastAsia="仿宋_GB2312"/>
                <w:b/>
                <w:color w:val="0000FF"/>
                <w:sz w:val="24"/>
                <w:szCs w:val="24"/>
                <w:lang w:eastAsia="zh-CN"/>
              </w:rPr>
              <w:t>若截止日或会计期间非年底或年度，请修改具体日期或期间，如：</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6</w:t>
            </w:r>
            <w:r>
              <w:rPr>
                <w:rFonts w:ascii="Arial Narrow" w:hAnsi="Arial Narrow" w:cs="Arial Narrow" w:hint="eastAsia" w:eastAsia="仿宋_GB2312"/>
                <w:b/>
                <w:color w:val="0000FF"/>
                <w:sz w:val="24"/>
                <w:szCs w:val="24"/>
                <w:lang w:eastAsia="zh-CN"/>
              </w:rPr>
              <w:t>月</w:t>
            </w:r>
            <w:r>
              <w:rPr>
                <w:rFonts w:eastAsia="仿宋_GB2312" w:cs="Arial Narrow" w:ascii="Arial Narrow" w:hAnsi="Arial Narrow"/>
                <w:b/>
                <w:color w:val="0000FF"/>
                <w:sz w:val="24"/>
                <w:szCs w:val="24"/>
                <w:lang w:eastAsia="zh-CN"/>
              </w:rPr>
              <w:t>30</w:t>
            </w:r>
            <w:r>
              <w:rPr>
                <w:rFonts w:ascii="Arial Narrow" w:hAnsi="Arial Narrow" w:cs="Arial Narrow" w:hint="eastAsia" w:eastAsia="仿宋_GB2312"/>
                <w:b/>
                <w:color w:val="0000FF"/>
                <w:sz w:val="24"/>
                <w:szCs w:val="24"/>
                <w:lang w:eastAsia="zh-CN"/>
              </w:rPr>
              <w:t>日及</w:t>
            </w:r>
            <w:r>
              <w:rPr>
                <w:rFonts w:eastAsia="仿宋_GB2312" w:cs="Arial Narrow" w:ascii="Arial Narrow" w:hAnsi="Arial Narrow"/>
                <w:b/>
                <w:color w:val="0000FF"/>
                <w:sz w:val="24"/>
                <w:szCs w:val="24"/>
                <w:lang w:eastAsia="zh-CN"/>
              </w:rPr>
              <w:t>2025</w:t>
            </w:r>
            <w:r>
              <w:rPr>
                <w:rFonts w:ascii="Arial Narrow" w:hAnsi="Arial Narrow" w:cs="Arial Narrow" w:hint="eastAsia" w:eastAsia="仿宋_GB2312"/>
                <w:b/>
                <w:color w:val="0000FF"/>
                <w:sz w:val="24"/>
                <w:szCs w:val="24"/>
                <w:lang w:eastAsia="zh-CN"/>
              </w:rPr>
              <w:t>年</w:t>
            </w:r>
            <w:r>
              <w:rPr>
                <w:rFonts w:eastAsia="仿宋_GB2312" w:cs="Arial Narrow" w:ascii="Arial Narrow" w:hAnsi="Arial Narrow"/>
                <w:b/>
                <w:color w:val="0000FF"/>
                <w:sz w:val="24"/>
                <w:szCs w:val="24"/>
                <w:lang w:eastAsia="zh-CN"/>
              </w:rPr>
              <w:t>1-6</w:t>
            </w:r>
            <w:r>
              <w:rPr>
                <w:rFonts w:ascii="Arial Narrow" w:hAnsi="Arial Narrow" w:cs="Arial Narrow" w:hint="eastAsia" w:eastAsia="仿宋_GB2312"/>
                <w:b/>
                <w:color w:val="0000FF"/>
                <w:sz w:val="24"/>
                <w:szCs w:val="24"/>
                <w:lang w:eastAsia="zh-CN"/>
              </w:rPr>
              <w:t>月。</w:t>
            </w:r>
          </w:p>
        </w:tc>
      </w:tr>
    </w:tbl>
    <w:p>
      <w:pPr>
        <w:pStyle w:val="Normal"/>
        <w:rPr>
          <w:rFonts w:ascii="Arial Narrow" w:hAnsi="Arial Narrow" w:eastAsia="仿宋_GB2312" w:cs="Arial Narrow"/>
          <w:b/>
          <w:color w:val="0000FF"/>
          <w:sz w:val="24"/>
          <w:szCs w:val="24"/>
          <w:lang w:eastAsia="zh-CN"/>
        </w:rPr>
        <w:sectPr>
          <w:type w:val="continuous"/>
          <w:pgSz w:w="11906" w:h="16838"/>
          <w:pgMar w:left="1985" w:right="1803" w:gutter="0" w:header="850" w:top="2835" w:footer="850" w:bottom="1440"/>
          <w:formProt w:val="false"/>
          <w:textDirection w:val="lrTb"/>
          <w:docGrid w:type="default" w:linePitch="272" w:charSpace="0"/>
        </w:sectPr>
      </w:pPr>
      <w:r>
        <w:rPr>
          <w:rFonts w:eastAsia="仿宋_GB2312" w:cs="Arial Narrow" w:ascii="Arial Narrow" w:hAnsi="Arial Narrow"/>
          <w:b/>
          <w:color w:val="0000FF"/>
          <w:sz w:val="24"/>
          <w:szCs w:val="24"/>
          <w:lang w:eastAsia="zh-CN"/>
        </w:rPr>
      </w:r>
      <w:r>
        <w:br w:type="page"/>
      </w:r>
    </w:p>
    <w:p>
      <w:pPr>
        <w:pStyle w:val="Normal"/>
        <w:jc w:val="center"/>
        <w:rPr>
          <w:rFonts w:ascii="Arial Narrow" w:hAnsi="Arial Narrow" w:eastAsia="仿宋_GB2312" w:cs="Arial Narrow" w:hint="eastAsia"/>
          <w:b/>
          <w:bCs/>
          <w:color w:val="0000FF"/>
          <w:sz w:val="24"/>
          <w:szCs w:val="44"/>
          <w:lang w:eastAsia="zh-CN"/>
        </w:rPr>
      </w:pPr>
      <w:r>
        <w:rPr>
          <w:rFonts w:eastAsia="仿宋_GB2312" w:cs="Arial Narrow" w:hint="eastAsia" w:ascii="Arial Narrow" w:hAnsi="Arial Narrow"/>
          <w:b/>
          <w:bCs/>
          <w:color w:val="0000FF"/>
          <w:sz w:val="24"/>
          <w:szCs w:val="44"/>
          <w:lang w:eastAsia="zh-CN"/>
        </w:rPr>
      </w:r>
    </w:p>
    <w:p>
      <w:pPr>
        <w:pStyle w:val="Normal"/>
        <w:jc w:val="center"/>
        <w:rPr>
          <w:rFonts w:ascii="Arial Narrow" w:hAnsi="Arial Narrow" w:eastAsia="仿宋_GB2312" w:cs="Arial Narrow"/>
          <w:b/>
          <w:sz w:val="24"/>
          <w:szCs w:val="32"/>
          <w:lang w:eastAsia="zh-CN"/>
        </w:rPr>
      </w:pPr>
      <w:r>
        <w:rPr>
          <w:rFonts w:eastAsia="仿宋_GB2312" w:cs="Arial Narrow" w:ascii="Arial Narrow" w:hAnsi="Arial Narrow"/>
          <w:b/>
          <w:sz w:val="24"/>
          <w:szCs w:val="32"/>
          <w:lang w:eastAsia="zh-CN"/>
        </w:rPr>
      </w:r>
    </w:p>
    <w:p>
      <w:pPr>
        <w:pStyle w:val="Normal"/>
        <w:spacing w:before="1440" w:after="72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目</w:t>
      </w:r>
      <w:r>
        <w:rPr>
          <w:rFonts w:eastAsia="仿宋_GB2312" w:cs="Arial Narrow" w:hint="eastAsia" w:ascii="Arial Narrow" w:hAnsi="Arial Narrow"/>
          <w:b/>
          <w:sz w:val="32"/>
          <w:szCs w:val="32"/>
          <w:lang w:eastAsia="zh-CN"/>
        </w:rPr>
        <w:tab/>
      </w:r>
      <w:r>
        <w:rPr>
          <w:rFonts w:ascii="Arial Narrow" w:hAnsi="Arial Narrow" w:cs="Arial Narrow" w:hint="eastAsia" w:eastAsia="仿宋_GB2312"/>
          <w:b/>
          <w:sz w:val="32"/>
          <w:szCs w:val="32"/>
          <w:lang w:eastAsia="zh-CN"/>
        </w:rPr>
        <w:t>录</w:t>
      </w:r>
    </w:p>
    <w:tbl>
      <w:tblPr>
        <w:tblW w:w="5000" w:type="pct"/>
        <w:jc w:val="start"/>
        <w:tblInd w:w="0" w:type="dxa"/>
        <w:tblLayout w:type="fixed"/>
        <w:tblCellMar>
          <w:top w:w="0" w:type="dxa"/>
          <w:start w:w="108" w:type="dxa"/>
          <w:bottom w:w="0" w:type="dxa"/>
          <w:end w:w="108" w:type="dxa"/>
        </w:tblCellMar>
      </w:tblPr>
      <w:tblGrid>
        <w:gridCol w:w="6687"/>
        <w:gridCol w:w="1431"/>
      </w:tblGrid>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rPr>
              <w:t>审计报告</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hint="eastAsia" w:ascii="Arial Narrow" w:hAnsi="Arial Narrow"/>
                <w:b/>
                <w:bCs/>
                <w:color w:val="000000"/>
                <w:sz w:val="24"/>
                <w:szCs w:val="24"/>
                <w:lang w:eastAsia="zh-CN"/>
              </w:rPr>
              <w:t>1-</w:t>
            </w:r>
            <w:r>
              <w:rPr>
                <w:rFonts w:eastAsia="宋体;SimSun" w:cs="宋体;SimSun" w:ascii="Arial Narrow" w:hAnsi="Arial Narrow"/>
                <w:b/>
                <w:bCs/>
                <w:color w:val="FF0000"/>
                <w:sz w:val="24"/>
                <w:szCs w:val="24"/>
                <w:lang w:eastAsia="zh-CN"/>
              </w:rPr>
              <w:t>X</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资产负债表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1-2</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利润表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3</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现金流量表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4</w:t>
            </w:r>
          </w:p>
        </w:tc>
      </w:tr>
      <w:tr>
        <w:trPr>
          <w:trHeight w:val="851" w:hRule="exact"/>
        </w:trPr>
        <w:tc>
          <w:tcPr>
            <w:tcW w:w="6687" w:type="dxa"/>
            <w:tcBorders/>
            <w:vAlign w:val="center"/>
          </w:tcPr>
          <w:p>
            <w:pPr>
              <w:pStyle w:val="Normal"/>
              <w:rPr>
                <w:rFonts w:ascii="仿宋_GB2312" w:hAnsi="仿宋_GB2312" w:eastAsia="仿宋_GB2312" w:cs="宋体;SimSun"/>
                <w:b/>
                <w:bCs/>
                <w:color w:val="FF0000"/>
                <w:sz w:val="24"/>
                <w:szCs w:val="24"/>
                <w:lang w:eastAsia="zh-CN"/>
              </w:rPr>
            </w:pPr>
            <w:r>
              <w:rPr>
                <w:rFonts w:ascii="仿宋_GB2312" w:hAnsi="仿宋_GB2312" w:cs="宋体;SimSun" w:hint="eastAsia" w:eastAsia="仿宋_GB2312"/>
                <w:b/>
                <w:bCs/>
                <w:color w:val="FF0000"/>
                <w:sz w:val="24"/>
                <w:szCs w:val="24"/>
                <w:lang w:eastAsia="zh-CN"/>
              </w:rPr>
              <w:t>合并及公司</w:t>
            </w:r>
            <w:r>
              <w:rPr>
                <w:rFonts w:ascii="仿宋_GB2312" w:hAnsi="仿宋_GB2312" w:cs="宋体;SimSun" w:hint="eastAsia" w:eastAsia="仿宋_GB2312"/>
                <w:b/>
                <w:bCs/>
                <w:color w:val="000000"/>
                <w:sz w:val="24"/>
                <w:szCs w:val="24"/>
                <w:lang w:eastAsia="zh-CN"/>
              </w:rPr>
              <w:t>股东权益变动表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5-6</w:t>
            </w:r>
          </w:p>
        </w:tc>
      </w:tr>
      <w:tr>
        <w:trPr>
          <w:trHeight w:val="851" w:hRule="exact"/>
        </w:trPr>
        <w:tc>
          <w:tcPr>
            <w:tcW w:w="6687" w:type="dxa"/>
            <w:tcBorders/>
            <w:vAlign w:val="center"/>
          </w:tcPr>
          <w:p>
            <w:pPr>
              <w:pStyle w:val="Normal"/>
              <w:rPr>
                <w:rFonts w:ascii="仿宋_GB2312" w:hAnsi="仿宋_GB2312" w:eastAsia="仿宋_GB2312" w:cs="宋体;SimSun"/>
                <w:b/>
                <w:bCs/>
                <w:color w:val="000000"/>
                <w:sz w:val="24"/>
                <w:szCs w:val="24"/>
                <w:lang w:eastAsia="zh-CN"/>
              </w:rPr>
            </w:pPr>
            <w:r>
              <w:rPr>
                <w:rFonts w:ascii="仿宋_GB2312" w:hAnsi="仿宋_GB2312" w:cs="宋体;SimSun" w:hint="eastAsia" w:eastAsia="仿宋_GB2312"/>
                <w:b/>
                <w:bCs/>
                <w:color w:val="000000"/>
                <w:sz w:val="24"/>
                <w:szCs w:val="24"/>
                <w:lang w:eastAsia="zh-CN"/>
              </w:rPr>
              <w:t>财务报表附注</w:t>
            </w:r>
          </w:p>
        </w:tc>
        <w:tc>
          <w:tcPr>
            <w:tcW w:w="1431" w:type="dxa"/>
            <w:tcBorders/>
            <w:vAlign w:val="center"/>
          </w:tcPr>
          <w:p>
            <w:pPr>
              <w:pStyle w:val="Normal"/>
              <w:rPr>
                <w:rFonts w:ascii="Arial Narrow" w:hAnsi="Arial Narrow" w:eastAsia="宋体;SimSun" w:cs="宋体;SimSun"/>
                <w:b/>
                <w:bCs/>
                <w:color w:val="000000"/>
                <w:sz w:val="24"/>
                <w:szCs w:val="24"/>
                <w:lang w:eastAsia="zh-CN"/>
              </w:rPr>
            </w:pPr>
            <w:r>
              <w:rPr>
                <w:rFonts w:eastAsia="宋体;SimSun" w:cs="宋体;SimSun" w:ascii="Arial Narrow" w:hAnsi="Arial Narrow"/>
                <w:b/>
                <w:bCs/>
                <w:color w:val="000000"/>
                <w:sz w:val="24"/>
                <w:szCs w:val="24"/>
                <w:lang w:eastAsia="zh-CN"/>
              </w:rPr>
              <w:t>7-</w:t>
            </w:r>
            <w:r>
              <w:rPr>
                <w:rFonts w:eastAsia="宋体;SimSun" w:cs="宋体;SimSun" w:ascii="Arial Narrow" w:hAnsi="Arial Narrow"/>
                <w:b/>
                <w:bCs/>
                <w:color w:val="FF0000"/>
                <w:sz w:val="24"/>
                <w:szCs w:val="24"/>
                <w:lang w:eastAsia="zh-CN"/>
              </w:rPr>
              <w:t>X</w:t>
            </w:r>
          </w:p>
        </w:tc>
      </w:tr>
    </w:tbl>
    <w:p>
      <w:pPr>
        <w:pStyle w:val="Normal"/>
        <w:ind w:start="900" w:end="1080"/>
        <w:rPr>
          <w:rFonts w:ascii="Arial Narrow" w:hAnsi="Arial Narrow" w:eastAsia="仿宋_GB2312" w:cs="Arial Narrow"/>
          <w:sz w:val="24"/>
          <w:lang w:eastAsia="zh-CN"/>
        </w:rPr>
      </w:pPr>
      <w:r>
        <w:rPr>
          <w:rFonts w:eastAsia="仿宋_GB2312" w:cs="Arial Narrow" w:hint="eastAsia" w:ascii="Arial Narrow" w:hAnsi="Arial Narrow"/>
          <w:sz w:val="24"/>
          <w:lang w:eastAsia="zh-CN"/>
        </w:rPr>
        <w:tab/>
      </w:r>
    </w:p>
    <w:p>
      <w:pPr>
        <w:sectPr>
          <w:headerReference w:type="default" r:id="rId4"/>
          <w:footerReference w:type="default" r:id="rId5"/>
          <w:type w:val="nextPage"/>
          <w:pgSz w:w="11906" w:h="16838"/>
          <w:pgMar w:left="1985" w:right="1803" w:gutter="0" w:header="1440" w:top="2835" w:footer="720" w:bottom="1440"/>
          <w:pgNumType w:fmt="decimal"/>
          <w:formProt w:val="false"/>
          <w:textDirection w:val="lrTb"/>
          <w:docGrid w:type="default" w:linePitch="271" w:charSpace="0"/>
        </w:sectPr>
      </w:pPr>
    </w:p>
    <w:p>
      <w:pPr>
        <w:pStyle w:val="Normal"/>
        <w:rPr>
          <w:rFonts w:ascii="Arial Narrow" w:hAnsi="Arial Narrow" w:eastAsia="仿宋_GB2312" w:cs="Arial Narrow"/>
          <w:sz w:val="24"/>
          <w:szCs w:val="24"/>
          <w:lang w:val="zh-CN" w:eastAsia="zh-CN"/>
        </w:rPr>
      </w:pPr>
      <w:r>
        <w:rPr>
          <w:rFonts w:eastAsia="仿宋_GB2312" w:cs="Arial Narrow" w:ascii="Arial Narrow" w:hAnsi="Arial Narrow"/>
          <w:sz w:val="24"/>
          <w:szCs w:val="24"/>
          <w:lang w:val="zh-CN" w:eastAsia="zh-CN"/>
        </w:rPr>
      </w:r>
      <w:r>
        <mc:AlternateContent>
          <mc:Choice Requires="wps">
            <w:drawing>
              <wp:anchor distT="0" distB="0" distL="114935" distR="114935" simplePos="0" relativeHeight="8"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a:graphic xmlns:a="http://schemas.openxmlformats.org/drawingml/2006/main">
                  <a:graphicData uri="http://schemas.microsoft.com/office/word/2010/wordprocessingShape">
                    <wps:wsp>
                      <wps:cNvSpPr txBox="1"/>
                      <wps:spPr>
                        <a:xfrm>
                          <a:off x="0" y="0"/>
                          <a:ext cx="1619885" cy="756285"/>
                        </a:xfrm>
                        <a:prstGeom prst="rect"/>
                        <a:solidFill>
                          <a:srgbClr val="FFFFFF">
                            <a:alpha val="0"/>
                          </a:srgbClr>
                        </a:solidFill>
                      </wps:spPr>
                      <wps:txbx>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wps:txbx>
                      <wps:bodyPr anchor="t" lIns="92075" tIns="46355" rIns="92075" bIns="46355">
                        <a:noAutofit/>
                      </wps:bodyPr>
                    </wps:wsp>
                  </a:graphicData>
                </a:graphic>
              </wp:anchor>
            </w:drawing>
          </mc:Choice>
          <mc:Fallback>
            <w:pict>
              <v:rect fillcolor="#FFFFFF" style="position:absolute;rotation:-0;width:127.55pt;height:59.55pt;mso-wrap-distance-left:9.05pt;mso-wrap-distance-right:9.05pt;mso-wrap-distance-top:0pt;mso-wrap-distance-bottom:0pt;margin-top:87.9pt;mso-position-vertical-relative:page;margin-left:411.05pt;mso-position-horizontal-relative:page">
                <v:fill opacity="0f"/>
                <v:textbox inset="0.100694444444444in,0.0506944444444444in,0.100694444444444in,0.0506944444444444in">
                  <w:txbxContent>
                    <w:p>
                      <w:pPr>
                        <w:pStyle w:val="Normal"/>
                        <w:rPr>
                          <w:rFonts w:ascii="Arial Narrow" w:hAnsi="Arial Narrow" w:eastAsia="黑体;SimHei" w:cs="Arial Narrow"/>
                          <w:b/>
                          <w:sz w:val="14"/>
                          <w:szCs w:val="14"/>
                        </w:rPr>
                      </w:pPr>
                      <w:r>
                        <w:rPr>
                          <w:rFonts w:ascii="Arial Narrow" w:hAnsi="Arial Narrow" w:cs="Arial Narrow" w:eastAsia="黑体;SimHei"/>
                          <w:b/>
                          <w:sz w:val="14"/>
                          <w:szCs w:val="14"/>
                        </w:rPr>
                        <w:t>致同会计师事务所（特殊普通合伙）</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中国北京朝阳区建国门外大街</w:t>
                      </w:r>
                      <w:r>
                        <w:rPr>
                          <w:rFonts w:eastAsia="黑体;SimHei" w:cs="Arial Narrow" w:ascii="Arial Narrow" w:hAnsi="Arial Narrow"/>
                          <w:sz w:val="14"/>
                          <w:szCs w:val="14"/>
                        </w:rPr>
                        <w:t>22</w:t>
                      </w:r>
                      <w:r>
                        <w:rPr>
                          <w:rFonts w:ascii="Arial Narrow" w:hAnsi="Arial Narrow" w:cs="Arial Narrow" w:eastAsia="黑体;SimHei"/>
                          <w:sz w:val="14"/>
                          <w:szCs w:val="14"/>
                        </w:rPr>
                        <w:t>号</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赛特广场</w:t>
                      </w:r>
                      <w:r>
                        <w:rPr>
                          <w:rFonts w:eastAsia="黑体;SimHei" w:cs="Arial Narrow" w:ascii="Arial Narrow" w:hAnsi="Arial Narrow"/>
                          <w:sz w:val="14"/>
                          <w:szCs w:val="14"/>
                        </w:rPr>
                        <w:t>5</w:t>
                      </w:r>
                      <w:r>
                        <w:rPr>
                          <w:rFonts w:ascii="Arial Narrow" w:hAnsi="Arial Narrow" w:cs="Arial Narrow" w:eastAsia="黑体;SimHei"/>
                          <w:sz w:val="14"/>
                          <w:szCs w:val="14"/>
                        </w:rPr>
                        <w:t>层邮编</w:t>
                      </w:r>
                      <w:r>
                        <w:rPr>
                          <w:rFonts w:eastAsia="黑体;SimHei" w:cs="Arial Narrow" w:ascii="Arial Narrow" w:hAnsi="Arial Narrow"/>
                          <w:sz w:val="14"/>
                          <w:szCs w:val="14"/>
                        </w:rPr>
                        <w:t>100004</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电话 </w:t>
                      </w:r>
                      <w:r>
                        <w:rPr>
                          <w:rFonts w:eastAsia="黑体;SimHei" w:cs="Arial Narrow" w:ascii="Arial Narrow" w:hAnsi="Arial Narrow"/>
                          <w:sz w:val="14"/>
                          <w:szCs w:val="14"/>
                        </w:rPr>
                        <w:t>+86 10 8566 5588</w:t>
                      </w:r>
                    </w:p>
                    <w:p>
                      <w:pPr>
                        <w:pStyle w:val="Normal"/>
                        <w:rPr>
                          <w:rFonts w:ascii="Arial Narrow" w:hAnsi="Arial Narrow" w:eastAsia="黑体;SimHei" w:cs="Arial Narrow"/>
                          <w:sz w:val="14"/>
                          <w:szCs w:val="14"/>
                        </w:rPr>
                      </w:pPr>
                      <w:r>
                        <w:rPr>
                          <w:rFonts w:ascii="Arial Narrow" w:hAnsi="Arial Narrow" w:cs="Arial Narrow" w:eastAsia="黑体;SimHei"/>
                          <w:sz w:val="14"/>
                          <w:szCs w:val="14"/>
                        </w:rPr>
                        <w:t xml:space="preserve">传真 </w:t>
                      </w:r>
                      <w:r>
                        <w:rPr>
                          <w:rFonts w:eastAsia="黑体;SimHei" w:cs="Arial Narrow" w:ascii="Arial Narrow" w:hAnsi="Arial Narrow"/>
                          <w:sz w:val="14"/>
                          <w:szCs w:val="14"/>
                        </w:rPr>
                        <w:t>+86 10 8566 5120</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t>www.grantthornton.cn</w:t>
                      </w:r>
                    </w:p>
                    <w:p>
                      <w:pPr>
                        <w:pStyle w:val="Normal"/>
                        <w:rPr>
                          <w:rFonts w:ascii="Arial Narrow" w:hAnsi="Arial Narrow" w:eastAsia="黑体;SimHei" w:cs="Arial Narrow"/>
                          <w:sz w:val="14"/>
                          <w:szCs w:val="14"/>
                        </w:rPr>
                      </w:pPr>
                      <w:r>
                        <w:rPr>
                          <w:rFonts w:eastAsia="黑体;SimHei" w:cs="Arial Narrow" w:ascii="Arial Narrow" w:hAnsi="Arial Narrow"/>
                          <w:sz w:val="14"/>
                          <w:szCs w:val="14"/>
                        </w:rPr>
                      </w:r>
                    </w:p>
                  </w:txbxContent>
                </v:textbox>
                <w10:wrap type="none"/>
              </v:rect>
            </w:pict>
          </mc:Fallback>
        </mc:AlternateContent>
      </w:r>
    </w:p>
    <w:p>
      <w:pPr>
        <w:pStyle w:val="Normal"/>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center"/>
        <w:rPr>
          <w:rFonts w:ascii="Arial Narrow" w:hAnsi="Arial Narrow" w:eastAsia="仿宋_GB2312" w:cs="Arial Narrow"/>
          <w:b/>
          <w:sz w:val="32"/>
          <w:szCs w:val="32"/>
          <w:lang w:eastAsia="zh-CN"/>
        </w:rPr>
      </w:pPr>
      <w:r>
        <w:rPr>
          <w:rFonts w:ascii="Arial Narrow" w:hAnsi="Arial Narrow" w:cs="Arial Narrow" w:hint="eastAsia" w:eastAsia="仿宋_GB2312"/>
          <w:b/>
          <w:sz w:val="32"/>
          <w:szCs w:val="32"/>
          <w:lang w:eastAsia="zh-CN"/>
        </w:rPr>
        <w:t>审计报告</w:t>
      </w:r>
    </w:p>
    <w:p>
      <w:pPr>
        <w:pStyle w:val="Normal"/>
        <w:spacing w:lineRule="atLeast" w:line="340"/>
        <w:jc w:val="both"/>
        <w:rPr>
          <w:rFonts w:ascii="Arial Narrow" w:hAnsi="Arial Narrow" w:eastAsia="仿宋_GB2312" w:cs="Arial Narrow"/>
          <w:b/>
          <w:color w:val="0000FF"/>
          <w:sz w:val="24"/>
          <w:szCs w:val="24"/>
          <w:lang w:eastAsia="zh-CN"/>
        </w:rPr>
      </w:pPr>
      <w:r>
        <w:rPr>
          <w:rFonts w:eastAsia="仿宋_GB2312" w:cs="Arial Narrow" w:ascii="Arial Narrow" w:hAnsi="Arial Narrow"/>
          <w:b/>
          <w:color w:val="0000FF"/>
          <w:sz w:val="24"/>
          <w:szCs w:val="24"/>
          <w:lang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pacing w:val="4"/>
          <w:sz w:val="24"/>
          <w:lang w:eastAsia="zh-CN"/>
        </w:rPr>
        <w:t>致同审字</w:t>
      </w:r>
      <w:r>
        <w:rPr>
          <w:rFonts w:ascii="Arial Narrow" w:hAnsi="Arial Narrow" w:cs="Arial Narrow" w:hint="eastAsia" w:eastAsia="仿宋_GB2312"/>
          <w:color w:val="FF0000"/>
          <w:sz w:val="24"/>
          <w:szCs w:val="24"/>
          <w:lang w:eastAsia="zh-CN"/>
        </w:rPr>
        <w:t>（</w:t>
      </w:r>
      <w:r>
        <w:rPr>
          <w:rFonts w:eastAsia="仿宋_GB2312" w:cs="Arial Narrow" w:hint="eastAsia" w:ascii="Arial Narrow" w:hAnsi="Arial Narrow"/>
          <w:color w:val="FF0000"/>
          <w:sz w:val="24"/>
          <w:szCs w:val="24"/>
          <w:lang w:eastAsia="zh-CN"/>
        </w:rPr>
        <w:t>2</w:t>
      </w:r>
      <w:r>
        <w:rPr>
          <w:rFonts w:eastAsia="仿宋_GB2312" w:cs="Arial Narrow" w:ascii="Arial Narrow" w:hAnsi="Arial Narrow"/>
          <w:color w:val="FF0000"/>
          <w:sz w:val="24"/>
          <w:szCs w:val="24"/>
          <w:lang w:eastAsia="zh-CN"/>
        </w:rPr>
        <w:t>0</w:t>
      </w:r>
      <w:r>
        <w:rPr>
          <w:rFonts w:eastAsia="仿宋_GB2312" w:cs="Arial Narrow" w:hint="eastAsia" w:ascii="Arial Narrow" w:hAnsi="Arial Narrow"/>
          <w:color w:val="FF0000"/>
          <w:sz w:val="24"/>
          <w:szCs w:val="24"/>
          <w:lang w:eastAsia="zh-CN"/>
        </w:rPr>
        <w:t>2</w:t>
      </w:r>
      <w:r>
        <w:rPr>
          <w:rFonts w:eastAsia="仿宋_GB2312" w:cs="Arial Narrow" w:ascii="Arial Narrow" w:hAnsi="Arial Narrow"/>
          <w:color w:val="FF0000"/>
          <w:sz w:val="24"/>
          <w:szCs w:val="24"/>
          <w:lang w:eastAsia="zh-CN"/>
        </w:rPr>
        <w:t>6</w:t>
      </w:r>
      <w:r>
        <w:rPr>
          <w:rFonts w:ascii="Arial Narrow" w:hAnsi="Arial Narrow" w:cs="Arial Narrow" w:hint="eastAsia" w:eastAsia="仿宋_GB2312"/>
          <w:color w:val="FF0000"/>
          <w:sz w:val="24"/>
          <w:szCs w:val="24"/>
          <w:lang w:eastAsia="zh-CN"/>
        </w:rPr>
        <w:t>）</w:t>
      </w:r>
      <w:r>
        <w:rPr>
          <w:rFonts w:ascii="Arial Narrow" w:hAnsi="Arial Narrow" w:cs="Arial Narrow" w:hint="eastAsia" w:eastAsia="仿宋_GB2312"/>
          <w:color w:val="FF0000"/>
          <w:spacing w:val="4"/>
          <w:sz w:val="24"/>
          <w:lang w:eastAsia="zh-CN"/>
        </w:rPr>
        <w:t>第</w:t>
      </w:r>
      <w:r>
        <w:rPr>
          <w:rFonts w:eastAsia="仿宋_GB2312" w:cs="Arial Narrow" w:hint="eastAsia" w:ascii="Arial Narrow" w:hAnsi="Arial Narrow"/>
          <w:color w:val="FF0000"/>
          <w:spacing w:val="4"/>
          <w:sz w:val="24"/>
          <w:lang w:eastAsia="zh-CN"/>
        </w:rPr>
        <w:t>110AS</w:t>
      </w:r>
      <w:r>
        <w:rPr>
          <w:rFonts w:eastAsia="仿宋_GB2312" w:cs="Arial Narrow" w:hint="eastAsia" w:ascii="Arial Narrow" w:hAnsi="Arial Narrow"/>
          <w:color w:val="FF0000"/>
          <w:sz w:val="24"/>
          <w:szCs w:val="24"/>
          <w:lang w:eastAsia="zh-CN"/>
        </w:rPr>
        <w:t>XXXX</w:t>
      </w:r>
      <w:r>
        <w:rPr>
          <w:rFonts w:ascii="Arial Narrow" w:hAnsi="Arial Narrow" w:cs="Arial Narrow" w:hint="eastAsia" w:eastAsia="仿宋_GB2312"/>
          <w:color w:val="FF0000"/>
          <w:spacing w:val="4"/>
          <w:sz w:val="24"/>
          <w:lang w:eastAsia="zh-CN"/>
        </w:rPr>
        <w:t>号</w:t>
      </w:r>
    </w:p>
    <w:p>
      <w:pPr>
        <w:pStyle w:val="Normal"/>
        <w:spacing w:lineRule="atLeast" w:line="34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z w:val="24"/>
          <w:szCs w:val="24"/>
          <w:lang w:eastAsia="zh-CN"/>
        </w:rPr>
      </w:r>
    </w:p>
    <w:p>
      <w:pPr>
        <w:pStyle w:val="Normal"/>
        <w:numPr>
          <w:ilvl w:val="0"/>
          <w:numId w:val="0"/>
        </w:numPr>
        <w:spacing w:lineRule="auto" w:line="300" w:before="120" w:after="0"/>
        <w:outlineLvl w:val="0"/>
        <w:rPr>
          <w:rFonts w:ascii="Arial Narrow" w:hAnsi="Arial Narrow" w:eastAsia="仿宋_GB2312" w:cs="Arial Narrow"/>
          <w:b/>
          <w:color w:val="FF0000"/>
          <w:sz w:val="24"/>
          <w:szCs w:val="24"/>
          <w:lang w:eastAsia="zh-CN"/>
        </w:rPr>
      </w:pPr>
      <w:r>
        <w:rPr>
          <w:rFonts w:eastAsia="仿宋_GB2312" w:cs="Arial Narrow" w:ascii="Arial Narrow" w:hAnsi="Arial Narrow"/>
          <w:b/>
          <w:color w:val="FF0000"/>
          <w:spacing w:val="4"/>
          <w:sz w:val="24"/>
          <w:szCs w:val="24"/>
          <w:lang w:eastAsia="zh-CN"/>
        </w:rPr>
        <w:t>ABC</w:t>
      </w:r>
      <w:r>
        <w:rPr>
          <w:rFonts w:ascii="Arial Narrow" w:hAnsi="Arial Narrow" w:cs="Arial Narrow" w:hint="eastAsia" w:eastAsia="仿宋_GB2312"/>
          <w:b/>
          <w:spacing w:val="4"/>
          <w:sz w:val="24"/>
          <w:szCs w:val="24"/>
          <w:lang w:eastAsia="zh-CN"/>
        </w:rPr>
        <w:t>股份有限公司全体股东：</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spacing w:val="4"/>
          <w:sz w:val="24"/>
          <w:szCs w:val="24"/>
          <w:lang w:eastAsia="zh-CN"/>
        </w:rPr>
      </w:pPr>
      <w:r>
        <w:rPr>
          <w:rFonts w:ascii="Arial Narrow" w:hAnsi="Arial Narrow" w:cs="Arial Narrow" w:hint="eastAsia" w:eastAsia="仿宋_GB2312"/>
          <w:b/>
          <w:bCs/>
          <w:sz w:val="24"/>
          <w:szCs w:val="24"/>
        </w:rPr>
        <w:t>一、审计意见</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我们审计了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股份有限公司（以下简称</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公司）财务报表，包括</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资产负债表，</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利润表、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现金流量表、</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股东权益变动表以及相关财务报表附注。</w:t>
      </w:r>
    </w:p>
    <w:p>
      <w:pPr>
        <w:pStyle w:val="Normal"/>
        <w:spacing w:lineRule="auto" w:line="300" w:before="120" w:after="0"/>
        <w:ind w:firstLineChars="200" w:startChars="0" w:start="0" w:endChars="0" w:end="0"/>
        <w:jc w:val="both"/>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我们认为，后附的财务报表在所有重大方面按照企业会计准则的规定编制，公允反映了</w:t>
      </w:r>
      <w:r>
        <w:rPr>
          <w:rFonts w:eastAsia="仿宋_GB2312" w:cs="Arial Narrow" w:ascii="Arial Narrow" w:hAnsi="Arial Narrow"/>
          <w:color w:val="FF0000"/>
          <w:spacing w:val="4"/>
          <w:sz w:val="24"/>
          <w:szCs w:val="24"/>
        </w:rPr>
        <w:t>ABC</w:t>
      </w:r>
      <w:r>
        <w:rPr>
          <w:rFonts w:ascii="Arial Narrow" w:hAnsi="Arial Narrow" w:cs="Arial Narrow" w:hint="eastAsia" w:eastAsia="仿宋_GB2312"/>
          <w:sz w:val="24"/>
          <w:szCs w:val="24"/>
          <w:lang w:eastAsia="zh-CN"/>
        </w:rPr>
        <w:t>公司</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w:t>
      </w:r>
      <w:r>
        <w:rPr>
          <w:rFonts w:eastAsia="仿宋_GB2312" w:cs="Arial Narrow" w:ascii="Arial Narrow" w:hAnsi="Arial Narrow"/>
          <w:color w:val="FF0000"/>
          <w:sz w:val="24"/>
          <w:szCs w:val="24"/>
          <w:lang w:eastAsia="zh-CN"/>
        </w:rPr>
        <w:t>12</w:t>
      </w:r>
      <w:r>
        <w:rPr>
          <w:rFonts w:ascii="Arial Narrow" w:hAnsi="Arial Narrow" w:cs="Arial Narrow" w:hint="eastAsia" w:eastAsia="仿宋_GB2312"/>
          <w:color w:val="FF0000"/>
          <w:sz w:val="24"/>
          <w:szCs w:val="24"/>
          <w:lang w:eastAsia="zh-CN"/>
        </w:rPr>
        <w:t>月</w:t>
      </w:r>
      <w:r>
        <w:rPr>
          <w:rFonts w:eastAsia="仿宋_GB2312" w:cs="Arial Narrow" w:ascii="Arial Narrow" w:hAnsi="Arial Narrow"/>
          <w:color w:val="FF0000"/>
          <w:sz w:val="24"/>
          <w:szCs w:val="24"/>
          <w:lang w:eastAsia="zh-CN"/>
        </w:rPr>
        <w:t>31</w:t>
      </w:r>
      <w:r>
        <w:rPr>
          <w:rFonts w:ascii="Arial Narrow" w:hAnsi="Arial Narrow" w:cs="Arial Narrow" w:hint="eastAsia" w:eastAsia="仿宋_GB2312"/>
          <w:color w:val="FF0000"/>
          <w:sz w:val="24"/>
          <w:szCs w:val="24"/>
          <w:lang w:eastAsia="zh-CN"/>
        </w:rPr>
        <w:t>日</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财务状况以及</w:t>
      </w:r>
      <w:r>
        <w:rPr>
          <w:rFonts w:eastAsia="仿宋_GB2312" w:cs="Arial Narrow" w:ascii="Arial Narrow" w:hAnsi="Arial Narrow"/>
          <w:color w:val="FF0000"/>
          <w:sz w:val="24"/>
          <w:szCs w:val="24"/>
          <w:lang w:eastAsia="zh-CN"/>
        </w:rPr>
        <w:t>2025</w:t>
      </w:r>
      <w:r>
        <w:rPr>
          <w:rFonts w:ascii="Arial Narrow" w:hAnsi="Arial Narrow" w:cs="Arial Narrow" w:hint="eastAsia" w:eastAsia="仿宋_GB2312"/>
          <w:color w:val="FF0000"/>
          <w:sz w:val="24"/>
          <w:szCs w:val="24"/>
          <w:lang w:eastAsia="zh-CN"/>
        </w:rPr>
        <w:t>年度</w:t>
      </w:r>
      <w:r>
        <w:rPr>
          <w:rFonts w:ascii="Arial Narrow" w:hAnsi="Arial Narrow" w:cs="Arial Narrow" w:hint="eastAsia" w:eastAsia="仿宋_GB2312"/>
          <w:sz w:val="24"/>
          <w:szCs w:val="24"/>
          <w:lang w:eastAsia="zh-CN"/>
        </w:rPr>
        <w:t>的</w:t>
      </w:r>
      <w:r>
        <w:rPr>
          <w:rFonts w:ascii="Arial Narrow" w:hAnsi="Arial Narrow" w:cs="Arial Narrow" w:hint="eastAsia" w:eastAsia="仿宋_GB2312"/>
          <w:color w:val="FF0000"/>
          <w:sz w:val="24"/>
          <w:szCs w:val="24"/>
          <w:lang w:eastAsia="zh-CN"/>
        </w:rPr>
        <w:t>合并及公司</w:t>
      </w:r>
      <w:r>
        <w:rPr>
          <w:rFonts w:ascii="Arial Narrow" w:hAnsi="Arial Narrow" w:cs="Arial Narrow" w:hint="eastAsia" w:eastAsia="仿宋_GB2312"/>
          <w:sz w:val="24"/>
          <w:szCs w:val="24"/>
          <w:lang w:eastAsia="zh-CN"/>
        </w:rPr>
        <w:t>经营成果和现金流量。</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二、形成审计意见的基础</w:t>
      </w:r>
    </w:p>
    <w:p>
      <w:pPr>
        <w:pStyle w:val="Normal"/>
        <w:spacing w:lineRule="auto" w:line="300" w:before="120" w:after="0"/>
        <w:ind w:firstLineChars="200" w:startChars="0" w:start="0" w:endChars="0" w:end="0"/>
        <w:jc w:val="both"/>
        <w:rPr>
          <w:rFonts w:ascii="Arial Narrow" w:hAnsi="Arial Narrow" w:eastAsia="仿宋_GB2312" w:cs="宋体;SimSun"/>
          <w:spacing w:val="4"/>
          <w:sz w:val="24"/>
          <w:szCs w:val="24"/>
          <w:lang w:eastAsia="zh-CN"/>
        </w:rPr>
      </w:pPr>
      <w:r>
        <w:rPr>
          <w:rFonts w:ascii="Arial Narrow" w:hAnsi="Arial Narrow" w:cs="宋体;SimSun" w:hint="eastAsia"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w:t>
      </w:r>
      <w:r>
        <w:rPr>
          <w:rFonts w:ascii="Arial Narrow" w:hAnsi="Arial Narrow" w:cs="宋体;SimSun" w:hint="eastAsia" w:eastAsia="仿宋_GB2312"/>
          <w:spacing w:val="4"/>
          <w:sz w:val="24"/>
          <w:szCs w:val="24"/>
          <w:highlight w:val="cyan"/>
          <w:lang w:eastAsia="zh-CN"/>
        </w:rPr>
        <w:t>和中国注册会计师独立性准则对公众利益实体审计的独立性要求（如适用）</w:t>
      </w:r>
      <w:r>
        <w:rPr>
          <w:rFonts w:ascii="Arial Narrow" w:hAnsi="Arial Narrow" w:cs="宋体;SimSun" w:hint="eastAsia" w:eastAsia="仿宋_GB2312"/>
          <w:spacing w:val="4"/>
          <w:sz w:val="24"/>
          <w:szCs w:val="24"/>
          <w:lang w:eastAsia="zh-CN"/>
        </w:rPr>
        <w:t>，我们独立于</w:t>
      </w:r>
      <w:r>
        <w:rPr>
          <w:rFonts w:eastAsia="仿宋_GB2312" w:cs="Arial Narrow" w:ascii="Arial Narrow" w:hAnsi="Arial Narrow"/>
          <w:color w:val="FF0000"/>
          <w:spacing w:val="4"/>
          <w:sz w:val="24"/>
          <w:szCs w:val="24"/>
        </w:rPr>
        <w:t>ABC</w:t>
      </w:r>
      <w:r>
        <w:rPr>
          <w:rFonts w:ascii="Arial Narrow" w:hAnsi="Arial Narrow" w:cs="宋体;SimSun" w:hint="eastAsia" w:eastAsia="仿宋_GB2312"/>
          <w:spacing w:val="4"/>
          <w:sz w:val="24"/>
          <w:szCs w:val="24"/>
          <w:lang w:eastAsia="zh-CN"/>
        </w:rPr>
        <w:t>公司，并履行了职业道德方面的其他责任。我们相信，我们获取的审计证据是充分、适当的，为发表审计意见提供了基础。</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三、其他信息</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公司管理层（以下简称管理层）对其他信息负责。其他信息包括</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w:t>
      </w:r>
      <w:r>
        <w:rPr>
          <w:rFonts w:eastAsia="仿宋_GB2312" w:cs="Arial Narrow" w:ascii="Arial Narrow" w:hAnsi="Arial Narrow"/>
          <w:color w:val="FF0000"/>
          <w:spacing w:val="4"/>
          <w:sz w:val="24"/>
          <w:szCs w:val="24"/>
          <w:lang w:eastAsia="zh-CN"/>
        </w:rPr>
        <w:t>2025</w:t>
      </w:r>
      <w:r>
        <w:rPr>
          <w:rFonts w:ascii="Arial Narrow" w:hAnsi="Arial Narrow" w:cs="Arial Narrow" w:hint="eastAsia" w:eastAsia="仿宋_GB2312"/>
          <w:color w:val="FF0000"/>
          <w:spacing w:val="4"/>
          <w:sz w:val="24"/>
          <w:szCs w:val="24"/>
          <w:lang w:eastAsia="zh-CN"/>
        </w:rPr>
        <w:t>年年度报告</w:t>
      </w:r>
      <w:r>
        <w:rPr>
          <w:rFonts w:ascii="Arial Narrow" w:hAnsi="Arial Narrow" w:cs="Arial Narrow" w:hint="eastAsia" w:eastAsia="仿宋_GB2312"/>
          <w:spacing w:val="4"/>
          <w:sz w:val="24"/>
          <w:szCs w:val="24"/>
          <w:lang w:eastAsia="zh-CN"/>
        </w:rPr>
        <w:t>中涵盖的信息，但不包括财务报表和我们的审计报告。</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我们对财务报表发表的审计意见不涵盖其他信息，我们也不对其他信息发表任何形式的鉴证结论。</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基于我们已执行的工作，如果我们确定其他信息存在重大错报，我们应当报告该事实。在这方面，我们无任何事项需要报告。</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四、管理层和治理层对财务报表的责任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公司管理层负责按照企业会计准则的规定编制财务报表，使其实现公允反映，并设计、执行和维护必要的内部控制，以使财务报表不存在由于舞弊或错误导致的重大错报。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在编制财务报表时，管理层负责评估</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公司的持续经营能力，披露与持续经营相关的事项（如适用），并运用持续经营假设，除非管理层计划清算</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公司、终止运营或别无其他现实的选择。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治理层负责监督</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公司的财务报告过程。</w:t>
      </w:r>
    </w:p>
    <w:p>
      <w:pPr>
        <w:pStyle w:val="Normal"/>
        <w:numPr>
          <w:ilvl w:val="0"/>
          <w:numId w:val="0"/>
        </w:numPr>
        <w:spacing w:lineRule="auto" w:line="300" w:before="120" w:after="120"/>
        <w:ind w:firstLineChars="200" w:startChars="0" w:start="0" w:endChars="0" w:end="0"/>
        <w:jc w:val="both"/>
        <w:outlineLvl w:val="0"/>
        <w:rPr>
          <w:rFonts w:ascii="Arial Narrow" w:hAnsi="Arial Narrow" w:eastAsia="仿宋_GB2312" w:cs="Arial Narrow"/>
          <w:b/>
          <w:bCs/>
          <w:sz w:val="24"/>
          <w:szCs w:val="24"/>
        </w:rPr>
      </w:pPr>
      <w:r>
        <w:rPr>
          <w:rFonts w:ascii="Arial Narrow" w:hAnsi="Arial Narrow" w:cs="Arial Narrow" w:hint="eastAsia" w:eastAsia="仿宋_GB2312"/>
          <w:b/>
          <w:bCs/>
          <w:sz w:val="24"/>
          <w:szCs w:val="24"/>
        </w:rPr>
        <w:t>五、注册会计师对财务报表审计的责任</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在按照审计准则执行审计工作的过程中，我们运用职业判断，并保持职业怀疑。同时，我们也执行以下工作：</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1</w:t>
      </w:r>
      <w:r>
        <w:rPr>
          <w:rFonts w:ascii="Arial Narrow" w:hAnsi="Arial Narrow" w:cs="Arial Narrow" w:hint="eastAsia" w:eastAsia="仿宋_GB2312"/>
          <w:spacing w:val="4"/>
          <w:sz w:val="24"/>
          <w:szCs w:val="24"/>
          <w:lang w:eastAsia="zh-CN"/>
        </w:rPr>
        <w:t>）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2</w:t>
      </w:r>
      <w:r>
        <w:rPr>
          <w:rFonts w:ascii="Arial Narrow" w:hAnsi="Arial Narrow" w:cs="Arial Narrow" w:hint="eastAsia" w:eastAsia="仿宋_GB2312"/>
          <w:spacing w:val="4"/>
          <w:sz w:val="24"/>
          <w:szCs w:val="24"/>
          <w:lang w:eastAsia="zh-CN"/>
        </w:rPr>
        <w:t>）了解与审计相关的内部控制，以设计恰当的审计程序</w:t>
      </w:r>
      <w:r>
        <w:rPr>
          <w:rFonts w:ascii="Arial Narrow" w:hAnsi="Arial Narrow" w:cs="Arial Narrow" w:hint="eastAsia" w:eastAsia="仿宋_GB2312"/>
          <w:color w:val="FF0000"/>
          <w:spacing w:val="4"/>
          <w:sz w:val="24"/>
          <w:szCs w:val="24"/>
          <w:lang w:eastAsia="zh-CN"/>
        </w:rPr>
        <w:t>，但目的并非对内部控制的有效性发表意见</w:t>
      </w:r>
      <w:r>
        <w:rPr>
          <w:rFonts w:ascii="Arial Narrow" w:hAnsi="Arial Narrow" w:cs="Arial Narrow" w:hint="eastAsia" w:eastAsia="仿宋_GB2312"/>
          <w:spacing w:val="4"/>
          <w:sz w:val="24"/>
          <w:szCs w:val="24"/>
          <w:lang w:eastAsia="zh-CN"/>
        </w:rPr>
        <w:t>。</w:t>
      </w:r>
      <w:r>
        <w:rPr>
          <w:rFonts w:ascii="Arial Narrow" w:hAnsi="Arial Narrow" w:cs="Arial Narrow" w:hint="eastAsia" w:eastAsia="仿宋_GB2312"/>
          <w:color w:val="0000FF"/>
          <w:spacing w:val="4"/>
          <w:sz w:val="24"/>
          <w:szCs w:val="24"/>
          <w:lang w:eastAsia="zh-CN"/>
        </w:rPr>
        <w:t>【如果注册会计师结合财务报表审计对内部控制的有效性发表意见，应当删除“但目的并非对内部控制的有效性发表意见”的措辞。】</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3</w:t>
      </w:r>
      <w:r>
        <w:rPr>
          <w:rFonts w:ascii="Arial Narrow" w:hAnsi="Arial Narrow" w:cs="Arial Narrow" w:hint="eastAsia" w:eastAsia="仿宋_GB2312"/>
          <w:spacing w:val="4"/>
          <w:sz w:val="24"/>
          <w:szCs w:val="24"/>
          <w:lang w:eastAsia="zh-CN"/>
        </w:rPr>
        <w:t>）评价管理层选用会计政策的恰当性和作出会计估计及相关披露的合理性。</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4</w:t>
      </w:r>
      <w:r>
        <w:rPr>
          <w:rFonts w:ascii="Arial Narrow" w:hAnsi="Arial Narrow" w:cs="Arial Narrow" w:hint="eastAsia" w:eastAsia="仿宋_GB2312"/>
          <w:spacing w:val="4"/>
          <w:sz w:val="24"/>
          <w:szCs w:val="24"/>
          <w:lang w:eastAsia="zh-CN"/>
        </w:rPr>
        <w:t>）对管理层使用持续经营假设的恰当性得出结论。同时，根据所获取的审计证据，就可能导致对</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公司不能持续经营。</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5</w:t>
      </w:r>
      <w:r>
        <w:rPr>
          <w:rFonts w:ascii="Arial Narrow" w:hAnsi="Arial Narrow" w:cs="Arial Narrow" w:hint="eastAsia" w:eastAsia="仿宋_GB2312"/>
          <w:spacing w:val="4"/>
          <w:sz w:val="24"/>
          <w:szCs w:val="24"/>
          <w:lang w:eastAsia="zh-CN"/>
        </w:rPr>
        <w:t>）评价财务报表的总体列报、结构和内容（包括披露），并评价财务报表是否公允反映相关交易和事项。</w:t>
      </w:r>
    </w:p>
    <w:p>
      <w:pPr>
        <w:pStyle w:val="Normal"/>
        <w:spacing w:lineRule="auto" w:line="300" w:before="120" w:after="0"/>
        <w:ind w:firstLineChars="200" w:startChars="0" w:start="0" w:endChars="0" w:end="0"/>
        <w:jc w:val="both"/>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w:t>
      </w:r>
      <w:r>
        <w:rPr>
          <w:rFonts w:eastAsia="仿宋_GB2312" w:cs="Arial Narrow" w:hint="eastAsia" w:ascii="Arial Narrow" w:hAnsi="Arial Narrow"/>
          <w:spacing w:val="4"/>
          <w:sz w:val="24"/>
          <w:szCs w:val="24"/>
          <w:lang w:eastAsia="zh-CN"/>
        </w:rPr>
        <w:t>6</w:t>
      </w:r>
      <w:r>
        <w:rPr>
          <w:rFonts w:ascii="Arial Narrow" w:hAnsi="Arial Narrow" w:cs="Arial Narrow" w:hint="eastAsia" w:eastAsia="仿宋_GB2312"/>
          <w:spacing w:val="4"/>
          <w:sz w:val="24"/>
          <w:szCs w:val="24"/>
          <w:lang w:eastAsia="zh-CN"/>
        </w:rPr>
        <w:t>）就</w:t>
      </w:r>
      <w:r>
        <w:rPr>
          <w:rFonts w:eastAsia="仿宋_GB2312" w:cs="Arial Narrow" w:ascii="Arial Narrow" w:hAnsi="Arial Narrow"/>
          <w:color w:val="FF0000"/>
          <w:spacing w:val="4"/>
          <w:sz w:val="24"/>
          <w:szCs w:val="24"/>
          <w:lang w:eastAsia="zh-CN"/>
        </w:rPr>
        <w:t>ABC</w:t>
      </w:r>
      <w:r>
        <w:rPr>
          <w:rFonts w:ascii="Arial Narrow" w:hAnsi="Arial Narrow" w:cs="Arial Narrow" w:hint="eastAsia" w:eastAsia="仿宋_GB2312"/>
          <w:spacing w:val="4"/>
          <w:sz w:val="24"/>
          <w:szCs w:val="24"/>
          <w:lang w:eastAsia="zh-CN"/>
        </w:rPr>
        <w:t>公司中实体或业务活动的财务信息获取充分、适当的审计证据，以对财务报表发表意见。我们负责指导、监督和执行集团审计，并对审计意见承担全部责任。</w:t>
      </w:r>
      <w:r>
        <w:rPr>
          <w:rFonts w:ascii="Arial Narrow" w:hAnsi="Arial Narrow" w:cs="Arial Narrow" w:hint="eastAsia" w:eastAsia="仿宋_GB2312"/>
          <w:color w:val="0000FF"/>
          <w:spacing w:val="4"/>
          <w:sz w:val="24"/>
          <w:szCs w:val="24"/>
          <w:lang w:eastAsia="zh-CN"/>
        </w:rPr>
        <w:t>【如果不是集团审计，例如</w:t>
      </w:r>
      <w:r>
        <w:rPr>
          <w:rFonts w:ascii="Arial Narrow" w:hAnsi="Arial Narrow" w:cs="Arial Narrow" w:eastAsia="仿宋_GB2312"/>
          <w:color w:val="0000FF"/>
          <w:spacing w:val="4"/>
          <w:sz w:val="24"/>
          <w:szCs w:val="24"/>
          <w:lang w:eastAsia="zh-CN"/>
        </w:rPr>
        <w:t>被审计</w:t>
      </w:r>
      <w:r>
        <w:rPr>
          <w:rFonts w:ascii="Arial Narrow" w:hAnsi="Arial Narrow" w:cs="Arial Narrow" w:hint="eastAsia" w:eastAsia="仿宋_GB2312"/>
          <w:color w:val="0000FF"/>
          <w:spacing w:val="4"/>
          <w:sz w:val="24"/>
          <w:szCs w:val="24"/>
          <w:lang w:eastAsia="zh-CN"/>
        </w:rPr>
        <w:t>单位</w:t>
      </w:r>
      <w:r>
        <w:rPr>
          <w:rFonts w:ascii="Arial Narrow" w:hAnsi="Arial Narrow" w:cs="Arial Narrow" w:eastAsia="仿宋_GB2312"/>
          <w:color w:val="0000FF"/>
          <w:spacing w:val="4"/>
          <w:sz w:val="24"/>
          <w:szCs w:val="24"/>
          <w:lang w:eastAsia="zh-CN"/>
        </w:rPr>
        <w:t>是单一</w:t>
      </w:r>
      <w:r>
        <w:rPr>
          <w:rFonts w:ascii="Arial Narrow" w:hAnsi="Arial Narrow" w:cs="Arial Narrow" w:hint="eastAsia" w:eastAsia="仿宋_GB2312"/>
          <w:color w:val="0000FF"/>
          <w:spacing w:val="4"/>
          <w:sz w:val="24"/>
          <w:szCs w:val="24"/>
          <w:lang w:eastAsia="zh-CN"/>
        </w:rPr>
        <w:t>主体且无重大对外投资，</w:t>
      </w:r>
      <w:r>
        <w:rPr>
          <w:rFonts w:ascii="Arial Narrow" w:hAnsi="Arial Narrow" w:cs="Arial Narrow" w:eastAsia="仿宋_GB2312"/>
          <w:color w:val="0000FF"/>
          <w:spacing w:val="4"/>
          <w:sz w:val="24"/>
          <w:szCs w:val="24"/>
          <w:lang w:eastAsia="zh-CN"/>
        </w:rPr>
        <w:t>则删除本段</w:t>
      </w:r>
      <w:r>
        <w:rPr>
          <w:rFonts w:ascii="Arial Narrow" w:hAnsi="Arial Narrow" w:cs="Arial Narrow" w:hint="eastAsia" w:eastAsia="仿宋_GB2312"/>
          <w:color w:val="0000FF"/>
          <w:spacing w:val="4"/>
          <w:sz w:val="24"/>
          <w:szCs w:val="24"/>
          <w:lang w:eastAsia="zh-CN"/>
        </w:rPr>
        <w:t>。】</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ascii="Arial Narrow" w:hAnsi="Arial Narrow" w:cs="Arial Narrow" w:hint="eastAsia" w:eastAsia="仿宋_GB2312"/>
          <w:spacing w:val="4"/>
          <w:sz w:val="24"/>
          <w:szCs w:val="24"/>
          <w:lang w:eastAsia="zh-CN"/>
        </w:rPr>
        <w:t>我们与治理层就计划的审计范围、时间安排和重大审计发现等事项进行沟通，包括沟通我们在审计中识别出的值得关注的内部控制缺陷。</w:t>
      </w:r>
    </w:p>
    <w:p>
      <w:pPr>
        <w:pStyle w:val="Normal"/>
        <w:spacing w:lineRule="auto" w:line="300" w:before="120" w:after="0"/>
        <w:ind w:firstLineChars="200" w:startChars="0" w:start="0" w:endChars="0" w:end="0"/>
        <w:jc w:val="both"/>
        <w:rPr>
          <w:rFonts w:ascii="Arial Narrow" w:hAnsi="Arial Narrow" w:eastAsia="仿宋_GB2312" w:cs="Arial Narrow" w:hint="eastAsia"/>
          <w:spacing w:val="4"/>
          <w:sz w:val="24"/>
          <w:szCs w:val="24"/>
          <w:lang w:eastAsia="zh-CN"/>
        </w:rPr>
      </w:pPr>
      <w:r>
        <w:rPr>
          <w:rFonts w:eastAsia="仿宋_GB2312" w:cs="Arial Narrow" w:hint="eastAsia" w:ascii="Arial Narrow" w:hAnsi="Arial Narrow"/>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color w:val="0000FF"/>
          <w:spacing w:val="4"/>
          <w:sz w:val="24"/>
          <w:szCs w:val="24"/>
          <w:lang w:eastAsia="zh-CN"/>
        </w:rPr>
      </w:pPr>
      <w:r>
        <w:rPr>
          <w:rFonts w:eastAsia="仿宋_GB2312" w:cs="Arial Narrow" w:ascii="Arial Narrow" w:hAnsi="Arial Narrow"/>
          <w:color w:val="0000FF"/>
          <w:spacing w:val="4"/>
          <w:sz w:val="24"/>
          <w:szCs w:val="24"/>
          <w:lang w:eastAsia="zh-CN"/>
        </w:rPr>
      </w:r>
    </w:p>
    <w:p>
      <w:pPr>
        <w:pStyle w:val="Normal"/>
        <w:spacing w:lineRule="auto" w:line="300" w:before="120" w:after="0"/>
        <w:ind w:firstLineChars="200" w:startChars="0" w:start="0" w:endChars="0" w:end="0"/>
        <w:jc w:val="both"/>
        <w:rPr>
          <w:rFonts w:ascii="Arial Narrow" w:hAnsi="Arial Narrow" w:eastAsia="仿宋_GB2312" w:cs="Arial Narrow" w:hint="eastAsia"/>
          <w:color w:val="0000FF"/>
          <w:sz w:val="24"/>
          <w:szCs w:val="24"/>
          <w:lang w:eastAsia="zh-CN"/>
        </w:rPr>
      </w:pPr>
      <w:r>
        <w:rPr>
          <w:rFonts w:eastAsia="仿宋_GB2312" w:cs="Arial Narrow" w:hint="eastAsia" w:ascii="Arial Narrow" w:hAnsi="Arial Narrow"/>
          <w:color w:val="0000FF"/>
          <w:sz w:val="24"/>
          <w:szCs w:val="24"/>
          <w:lang w:eastAsia="zh-CN"/>
        </w:rPr>
      </w:r>
    </w:p>
    <w:tbl>
      <w:tblPr>
        <w:tblpPr w:vertAnchor="text" w:horzAnchor="margin" w:tblpXSpec="center" w:leftFromText="181" w:rightFromText="181" w:tblpY="1"/>
        <w:tblOverlap w:val="never"/>
        <w:tblW w:w="8549" w:type="dxa"/>
        <w:jc w:val="start"/>
        <w:tblInd w:w="108" w:type="dxa"/>
        <w:tblLayout w:type="fixed"/>
        <w:tblCellMar>
          <w:top w:w="0" w:type="dxa"/>
          <w:start w:w="108" w:type="dxa"/>
          <w:bottom w:w="0" w:type="dxa"/>
          <w:end w:w="108" w:type="dxa"/>
        </w:tblCellMar>
      </w:tblPr>
      <w:tblGrid>
        <w:gridCol w:w="3108"/>
        <w:gridCol w:w="3237"/>
        <w:gridCol w:w="2204"/>
      </w:tblGrid>
      <w:tr>
        <w:trPr>
          <w:trHeight w:val="1305"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pacing w:val="4"/>
                <w:sz w:val="24"/>
                <w:szCs w:val="24"/>
                <w:lang w:eastAsia="zh-CN"/>
              </w:rPr>
              <w:t>致同会计师事务所</w:t>
            </w:r>
          </w:p>
          <w:p>
            <w:pPr>
              <w:pStyle w:val="Normal"/>
              <w:spacing w:lineRule="atLeast" w:line="340"/>
              <w:rPr>
                <w:rFonts w:ascii="Arial Narrow" w:hAnsi="Arial Narrow" w:eastAsia="仿宋_GB2312" w:cs="Arial Narrow"/>
                <w:sz w:val="24"/>
                <w:szCs w:val="24"/>
                <w:lang w:eastAsia="zh-CN"/>
              </w:rPr>
            </w:pPr>
            <w:r>
              <w:rPr>
                <w:rFonts w:ascii="Arial Narrow" w:hAnsi="Arial Narrow" w:cs="Arial Narrow" w:hint="eastAsia" w:eastAsia="仿宋_GB2312"/>
                <w:spacing w:val="4"/>
                <w:sz w:val="24"/>
                <w:szCs w:val="24"/>
                <w:lang w:eastAsia="zh-CN"/>
              </w:rPr>
              <w:t>（特殊普通合伙）</w:t>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p>
            <w:pPr>
              <w:pStyle w:val="Normal"/>
              <w:spacing w:lineRule="atLeast" w:line="340"/>
              <w:rPr>
                <w:rFonts w:ascii="Arial Narrow" w:hAnsi="Arial Narrow" w:eastAsia="仿宋_GB2312" w:cs="Arial Narrow"/>
                <w:color w:val="FF0000"/>
                <w:sz w:val="24"/>
                <w:szCs w:val="24"/>
                <w:highlight w:val="cyan"/>
                <w:lang w:val="en-AU" w:eastAsia="zh-CN"/>
              </w:rPr>
            </w:pPr>
            <w:r>
              <w:rPr>
                <w:rFonts w:eastAsia="仿宋_GB2312" w:cs="Arial Narrow" w:ascii="Arial Narrow" w:hAnsi="Arial Narrow"/>
                <w:color w:val="FF0000"/>
                <w:sz w:val="24"/>
                <w:szCs w:val="24"/>
                <w:highlight w:val="cyan"/>
                <w:lang w:val="en-AU" w:eastAsia="zh-CN"/>
              </w:rPr>
            </w:r>
          </w:p>
        </w:tc>
        <w:tc>
          <w:tcPr>
            <w:tcW w:w="3237" w:type="dxa"/>
            <w:tcBorders/>
          </w:tcPr>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340"/>
              <w:jc w:val="end"/>
              <w:rPr>
                <w:rFonts w:ascii="Arial Narrow" w:hAnsi="Arial Narrow" w:eastAsia="仿宋_GB2312" w:cs="Arial Narrow"/>
                <w:sz w:val="24"/>
                <w:szCs w:val="24"/>
                <w:lang w:val="en-AU" w:eastAsia="zh-CN"/>
              </w:rPr>
            </w:pPr>
            <w:r>
              <w:rPr>
                <w:rFonts w:eastAsia="仿宋_GB2312" w:cs="Arial Narrow" w:ascii="Arial Narrow" w:hAnsi="Arial Narrow"/>
                <w:sz w:val="24"/>
                <w:szCs w:val="24"/>
                <w:lang w:val="en-AU" w:eastAsia="zh-CN"/>
              </w:rPr>
            </w:r>
          </w:p>
          <w:p>
            <w:pPr>
              <w:pStyle w:val="Normal"/>
              <w:spacing w:lineRule="atLeast" w:line="340"/>
              <w:jc w:val="end"/>
              <w:rPr>
                <w:rFonts w:ascii="Arial Narrow" w:hAnsi="Arial Narrow" w:eastAsia="仿宋_GB2312" w:cs="Arial Narrow"/>
                <w:sz w:val="24"/>
                <w:szCs w:val="24"/>
                <w:lang w:eastAsia="zh-CN"/>
              </w:rPr>
            </w:pPr>
            <w:r>
              <w:rPr>
                <w:rFonts w:ascii="Arial Narrow" w:hAnsi="Arial Narrow" w:cs="Arial Narrow" w:hint="eastAsia" w:eastAsia="仿宋_GB2312"/>
                <w:sz w:val="24"/>
                <w:szCs w:val="24"/>
                <w:lang w:eastAsia="zh-CN"/>
              </w:rPr>
              <w:t>中国注册会计师</w:t>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p>
            <w:pPr>
              <w:pStyle w:val="Normal"/>
              <w:spacing w:lineRule="atLeast" w:line="340"/>
              <w:jc w:val="end"/>
              <w:rPr>
                <w:rFonts w:ascii="Arial Narrow" w:hAnsi="Arial Narrow" w:eastAsia="仿宋_GB2312" w:cs="Arial Narrow"/>
                <w:color w:val="0000FF"/>
                <w:sz w:val="24"/>
                <w:szCs w:val="24"/>
                <w:lang w:eastAsia="zh-CN"/>
              </w:rPr>
            </w:pPr>
            <w:r>
              <w:rPr>
                <w:rFonts w:eastAsia="仿宋_GB2312" w:cs="Arial Narrow" w:ascii="Arial Narrow" w:hAnsi="Arial Narrow"/>
                <w:color w:val="0000FF"/>
                <w:sz w:val="24"/>
                <w:szCs w:val="24"/>
                <w:lang w:eastAsia="zh-CN"/>
              </w:rPr>
            </w:r>
          </w:p>
        </w:tc>
        <w:tc>
          <w:tcPr>
            <w:tcW w:w="2204" w:type="dxa"/>
            <w:tcBorders/>
          </w:tcPr>
          <w:p>
            <w:pPr>
              <w:pStyle w:val="Normal"/>
              <w:snapToGrid w:val="false"/>
              <w:spacing w:lineRule="atLeast" w:line="34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sz w:val="24"/>
                <w:szCs w:val="24"/>
                <w:lang w:eastAsia="zh-CN"/>
              </w:rPr>
            </w:pPr>
            <w:r>
              <w:rPr>
                <w:rFonts w:eastAsia="仿宋_GB2312" w:cs="Arial Narrow" w:ascii="Arial Narrow" w:hAnsi="Arial Narrow"/>
                <w:sz w:val="24"/>
                <w:szCs w:val="24"/>
                <w:lang w:eastAsia="zh-CN"/>
              </w:rPr>
            </w:r>
          </w:p>
          <w:p>
            <w:pPr>
              <w:pStyle w:val="Normal"/>
              <w:spacing w:lineRule="atLeast" w:line="200"/>
              <w:rPr>
                <w:rFonts w:ascii="Arial Narrow" w:hAnsi="Arial Narrow" w:eastAsia="仿宋_GB2312" w:cs="Arial Narrow"/>
                <w:color w:val="FF0000"/>
                <w:sz w:val="24"/>
                <w:szCs w:val="24"/>
                <w:lang w:eastAsia="zh-CN"/>
              </w:rPr>
            </w:pPr>
            <w:r>
              <w:rPr>
                <w:rFonts w:eastAsia="仿宋_GB2312" w:cs="Arial Narrow" w:ascii="Arial Narrow" w:hAnsi="Arial Narrow"/>
                <w:color w:val="FF0000"/>
                <w:sz w:val="24"/>
                <w:szCs w:val="24"/>
                <w:lang w:eastAsia="zh-CN"/>
              </w:rPr>
            </w:r>
          </w:p>
        </w:tc>
      </w:tr>
      <w:tr>
        <w:trPr>
          <w:trHeight w:val="507" w:hRule="atLeast"/>
        </w:trPr>
        <w:tc>
          <w:tcPr>
            <w:tcW w:w="3108" w:type="dxa"/>
            <w:tcBorders/>
          </w:tcPr>
          <w:p>
            <w:pPr>
              <w:pStyle w:val="Normal"/>
              <w:spacing w:lineRule="atLeast" w:line="340"/>
              <w:rPr>
                <w:rFonts w:ascii="Arial Narrow" w:hAnsi="Arial Narrow" w:eastAsia="仿宋_GB2312" w:cs="Arial Narrow"/>
                <w:spacing w:val="4"/>
                <w:sz w:val="24"/>
                <w:szCs w:val="24"/>
                <w:lang w:eastAsia="zh-CN"/>
              </w:rPr>
            </w:pPr>
            <w:r>
              <w:rPr>
                <w:rFonts w:ascii="Arial Narrow" w:hAnsi="Arial Narrow" w:cs="Arial Narrow" w:hint="eastAsia" w:eastAsia="仿宋_GB2312"/>
                <w:sz w:val="24"/>
                <w:szCs w:val="24"/>
                <w:lang w:eastAsia="zh-CN"/>
              </w:rPr>
              <w:t>中国</w:t>
            </w:r>
            <w:r>
              <w:rPr>
                <w:rFonts w:eastAsia="仿宋_GB2312" w:cs="Arial Narrow" w:hint="eastAsia" w:ascii="Arial Narrow" w:hAnsi="Arial Narrow"/>
                <w:spacing w:val="4"/>
                <w:sz w:val="24"/>
                <w:szCs w:val="24"/>
                <w:lang w:eastAsia="zh-CN"/>
              </w:rPr>
              <w:t>·</w:t>
            </w:r>
            <w:r>
              <w:rPr>
                <w:rFonts w:ascii="Arial Narrow" w:hAnsi="Arial Narrow" w:cs="Arial Narrow" w:hint="eastAsia" w:eastAsia="仿宋_GB2312"/>
                <w:sz w:val="24"/>
                <w:szCs w:val="24"/>
                <w:lang w:eastAsia="zh-CN"/>
              </w:rPr>
              <w:t>北京</w:t>
            </w:r>
          </w:p>
        </w:tc>
        <w:tc>
          <w:tcPr>
            <w:tcW w:w="5441" w:type="dxa"/>
            <w:gridSpan w:val="2"/>
            <w:tcBorders/>
          </w:tcPr>
          <w:p>
            <w:pPr>
              <w:pStyle w:val="Normal"/>
              <w:spacing w:lineRule="atLeast" w:line="340"/>
              <w:ind w:firstLineChars="550" w:startChars="0" w:start="0" w:endChars="0" w:end="0"/>
              <w:rPr>
                <w:rFonts w:ascii="Arial Narrow" w:hAnsi="Arial Narrow" w:eastAsia="仿宋_GB2312" w:cs="Arial Narrow"/>
                <w:color w:val="FF0000"/>
                <w:sz w:val="24"/>
                <w:szCs w:val="24"/>
                <w:lang w:eastAsia="zh-CN"/>
              </w:rPr>
            </w:pPr>
            <w:r>
              <w:rPr>
                <w:rFonts w:ascii="Arial Narrow" w:hAnsi="Arial Narrow" w:cs="Arial Narrow" w:hint="eastAsia" w:eastAsia="仿宋_GB2312"/>
                <w:color w:val="FF0000"/>
                <w:sz w:val="24"/>
                <w:szCs w:val="24"/>
                <w:lang w:eastAsia="zh-CN"/>
              </w:rPr>
              <w:t xml:space="preserve">二〇二六年 </w:t>
            </w:r>
            <w:r>
              <w:rPr>
                <w:rFonts w:eastAsia="仿宋_GB2312" w:cs="Arial Narrow" w:hint="eastAsia" w:ascii="Arial Narrow" w:hAnsi="Arial Narrow"/>
                <w:color w:val="FF0000"/>
                <w:sz w:val="24"/>
                <w:szCs w:val="24"/>
                <w:lang w:eastAsia="zh-CN"/>
              </w:rPr>
              <w:t xml:space="preserve">X </w:t>
            </w:r>
            <w:r>
              <w:rPr>
                <w:rFonts w:ascii="Arial Narrow" w:hAnsi="Arial Narrow" w:cs="Arial Narrow" w:hint="eastAsia" w:eastAsia="仿宋_GB2312"/>
                <w:color w:val="FF0000"/>
                <w:sz w:val="24"/>
                <w:szCs w:val="24"/>
                <w:lang w:eastAsia="zh-CN"/>
              </w:rPr>
              <w:t>月</w:t>
            </w:r>
            <w:r>
              <w:rPr>
                <w:rFonts w:eastAsia="仿宋_GB2312" w:cs="Arial Narrow" w:hint="eastAsia" w:ascii="Arial Narrow" w:hAnsi="Arial Narrow"/>
                <w:color w:val="FF0000"/>
                <w:sz w:val="24"/>
                <w:szCs w:val="24"/>
                <w:lang w:eastAsia="zh-CN"/>
              </w:rPr>
              <w:t>XX</w:t>
            </w:r>
            <w:r>
              <w:rPr>
                <w:rFonts w:ascii="Arial Narrow" w:hAnsi="Arial Narrow" w:cs="Arial Narrow" w:hint="eastAsia" w:eastAsia="仿宋_GB2312"/>
                <w:color w:val="FF0000"/>
                <w:sz w:val="24"/>
                <w:szCs w:val="24"/>
                <w:lang w:eastAsia="zh-CN"/>
              </w:rPr>
              <w:t>日</w:t>
            </w:r>
          </w:p>
        </w:tc>
      </w:tr>
    </w:tbl>
    <w:p>
      <w:pPr>
        <w:pStyle w:val="Normal"/>
        <w:rPr>
          <w:rFonts w:ascii="Arial Narrow" w:hAnsi="Arial Narrow" w:eastAsia="仿宋_GB2312" w:cs="Arial Narrow" w:hint="eastAsia"/>
          <w:lang w:eastAsia="zh-CN"/>
        </w:rPr>
      </w:pPr>
      <w:r>
        <w:rPr>
          <w:rFonts w:eastAsia="仿宋_GB2312" w:cs="Arial Narrow" w:hint="eastAsia" w:ascii="Arial Narrow" w:hAnsi="Arial Narrow"/>
          <w:lang w:eastAsia="zh-CN"/>
        </w:rPr>
      </w:r>
    </w:p>
    <w:sectPr>
      <w:headerReference w:type="default" r:id="rId6"/>
      <w:headerReference w:type="first" r:id="rId7"/>
      <w:footerReference w:type="default" r:id="rId8"/>
      <w:footerReference w:type="first" r:id="rId9"/>
      <w:type w:val="nextPage"/>
      <w:pgSz w:w="11906" w:h="16838"/>
      <w:pgMar w:left="1985" w:right="1803" w:gutter="0" w:header="850" w:top="2835" w:footer="850" w:bottom="1440"/>
      <w:pgNumType w:start="1" w:fmt="decimal"/>
      <w:formProt w:val="false"/>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Optimum">
    <w:altName w:val="Times New Roman"/>
    <w:charset w:val="00" w:characterSet="windows-1252"/>
    <w:family w:val="auto"/>
    <w:pitch w:val="default"/>
  </w:font>
  <w:font w:name="Wingdings">
    <w:charset w:val="02"/>
    <w:family w:val="auto"/>
    <w:pitch w:val="variable"/>
  </w:font>
  <w:font w:name="宋体">
    <w:altName w:val="SimSun"/>
    <w:charset w:val="86"/>
    <w:family w:val="auto"/>
    <w:pitch w:val="variable"/>
  </w:font>
  <w:font w:name="Liberation Sans">
    <w:altName w:val="Arial"/>
    <w:charset w:val="86"/>
    <w:family w:val="swiss"/>
    <w:pitch w:val="variable"/>
  </w:font>
  <w:font w:name="Univers">
    <w:altName w:val="Arial"/>
    <w:charset w:val="00" w:characterSet="windows-1252"/>
    <w:family w:val="swiss"/>
    <w:pitch w:val="default"/>
  </w:font>
  <w:font w:name="Garamond">
    <w:charset w:val="00" w:characterSet="windows-1252"/>
    <w:family w:val="roman"/>
    <w:pitch w:val="variable"/>
  </w:font>
  <w:font w:name="Arial Narrow">
    <w:charset w:val="00" w:characterSet="windows-1252"/>
    <w:family w:val="swiss"/>
    <w:pitch w:val="variable"/>
  </w:font>
  <w:font w:name="挀甀洀攀渀">
    <w:altName w:val="仿宋"/>
    <w:charset w:val="86"/>
    <w:family w:val="auto"/>
    <w:pitch w:val="default"/>
  </w:font>
  <w:font w:name="黑体">
    <w:altName w:val="SimHei"/>
    <w:charset w:val="86"/>
    <w:family w:val="modern"/>
    <w:pitch w:val="default"/>
  </w:font>
  <w:font w:name="仿宋_GB2312">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Univers;Arial" w:hAnsi="Univers;Arial" w:cs="Univers;Arial"/>
        <w:sz w:val="14"/>
      </w:rPr>
    </w:pPr>
    <w:r>
      <w:rPr>
        <w:rFonts w:cs="Univers;Arial" w:ascii="Univers;Arial" w:hAnsi="Univers;Arial"/>
        <w:sz w:val="14"/>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4</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end="900"/>
      <w:jc w:val="both"/>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480"/>
      <w:ind w:end="900"/>
      <w:jc w:val="both"/>
      <w:rPr>
        <w:lang w:val="zh-CN" w:eastAsia="zh-CN"/>
      </w:rPr>
    </w:pPr>
    <w:r>
      <w:rPr>
        <w:lang w:val="zh-CN" w:eastAsia="zh-CN"/>
      </w:rPr>
      <w:drawing>
        <wp:anchor distT="0" distB="0" distL="114935" distR="114935" simplePos="0" relativeHeight="7"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bwMode="auto">
                  <a:xfrm>
                    <a:off x="0" y="0"/>
                    <a:ext cx="1843405" cy="629285"/>
                  </a:xfrm>
                  <a:prstGeom prst="rect">
                    <a:avLst/>
                  </a:prstGeom>
                  <a:noFill/>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227"/>
        </w:tabs>
        <w:ind w:start="227" w:hanging="227"/>
      </w:pPr>
      <w:rPr>
        <w:rFonts w:ascii="Symbol" w:hAnsi="Symbol" w:cs="Symbol" w:hint="default"/>
        <w:color w:val="000000"/>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1080"/>
        </w:tabs>
        <w:ind w:start="1080" w:hanging="360"/>
      </w:pPr>
      <w:rPr>
        <w:rFonts w:ascii="Wingdings" w:hAnsi="Wingdings" w:cs="Wingdings" w:hint="default"/>
      </w:rPr>
    </w:lvl>
    <w:lvl w:ilvl="3">
      <w:start w:val="1"/>
      <w:numFmt w:val="bullet"/>
      <w:lvlText w:val=""/>
      <w:lvlJc w:val="start"/>
      <w:pPr>
        <w:tabs>
          <w:tab w:val="num" w:pos="1440"/>
        </w:tabs>
        <w:ind w:start="1440" w:hanging="360"/>
      </w:pPr>
      <w:rPr>
        <w:rFonts w:ascii="Symbol" w:hAnsi="Symbol" w:cs="Symbol" w:hint="default"/>
      </w:rPr>
    </w:lvl>
    <w:lvl w:ilvl="4">
      <w:start w:val="1"/>
      <w:numFmt w:val="bullet"/>
      <w:lvlText w:val=""/>
      <w:lvlJc w:val="start"/>
      <w:pPr>
        <w:tabs>
          <w:tab w:val="num" w:pos="1800"/>
        </w:tabs>
        <w:ind w:start="1800" w:hanging="360"/>
      </w:pPr>
      <w:rPr>
        <w:rFonts w:ascii="Symbol" w:hAnsi="Symbol" w:cs="Symbol" w:hint="default"/>
      </w:rPr>
    </w:lvl>
    <w:lvl w:ilvl="5">
      <w:start w:val="1"/>
      <w:numFmt w:val="bullet"/>
      <w:lvlText w:val=""/>
      <w:lvlJc w:val="start"/>
      <w:pPr>
        <w:tabs>
          <w:tab w:val="num" w:pos="2160"/>
        </w:tabs>
        <w:ind w:start="2160" w:hanging="360"/>
      </w:pPr>
      <w:rPr>
        <w:rFonts w:ascii="Wingdings" w:hAnsi="Wingdings" w:cs="Wingdings" w:hint="default"/>
      </w:rPr>
    </w:lvl>
    <w:lvl w:ilvl="6">
      <w:start w:val="1"/>
      <w:numFmt w:val="bullet"/>
      <w:lvlText w:val=""/>
      <w:lvlJc w:val="start"/>
      <w:pPr>
        <w:tabs>
          <w:tab w:val="num" w:pos="2520"/>
        </w:tabs>
        <w:ind w:start="2520" w:hanging="360"/>
      </w:pPr>
      <w:rPr>
        <w:rFonts w:ascii="Wingdings" w:hAnsi="Wingdings" w:cs="Wingdings" w:hint="default"/>
      </w:rPr>
    </w:lvl>
    <w:lvl w:ilvl="7">
      <w:start w:val="1"/>
      <w:numFmt w:val="bullet"/>
      <w:lvlText w:val=""/>
      <w:lvlJc w:val="start"/>
      <w:pPr>
        <w:tabs>
          <w:tab w:val="num" w:pos="2880"/>
        </w:tabs>
        <w:ind w:start="2880" w:hanging="360"/>
      </w:pPr>
      <w:rPr>
        <w:rFonts w:ascii="Symbol" w:hAnsi="Symbol" w:cs="Symbol" w:hint="default"/>
      </w:rPr>
    </w:lvl>
    <w:lvl w:ilvl="8">
      <w:start w:val="1"/>
      <w:numFmt w:val="bullet"/>
      <w:lvlText w:val=""/>
      <w:lvlJc w:val="start"/>
      <w:pPr>
        <w:tabs>
          <w:tab w:val="num" w:pos="3240"/>
        </w:tabs>
        <w:ind w:start="3240" w:hanging="360"/>
      </w:pPr>
      <w:rPr>
        <w:rFonts w:ascii="Symbol" w:hAnsi="Symbol" w:cs="Symbol" w:hint="default"/>
      </w:rPr>
    </w:lvl>
  </w:abstractNum>
  <w:num w:numId="1">
    <w:abstractNumId w:val="1"/>
  </w:num>
  <w:num w:numId="2">
    <w:abstractNumId w:val="2"/>
  </w:num>
</w:numbering>
</file>

<file path=word/settings.xml><?xml version="1.0" encoding="utf-8"?>
<w:settings xmlns:w="http://schemas.openxmlformats.org/wordprocessingml/2006/main">
  <w:zoom w:percent="100"/>
  <w:trackRevisions/>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SC" w:cs="Arial"/>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等线;DengXian" w:cs="Times New Roman"/>
      <w:color w:val="auto"/>
      <w:sz w:val="20"/>
      <w:szCs w:val="20"/>
      <w:lang w:eastAsia="zh-TW" w:bidi="ar-SA" w:val="en-US"/>
    </w:rPr>
  </w:style>
  <w:style w:type="paragraph" w:styleId="Heading1">
    <w:name w:val="heading 1"/>
    <w:basedOn w:val="Normal"/>
    <w:next w:val="Normal"/>
    <w:qFormat/>
    <w:pPr>
      <w:keepNext w:val="true"/>
      <w:numPr>
        <w:ilvl w:val="0"/>
        <w:numId w:val="1"/>
      </w:numPr>
      <w:tabs>
        <w:tab w:val="clear" w:pos="720"/>
        <w:tab w:val="left" w:pos="0" w:leader="none"/>
      </w:tabs>
      <w:spacing w:before="60" w:after="60"/>
      <w:outlineLvl w:val="0"/>
    </w:pPr>
    <w:rPr>
      <w:rFonts w:ascii="Optimum;Times New Roman" w:hAnsi="Optimum;Times New Roman" w:cs="Optimum;Times New Roman"/>
      <w:b/>
    </w:rPr>
  </w:style>
  <w:style w:type="character" w:styleId="WW8Num1z0">
    <w:name w:val="WW8Num1z0"/>
    <w:qFormat/>
    <w:rPr>
      <w:rFonts w:hint="eastAsia"/>
    </w:rPr>
  </w:style>
  <w:style w:type="character" w:styleId="WW8Num2z0">
    <w:name w:val="WW8Num2z0"/>
    <w:qFormat/>
    <w:rPr>
      <w:rFonts w:hint="eastAsia"/>
    </w:rPr>
  </w:style>
  <w:style w:type="character" w:styleId="WW8Num3z0">
    <w:name w:val="WW8Num3z0"/>
    <w:qFormat/>
    <w:rPr/>
  </w:style>
  <w:style w:type="character" w:styleId="WW8Num4z0">
    <w:name w:val="WW8Num4z0"/>
    <w:qFormat/>
    <w:rPr>
      <w:rFonts w:ascii="Symbol" w:hAnsi="Symbol" w:cs="Symbol"/>
      <w:color w:val="000000"/>
    </w:rPr>
  </w:style>
  <w:style w:type="character" w:styleId="WW8Num4z1">
    <w:name w:val="WW8Num4z1"/>
    <w:qFormat/>
    <w:rPr>
      <w:rFonts w:ascii="Symbol" w:hAnsi="Symbol" w:cs="Symbol"/>
    </w:rPr>
  </w:style>
  <w:style w:type="character" w:styleId="WW8Num4z2">
    <w:name w:val="WW8Num4z2"/>
    <w:qFormat/>
    <w:rPr>
      <w:rFonts w:ascii="Wingdings" w:hAnsi="Wingdings" w:cs="Wingdings"/>
    </w:rPr>
  </w:style>
  <w:style w:type="character" w:styleId="WW8Num5z0">
    <w:name w:val="WW8Num5z0"/>
    <w:qFormat/>
    <w:rPr>
      <w:rFonts w:ascii="宋体;SimSun" w:hAnsi="宋体;SimSun" w:eastAsia="宋体;SimSun" w:cs="Times New Roman" w:hint="eastAsia"/>
    </w:rPr>
  </w:style>
  <w:style w:type="character" w:styleId="WW8Num5z1">
    <w:name w:val="WW8Num5z1"/>
    <w:qFormat/>
    <w:rPr>
      <w:rFonts w:ascii="Wingdings" w:hAnsi="Wingdings" w:cs="Wingdings"/>
    </w:rPr>
  </w:style>
  <w:style w:type="character" w:styleId="WW8Num6z0">
    <w:name w:val="WW8Num6z0"/>
    <w:qFormat/>
    <w:rPr>
      <w:rFonts w:hint="eastAsia"/>
    </w:rPr>
  </w:style>
  <w:style w:type="character" w:styleId="WW8Num7z0">
    <w:name w:val="WW8Num7z0"/>
    <w:qFormat/>
    <w:rPr>
      <w:rFonts w:hint="eastAsia"/>
    </w:rPr>
  </w:style>
  <w:style w:type="character" w:styleId="Style13">
    <w:name w:val="默认段落字体"/>
    <w:qFormat/>
    <w:rPr/>
  </w:style>
  <w:style w:type="character" w:styleId="Hyperlink">
    <w:name w:val="Hyperlink"/>
    <w:rPr>
      <w:color w:val="0000FF"/>
      <w:u w:val="single"/>
    </w:rPr>
  </w:style>
  <w:style w:type="character" w:styleId="Style14">
    <w:name w:val="批注引用"/>
    <w:qFormat/>
    <w:rPr>
      <w:sz w:val="21"/>
      <w:szCs w:val="21"/>
    </w:rPr>
  </w:style>
  <w:style w:type="character" w:styleId="Style15">
    <w:name w:val="文档结构图 字符"/>
    <w:qFormat/>
    <w:rPr>
      <w:rFonts w:ascii="宋体;SimSun" w:hAnsi="宋体;SimSun" w:eastAsia="宋体;SimSun"/>
      <w:sz w:val="18"/>
      <w:szCs w:val="18"/>
      <w:lang w:eastAsia="zh-TW"/>
    </w:rPr>
  </w:style>
  <w:style w:type="character" w:styleId="Style16">
    <w:name w:val="页脚 字符"/>
    <w:qFormat/>
    <w:rPr>
      <w:lang w:eastAsia="zh-TW"/>
    </w:rPr>
  </w:style>
  <w:style w:type="paragraph" w:styleId="Style17">
    <w:name w:val="标题样式"/>
    <w:basedOn w:val="Normal"/>
    <w:next w:val="BodyText"/>
    <w:qFormat/>
    <w:pPr>
      <w:keepNext w:val="true"/>
      <w:spacing w:before="240" w:after="120"/>
    </w:pPr>
    <w:rPr>
      <w:rFonts w:ascii="Liberation Sans" w:hAnsi="Liberation Sans" w:eastAsia="Noto Sans SC" w:cs="Arial"/>
      <w:sz w:val="28"/>
      <w:szCs w:val="28"/>
    </w:rPr>
  </w:style>
  <w:style w:type="paragraph" w:styleId="BodyText">
    <w:name w:val="Body Text"/>
    <w:basedOn w:val="Normal"/>
    <w:pPr>
      <w:tabs>
        <w:tab w:val="clear" w:pos="720"/>
        <w:tab w:val="left" w:pos="0" w:leader="none"/>
        <w:tab w:val="left" w:pos="993" w:leader="none"/>
      </w:tabs>
      <w:spacing w:before="0" w:after="60"/>
    </w:pPr>
    <w:rPr>
      <w:rFonts w:ascii="Univers;Arial" w:hAnsi="Univers;Arial" w:cs="Univers;Arial"/>
      <w:sz w:val="16"/>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8">
    <w:name w:val="索引"/>
    <w:basedOn w:val="Normal"/>
    <w:qFormat/>
    <w:pPr>
      <w:suppressLineNumbers/>
    </w:pPr>
    <w:rPr>
      <w:rFonts w:cs="Arial"/>
    </w:rPr>
  </w:style>
  <w:style w:type="paragraph" w:styleId="Style19">
    <w:name w:val="页眉与页脚"/>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320" w:leader="none"/>
        <w:tab w:val="right" w:pos="8640" w:leader="none"/>
      </w:tabs>
    </w:pPr>
    <w:rPr>
      <w:lang w:val="zh-CN"/>
    </w:rPr>
  </w:style>
  <w:style w:type="paragraph" w:styleId="Style20">
    <w:name w:val="日期"/>
    <w:basedOn w:val="Normal"/>
    <w:next w:val="Normal"/>
    <w:qFormat/>
    <w:pPr>
      <w:widowControl w:val="false"/>
      <w:ind w:firstLineChars="0" w:firstLine="0" w:startChars="2500" w:endChars="0" w:end="0"/>
      <w:jc w:val="both"/>
    </w:pPr>
    <w:rPr>
      <w:rFonts w:ascii="宋体;SimSun" w:hAnsi="宋体;SimSun" w:eastAsia="宋体;SimSun" w:cs="宋体;SimSun"/>
      <w:kern w:val="2"/>
      <w:sz w:val="28"/>
      <w:szCs w:val="24"/>
      <w:lang w:eastAsia="zh-CN"/>
    </w:rPr>
  </w:style>
  <w:style w:type="paragraph" w:styleId="BodyTextIndent">
    <w:name w:val="Body Text Indent"/>
    <w:basedOn w:val="Normal"/>
    <w:pPr>
      <w:widowControl w:val="false"/>
      <w:ind w:hanging="0" w:start="980" w:end="0"/>
      <w:jc w:val="both"/>
    </w:pPr>
    <w:rPr>
      <w:rFonts w:ascii="宋体;SimSun" w:hAnsi="宋体;SimSun" w:eastAsia="宋体;SimSun" w:cs="宋体;SimSun"/>
      <w:b/>
      <w:bCs/>
      <w:kern w:val="2"/>
      <w:sz w:val="21"/>
      <w:szCs w:val="24"/>
      <w:lang w:eastAsia="zh-CN"/>
    </w:rPr>
  </w:style>
  <w:style w:type="paragraph" w:styleId="Style21">
    <w:name w:val="批注文字"/>
    <w:basedOn w:val="Normal"/>
    <w:qFormat/>
    <w:pPr>
      <w:widowControl w:val="false"/>
      <w:textAlignment w:val="baseline"/>
    </w:pPr>
    <w:rPr>
      <w:rFonts w:ascii="宋体;SimSun" w:hAnsi="宋体;SimSun" w:eastAsia="宋体;SimSun"/>
      <w:sz w:val="21"/>
      <w:lang w:eastAsia="zh-CN"/>
    </w:rPr>
  </w:style>
  <w:style w:type="paragraph" w:styleId="Address">
    <w:name w:val="Address"/>
    <w:basedOn w:val="Normal"/>
    <w:qFormat/>
    <w:pPr>
      <w:pBdr>
        <w:left w:val="single" w:sz="4" w:space="6" w:color="000000"/>
      </w:pBdr>
      <w:spacing w:lineRule="exact" w:line="200"/>
    </w:pPr>
    <w:rPr>
      <w:rFonts w:eastAsia="宋体;SimSun"/>
      <w:sz w:val="16"/>
      <w:lang w:val="en-GB"/>
    </w:rPr>
  </w:style>
  <w:style w:type="paragraph" w:styleId="Style22">
    <w:name w:val="批注框文本"/>
    <w:basedOn w:val="Normal"/>
    <w:qFormat/>
    <w:pPr/>
    <w:rPr>
      <w:sz w:val="18"/>
      <w:szCs w:val="18"/>
    </w:rPr>
  </w:style>
  <w:style w:type="paragraph" w:styleId="Style23">
    <w:name w:val="批注主题"/>
    <w:basedOn w:val="Style21"/>
    <w:next w:val="Style21"/>
    <w:qFormat/>
    <w:pPr>
      <w:widowControl/>
      <w:textAlignment w:val="auto"/>
    </w:pPr>
    <w:rPr>
      <w:rFonts w:ascii="Times New Roman" w:hAnsi="Times New Roman" w:eastAsia="PMingLiU;Microsoft JhengHei"/>
      <w:b/>
      <w:bCs/>
      <w:sz w:val="20"/>
      <w:lang w:eastAsia="zh-TW"/>
    </w:rPr>
  </w:style>
  <w:style w:type="paragraph" w:styleId="Style24">
    <w:name w:val="列表项目符号"/>
    <w:basedOn w:val="Normal"/>
    <w:qFormat/>
    <w:pPr>
      <w:numPr>
        <w:ilvl w:val="0"/>
        <w:numId w:val="2"/>
      </w:numPr>
      <w:spacing w:lineRule="atLeast" w:line="280" w:before="0" w:after="20"/>
    </w:pPr>
    <w:rPr>
      <w:rFonts w:ascii="Garamond" w:hAnsi="Garamond" w:cs="Arial"/>
      <w:sz w:val="22"/>
      <w:lang w:val="en-GB"/>
    </w:rPr>
  </w:style>
  <w:style w:type="paragraph" w:styleId="2">
    <w:name w:val="列表项目符号 2"/>
    <w:basedOn w:val="Normal"/>
    <w:qFormat/>
    <w:pPr>
      <w:numPr>
        <w:ilvl w:val="0"/>
        <w:numId w:val="2"/>
      </w:numPr>
      <w:spacing w:lineRule="atLeast" w:line="260" w:before="0" w:after="20"/>
    </w:pPr>
    <w:rPr>
      <w:rFonts w:ascii="Garamond" w:hAnsi="Garamond" w:cs="Arial"/>
      <w:sz w:val="22"/>
      <w:lang w:val="en-GB"/>
    </w:rPr>
  </w:style>
  <w:style w:type="paragraph" w:styleId="TradingName">
    <w:name w:val="Trading Name"/>
    <w:qFormat/>
    <w:pPr>
      <w:widowControl/>
      <w:bidi w:val="0"/>
      <w:spacing w:lineRule="atLeast" w:line="180"/>
    </w:pPr>
    <w:rPr>
      <w:rFonts w:ascii="Arial Narrow" w:hAnsi="Arial Narrow" w:eastAsia="黑体;SimHei" w:cs="Arial"/>
      <w:b/>
      <w:color w:val="auto"/>
      <w:sz w:val="14"/>
      <w:szCs w:val="20"/>
      <w:lang w:val="en-GB" w:bidi="ar-SA" w:eastAsia="zh-CN"/>
    </w:rPr>
  </w:style>
  <w:style w:type="paragraph" w:styleId="PartnerAddress">
    <w:name w:val="Partner Address"/>
    <w:qFormat/>
    <w:pPr>
      <w:widowControl/>
      <w:bidi w:val="0"/>
    </w:pPr>
    <w:rPr>
      <w:rFonts w:ascii="Arial Narrow" w:hAnsi="Arial Narrow" w:eastAsia="黑体;SimHei" w:cs="Arial"/>
      <w:color w:val="auto"/>
      <w:sz w:val="14"/>
      <w:szCs w:val="20"/>
      <w:lang w:val="en-GB" w:bidi="ar-SA" w:eastAsia="zh-CN"/>
    </w:rPr>
  </w:style>
  <w:style w:type="paragraph" w:styleId="HalfLineBreak">
    <w:name w:val="Half Line Break"/>
    <w:qFormat/>
    <w:pPr>
      <w:widowControl/>
      <w:bidi w:val="0"/>
    </w:pPr>
    <w:rPr>
      <w:rFonts w:ascii="Arial Narrow" w:hAnsi="Arial Narrow" w:eastAsia="黑体;SimHei" w:cs="Arial"/>
      <w:b/>
      <w:color w:val="auto"/>
      <w:sz w:val="7"/>
      <w:szCs w:val="20"/>
      <w:lang w:val="en-GB" w:bidi="ar-SA" w:eastAsia="zh-CN"/>
    </w:rPr>
  </w:style>
  <w:style w:type="paragraph" w:styleId="LetterFooterTitle">
    <w:name w:val="Letter Footer Title"/>
    <w:next w:val="LetterFooter"/>
    <w:qFormat/>
    <w:pPr>
      <w:widowControl/>
      <w:bidi w:val="0"/>
      <w:spacing w:lineRule="atLeast" w:line="140"/>
    </w:pPr>
    <w:rPr>
      <w:rFonts w:ascii="Arial Narrow" w:hAnsi="Arial Narrow" w:eastAsia="等线;DengXian" w:cs="Arial"/>
      <w:b/>
      <w:color w:val="auto"/>
      <w:sz w:val="11"/>
      <w:szCs w:val="20"/>
      <w:lang w:val="en-GB" w:bidi="ar-SA" w:eastAsia="zh-CN"/>
    </w:rPr>
  </w:style>
  <w:style w:type="paragraph" w:styleId="LetterFooter">
    <w:name w:val="Letter Footer"/>
    <w:qFormat/>
    <w:pPr>
      <w:widowControl/>
      <w:bidi w:val="0"/>
      <w:spacing w:lineRule="atLeast" w:line="140"/>
    </w:pPr>
    <w:rPr>
      <w:rFonts w:ascii="Arial Narrow" w:hAnsi="Arial Narrow" w:eastAsia="等线;DengXian" w:cs="Arial"/>
      <w:color w:val="auto"/>
      <w:sz w:val="11"/>
      <w:szCs w:val="20"/>
      <w:lang w:val="en-GB" w:bidi="ar-SA" w:eastAsia="zh-CN"/>
    </w:rPr>
  </w:style>
  <w:style w:type="paragraph" w:styleId="ParaCharCharCharCharCharCharChar">
    <w:name w:val="默认段落字体 Para Char Char Char Char Char Char Char"/>
    <w:basedOn w:val="Normal"/>
    <w:qFormat/>
    <w:pPr>
      <w:widowControl w:val="false"/>
      <w:jc w:val="both"/>
    </w:pPr>
    <w:rPr>
      <w:rFonts w:ascii="挀甀洀攀渀;仿宋" w:hAnsi="挀甀洀攀渀;仿宋" w:eastAsia="宋体;SimSun" w:cs="挀甀洀攀渀;仿宋"/>
      <w:kern w:val="2"/>
      <w:sz w:val="24"/>
      <w:lang w:eastAsia="zh-CN"/>
    </w:rPr>
  </w:style>
  <w:style w:type="paragraph" w:styleId="Style25">
    <w:name w:val="文档结构图"/>
    <w:basedOn w:val="Normal"/>
    <w:qFormat/>
    <w:pPr/>
    <w:rPr>
      <w:rFonts w:ascii="宋体;SimSun" w:hAnsi="宋体;SimSun" w:eastAsia="宋体;SimSun"/>
      <w:sz w:val="18"/>
      <w:szCs w:val="18"/>
      <w:lang w:val="zh-CN"/>
    </w:rPr>
  </w:style>
  <w:style w:type="paragraph" w:styleId="Style26">
    <w:name w:val="列表段落"/>
    <w:basedOn w:val="Normal"/>
    <w:qFormat/>
    <w:pPr>
      <w:ind w:firstLineChars="200" w:startChars="0" w:start="0" w:endChars="0" w:end="0"/>
    </w:pPr>
    <w:rPr/>
  </w:style>
  <w:style w:type="paragraph" w:styleId="Style27">
    <w:name w:val="表格内容"/>
    <w:basedOn w:val="Normal"/>
    <w:qFormat/>
    <w:pPr>
      <w:widowControl w:val="false"/>
      <w:suppressLineNumbers/>
    </w:pPr>
    <w:rPr/>
  </w:style>
  <w:style w:type="paragraph" w:styleId="Style28">
    <w:name w:val="表格标题"/>
    <w:basedOn w:val="Style27"/>
    <w:qFormat/>
    <w:pPr>
      <w:suppressLineNumbers/>
      <w:jc w:val="center"/>
    </w:pPr>
    <w:rPr>
      <w:b/>
      <w:bCs/>
    </w:rPr>
  </w:style>
  <w:style w:type="paragraph" w:styleId="Style29">
    <w:name w:val="框架内容"/>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header" Target="header4.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HCPA(1st).dot</Template>
  <TotalTime>1040</TotalTime>
  <Application>LibreOffice/26.2.3.2$Windows_X86_64 LibreOffice_project/70e089b17412e4cb7773e41413306b17a2328c34</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dc:description/>
  <cp:keywords/>
  <dc:language>zh-CN</dc:language>
  <cp:lastModifiedBy>1</cp:lastModifiedBy>
  <cp:lastPrinted>2017-03-15T11:59:00Z</cp:lastPrinted>
  <dcterms:modified xsi:type="dcterms:W3CDTF">2026-01-30T16:17:00Z</dcterms:modified>
  <cp:revision>23</cp:revision>
  <dc:subject/>
  <dc:title/>
</cp:coreProperties>
</file>