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当运用重要性水平评价错报是否重大。对于已发现的错报，如错报金额超过财务报表整体重要性水平，表明错报具有重大性，除非基于特定情况认为不重大（例如某些重分类错报）；如错报金额低于财务报表整体重要性水平，需要考虑错报的性质以及错报发生的特定环境。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注册会计师若在获取充分、适当的审计证据后，认为错报对财务报表的影响重大且具有广泛性，应当发表否定意见。若无法获取充分、适当的审计证据，但认为未发现的错报对财务报表可能产生的影响重大且具有广泛性，应当发表无法表示意见。</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hint="eastAsia"/>
                <w:b/>
                <w:color w:val="0000FF"/>
                <w:sz w:val="24"/>
                <w:szCs w:val="24"/>
                <w:lang w:eastAsia="zh-CN"/>
              </w:rPr>
            </w:pPr>
            <w:r>
              <w:rPr>
                <w:rFonts w:eastAsia="仿宋_GB2312" w:cs="Arial Narrow" w:hint="eastAsia" w:ascii="Arial Narrow" w:hAnsi="Arial Narrow"/>
                <w:b/>
                <w:color w:val="0000FF"/>
                <w:sz w:val="24"/>
                <w:szCs w:val="24"/>
                <w:lang w:eastAsia="zh-CN"/>
              </w:rPr>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val="en-AU"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主要其他公众利益实体</w:t>
            </w:r>
            <w:r>
              <w:rPr>
                <w:rFonts w:ascii="Arial Narrow" w:hAnsi="Arial Narrow" w:cs="Arial Narrow" w:hint="eastAsia" w:eastAsia="仿宋_GB2312"/>
                <w:b/>
                <w:color w:val="0000FF"/>
                <w:sz w:val="24"/>
                <w:szCs w:val="24"/>
                <w:lang w:eastAsia="zh-CN"/>
              </w:rPr>
              <w:t>否定意见的简单版本，对于发表否定意见但是需要包含与持续经营相关的重大不确定性、强调事项段、其他事项段的情况，请参考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其他公众利益实体</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其他公众利益实体</w:t>
            </w:r>
            <w:r>
              <w:rPr>
                <w:rFonts w:ascii="Arial Narrow" w:hAnsi="Arial Narrow" w:cs="Arial Narrow" w:hint="eastAsia" w:eastAsia="仿宋_GB2312"/>
                <w:b/>
                <w:color w:val="0000FF"/>
                <w:sz w:val="24"/>
                <w:szCs w:val="24"/>
                <w:lang w:eastAsia="zh-CN"/>
              </w:rPr>
              <w:t>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存在错报，该错报对财务报表影响重大且具有广泛性（即否定意见是恰当的）；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4</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已按照《中国注册会计师审计准则第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 xml:space="preserve">在审计报告中沟通关键审计事项》的规定沟通了关键审计事项； </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注册会计师在审计报告日前已经获取所有其他信息，且导致对财务报表发表否定意见的事项也影响了其他信息。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除财务报表审计外，注册会计师不承担法律法规要求的其他报告责任，或虽然存在法律法规要求的其他报告责任，但注册会计师决定不在审计报告中履行其他报告责任。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7"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否定</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我们认为，由于“形成否定意见的基础”部分所述事项的重要性，后附的财务报表没有在所有重大方面按照企业会计准则的规定编制，未能公允反映</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的合并及公司的经营成果和现金流量。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二、形成否定意见的基础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bCs/>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w:t>
            </w:r>
          </w:p>
          <w:p>
            <w:pPr>
              <w:pStyle w:val="Normal"/>
              <w:widowControl w:val="false"/>
              <w:snapToGrid w:val="false"/>
              <w:spacing w:lineRule="auto" w:line="300"/>
              <w:jc w:val="both"/>
              <w:rPr>
                <w:rFonts w:ascii="仿宋_GB2312" w:hAnsi="仿宋_GB2312" w:eastAsia="宋体;SimSun"/>
                <w:bCs/>
                <w:color w:val="FF0000"/>
                <w:sz w:val="24"/>
                <w:szCs w:val="24"/>
                <w:lang w:val="en-GB"/>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所述，由于无法确定</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仿宋_GB2312" w:hAnsi="仿宋_GB2312" w:hint="eastAsia" w:eastAsia="仿宋_GB2312"/>
          <w:bCs/>
          <w:color w:val="FF0000"/>
          <w:sz w:val="24"/>
          <w:szCs w:val="24"/>
          <w:lang w:val="en-GB"/>
        </w:rPr>
        <w:t>收购的子公司</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公司某些重要资产和负债项目在收购日的公允价值，</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未将该子公司纳入合并范围。该项投资以成本计量。根据企业会计准则，</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应将该子公司纳入合并范围，并以暂估金额为基础核算该项收购。如果将</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公司纳入合并范围，后附合并财务报表的多个项目将受到重大影响。我们尚未确定未将该公司纳入合并范围对合并财务报表的影响。</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公司，并履行了职业道德方面的其他责任。我们相信，我们获取的审计证据是充分、适当的，为发表否定审计意见提供了基础。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三、管理层和治理层对财务报表的责任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四、注册会计师对财务报表审计的责任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6"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27</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dc:description/>
  <cp:keywords/>
  <dc:language>zh-CN</dc:language>
  <cp:lastModifiedBy>1</cp:lastModifiedBy>
  <cp:lastPrinted>2017-03-15T11:59:00Z</cp:lastPrinted>
  <dcterms:modified xsi:type="dcterms:W3CDTF">2026-01-30T16:23:00Z</dcterms:modified>
  <cp:revision>11</cp:revision>
  <dc:subject/>
  <dc:title/>
</cp:coreProperties>
</file>