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val="en-AU" w:eastAsia="zh-CN"/>
              </w:rPr>
              <w:t>1</w:t>
            </w:r>
            <w:r>
              <w:rPr>
                <w:rFonts w:ascii="Arial Narrow" w:hAnsi="Arial Narrow" w:cs="Arial Narrow" w:hint="eastAsia" w:eastAsia="仿宋_GB2312"/>
                <w:b/>
                <w:color w:val="0000FF"/>
                <w:sz w:val="24"/>
                <w:szCs w:val="24"/>
                <w:lang w:val="en-AU" w:eastAsia="zh-CN"/>
              </w:rPr>
              <w:t>、本模板使用说明：</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1.1</w:t>
            </w:r>
            <w:r>
              <w:rPr>
                <w:rFonts w:ascii="Arial Narrow" w:hAnsi="Arial Narrow" w:cs="Arial Narrow" w:hint="eastAsia" w:eastAsia="仿宋_GB2312"/>
                <w:b/>
                <w:color w:val="0000FF"/>
                <w:sz w:val="24"/>
                <w:szCs w:val="24"/>
                <w:highlight w:val="yellow"/>
                <w:lang w:eastAsia="zh-CN"/>
              </w:rPr>
              <w:t>对其他公众利益实体</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1.2</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1.3</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就审计业务约定条款达成一致意见》关于管理层对合并财务报表责任的描述；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1.4</w:t>
            </w:r>
            <w:r>
              <w:rPr>
                <w:rFonts w:ascii="Arial Narrow" w:hAnsi="Arial Narrow" w:cs="Arial Narrow" w:hint="eastAsia" w:eastAsia="仿宋_GB2312"/>
                <w:b/>
                <w:color w:val="0000FF"/>
                <w:sz w:val="24"/>
                <w:szCs w:val="24"/>
                <w:lang w:eastAsia="zh-CN"/>
              </w:rPr>
              <w:t>基于获取的审计证据，注册会计师认为发表无保留意见是恰当的；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或者当适用注册会计师确定存在重大不确定性，且财务报表已经做出充分披露时，发表无保留意见的审计报告；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注册会计师未被要求，并且也决定不沟通关键审计事项。如果决定沟通关键审计事项，参照上市实体的同审计意见类型的模板；</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1.8</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bCs/>
                <w:i/>
                <w:color w:val="0000FF"/>
                <w:sz w:val="24"/>
                <w:szCs w:val="24"/>
                <w:lang w:eastAsia="zh-CN"/>
              </w:rPr>
            </w:pPr>
            <w:r>
              <w:rPr>
                <w:rFonts w:eastAsia="仿宋_GB2312" w:cs="Arial Narrow" w:ascii="Arial Narrow" w:hAnsi="Arial Narrow"/>
                <w:b/>
                <w:bCs/>
                <w:i/>
                <w:color w:val="0000FF"/>
                <w:sz w:val="24"/>
                <w:szCs w:val="24"/>
                <w:lang w:eastAsia="zh-CN"/>
              </w:rPr>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2</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2.1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2.2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8"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color w:val="000000"/>
          <w:spacing w:val="4"/>
          <w:sz w:val="24"/>
          <w:szCs w:val="24"/>
          <w:lang w:eastAsia="zh-CN"/>
        </w:rPr>
        <w:t>有限公司董事会</w:t>
      </w: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color w:val="FF0000"/>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一、审计意见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【如果存在与财务报表一同列报的补充信息且该信息管理层拒绝将其与已审计财务报表的信息充分、清楚地区分，注册会计师应当指出未审计的补充信息，并在审计报告中说明这些补充信息未审计。】</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二、形成审计意见的基础</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rPr>
        <w:t>、</w:t>
      </w:r>
      <w:r>
        <w:rPr>
          <w:rFonts w:ascii="Arial Narrow" w:hAnsi="Arial Narrow" w:cs="Arial Narrow" w:hint="eastAsia" w:eastAsia="仿宋_GB2312"/>
          <w:b/>
          <w:bCs/>
          <w:sz w:val="24"/>
          <w:szCs w:val="24"/>
        </w:rPr>
        <w:t>与持续经营相关的重大不确定性</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color w:val="0000FF"/>
          <w:sz w:val="24"/>
          <w:szCs w:val="24"/>
          <w:lang w:eastAsia="zh-CN"/>
        </w:rPr>
        <w:t>【适用情形：管理层运用持续经营假设是适当的，但存在重大不确定性，且财务报表已对重大不确定性作出了充分披露，注册会计师应当发表无保留意见，并在审计报告中增加以“与持续经营相关的重大不确定性”为标题的单独部分。】</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我们提醒财务报表使用者关注，</w:t>
      </w:r>
      <w:r>
        <w:rPr>
          <w:rFonts w:ascii="Arial Narrow" w:hAnsi="Arial Narrow" w:cs="Arial Narrow" w:hint="eastAsia" w:eastAsia="仿宋_GB2312"/>
          <w:color w:val="FF0000"/>
          <w:spacing w:val="4"/>
          <w:sz w:val="24"/>
          <w:szCs w:val="24"/>
          <w:lang w:eastAsia="zh-CN"/>
        </w:rPr>
        <w:t>如财务报表附注</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年发生净亏损</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元，且于</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公司流动负债高于资产总额</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元；这些事项或情况，连同财务报表附注</w:t>
      </w:r>
      <w:r>
        <w:rPr>
          <w:rFonts w:eastAsia="仿宋_GB2312" w:cs="Arial Narrow" w:hint="eastAsia" w:ascii="Arial Narrow" w:hAnsi="Arial Narrow"/>
          <w:color w:val="FF0000"/>
          <w:spacing w:val="4"/>
          <w:sz w:val="24"/>
          <w:szCs w:val="24"/>
          <w:lang w:eastAsia="zh-CN"/>
        </w:rPr>
        <w:t>×</w:t>
      </w:r>
      <w:r>
        <w:rPr>
          <w:rFonts w:ascii="Arial Narrow" w:hAnsi="Arial Narrow" w:cs="Arial Narrow" w:hint="eastAsia" w:eastAsia="仿宋_GB2312"/>
          <w:color w:val="FF0000"/>
          <w:spacing w:val="4"/>
          <w:sz w:val="24"/>
          <w:szCs w:val="24"/>
          <w:lang w:eastAsia="zh-CN"/>
        </w:rPr>
        <w:t>所示的其他事项，表明存在可能导致对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公司持续经营能力产生重大疑虑的重大不确定性。</w:t>
      </w:r>
      <w:r>
        <w:rPr>
          <w:rFonts w:ascii="Arial Narrow" w:hAnsi="Arial Narrow" w:cs="Arial Narrow" w:hint="eastAsia" w:eastAsia="仿宋_GB2312"/>
          <w:spacing w:val="4"/>
          <w:sz w:val="24"/>
          <w:szCs w:val="24"/>
          <w:lang w:eastAsia="zh-CN"/>
        </w:rPr>
        <w:t>该事项不影响已发表的审计意见。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i/>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color w:val="FF0000"/>
          <w:sz w:val="24"/>
          <w:szCs w:val="24"/>
        </w:rPr>
        <w:t>、</w:t>
      </w:r>
      <w:r>
        <w:rPr>
          <w:rFonts w:ascii="Arial Narrow" w:hAnsi="Arial Narrow" w:cs="Arial Narrow" w:hint="eastAsia" w:eastAsia="仿宋_GB2312"/>
          <w:b/>
          <w:bCs/>
          <w:sz w:val="24"/>
          <w:szCs w:val="24"/>
        </w:rPr>
        <w:t>强调事项</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适用情形</w:t>
      </w:r>
      <w:r>
        <w:rPr>
          <w:rFonts w:ascii="Arial Narrow" w:hAnsi="Arial Narrow" w:cs="Arial Narrow" w:hint="eastAsia" w:eastAsia="仿宋_GB2312"/>
          <w:color w:val="0000FF"/>
          <w:spacing w:val="4"/>
          <w:sz w:val="24"/>
          <w:szCs w:val="24"/>
          <w:lang w:eastAsia="zh-CN"/>
        </w:rPr>
        <w:t>：如果认为有必要提醒财务报表使用者关注已在财务报表中列报或披露，且根据职业判断认为对财务报表使用者理解财务报表至关重要的事项，在同时满足下列条件时，</w:t>
      </w:r>
      <w:r>
        <w:rPr>
          <w:rFonts w:ascii="Arial Narrow" w:hAnsi="Arial Narrow" w:cs="Arial Narrow" w:eastAsia="仿宋_GB2312"/>
          <w:color w:val="0000FF"/>
          <w:spacing w:val="4"/>
          <w:sz w:val="24"/>
          <w:szCs w:val="24"/>
          <w:lang w:eastAsia="zh-CN"/>
        </w:rPr>
        <w:t>注册会计师应当在审计报告中增加强调事项段</w:t>
      </w:r>
      <w:r>
        <w:rPr>
          <w:rFonts w:ascii="Arial Narrow" w:hAnsi="Arial Narrow" w:cs="Arial Narrow" w:hint="eastAsia" w:eastAsia="仿宋_GB2312"/>
          <w:color w:val="0000FF"/>
          <w:spacing w:val="4"/>
          <w:sz w:val="24"/>
          <w:szCs w:val="24"/>
          <w:lang w:eastAsia="zh-CN"/>
        </w:rPr>
        <w:t>：（</w:t>
      </w:r>
      <w:r>
        <w:rPr>
          <w:rFonts w:eastAsia="仿宋_GB2312" w:cs="Arial Narrow" w:hint="eastAsia" w:ascii="Arial Narrow" w:hAnsi="Arial Narrow"/>
          <w:color w:val="0000FF"/>
          <w:spacing w:val="4"/>
          <w:sz w:val="24"/>
          <w:szCs w:val="24"/>
          <w:lang w:eastAsia="zh-CN"/>
        </w:rPr>
        <w:t>1</w:t>
      </w:r>
      <w:r>
        <w:rPr>
          <w:rFonts w:ascii="Arial Narrow" w:hAnsi="Arial Narrow" w:cs="Arial Narrow" w:hint="eastAsia" w:eastAsia="仿宋_GB2312"/>
          <w:color w:val="0000FF"/>
          <w:spacing w:val="4"/>
          <w:sz w:val="24"/>
          <w:szCs w:val="24"/>
          <w:lang w:eastAsia="zh-CN"/>
        </w:rPr>
        <w:t>）该事项不会导致注册会计师发表非无保留意见；（</w:t>
      </w:r>
      <w:r>
        <w:rPr>
          <w:rFonts w:eastAsia="仿宋_GB2312" w:cs="Arial Narrow" w:hint="eastAsia" w:ascii="Arial Narrow" w:hAnsi="Arial Narrow"/>
          <w:color w:val="0000FF"/>
          <w:spacing w:val="4"/>
          <w:sz w:val="24"/>
          <w:szCs w:val="24"/>
          <w:lang w:eastAsia="zh-CN"/>
        </w:rPr>
        <w:t>2</w:t>
      </w:r>
      <w:r>
        <w:rPr>
          <w:rFonts w:ascii="Arial Narrow" w:hAnsi="Arial Narrow" w:cs="Arial Narrow" w:hint="eastAsia" w:eastAsia="仿宋_GB2312"/>
          <w:color w:val="0000FF"/>
          <w:spacing w:val="4"/>
          <w:sz w:val="24"/>
          <w:szCs w:val="24"/>
          <w:lang w:eastAsia="zh-CN"/>
        </w:rPr>
        <w:t>）该事项未被确定为在审计报告中沟通的关键审计事项。】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w:t>
      </w:r>
      <w:r>
        <w:rPr>
          <w:rFonts w:ascii="Arial Narrow" w:hAnsi="Arial Narrow" w:cs="Arial Narrow" w:hint="eastAsia" w:eastAsia="仿宋_GB2312"/>
          <w:b/>
          <w:color w:val="0000FF"/>
          <w:spacing w:val="4"/>
          <w:sz w:val="24"/>
          <w:szCs w:val="24"/>
          <w:lang w:eastAsia="zh-CN"/>
        </w:rPr>
        <w:t>位置说明</w:t>
      </w:r>
      <w:r>
        <w:rPr>
          <w:rFonts w:ascii="Arial Narrow" w:hAnsi="Arial Narrow" w:cs="Arial Narrow" w:hint="eastAsia" w:eastAsia="仿宋_GB2312"/>
          <w:color w:val="0000FF"/>
          <w:spacing w:val="4"/>
          <w:sz w:val="24"/>
          <w:szCs w:val="24"/>
          <w:lang w:eastAsia="zh-CN"/>
        </w:rPr>
        <w:t>：（</w:t>
      </w:r>
      <w:r>
        <w:rPr>
          <w:rFonts w:eastAsia="仿宋_GB2312" w:cs="Arial Narrow" w:hint="eastAsia" w:ascii="Arial Narrow" w:hAnsi="Arial Narrow"/>
          <w:color w:val="0000FF"/>
          <w:spacing w:val="4"/>
          <w:sz w:val="24"/>
          <w:szCs w:val="24"/>
          <w:lang w:eastAsia="zh-CN"/>
        </w:rPr>
        <w:t>1</w:t>
      </w:r>
      <w:r>
        <w:rPr>
          <w:rFonts w:ascii="Arial Narrow" w:hAnsi="Arial Narrow" w:cs="Arial Narrow" w:hint="eastAsia" w:eastAsia="仿宋_GB2312"/>
          <w:color w:val="0000FF"/>
          <w:spacing w:val="4"/>
          <w:sz w:val="24"/>
          <w:szCs w:val="24"/>
          <w:lang w:eastAsia="zh-CN"/>
        </w:rPr>
        <w:t>）当强调事项段与适用的财务报告编制基础相关时，包括当注册会计师确定法律法规规定的财务报告编制基础不可接受时，注册会计师可能认为有必要将强调事项段紧接在</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形成审计意见的基础</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部分之后，以为审计意见提供合适的背景信息；（</w:t>
      </w:r>
      <w:r>
        <w:rPr>
          <w:rFonts w:eastAsia="仿宋_GB2312" w:cs="Arial Narrow" w:hint="eastAsia" w:ascii="Arial Narrow" w:hAnsi="Arial Narrow"/>
          <w:color w:val="0000FF"/>
          <w:spacing w:val="4"/>
          <w:sz w:val="24"/>
          <w:szCs w:val="24"/>
          <w:lang w:eastAsia="zh-CN"/>
        </w:rPr>
        <w:t>2</w:t>
      </w:r>
      <w:r>
        <w:rPr>
          <w:rFonts w:ascii="Arial Narrow" w:hAnsi="Arial Narrow" w:cs="Arial Narrow" w:hint="eastAsia" w:eastAsia="仿宋_GB2312"/>
          <w:color w:val="0000FF"/>
          <w:spacing w:val="4"/>
          <w:sz w:val="24"/>
          <w:szCs w:val="24"/>
          <w:lang w:eastAsia="zh-CN"/>
        </w:rPr>
        <w:t>）当审计报告中包含关键审计事项部分时，基于注册会计师对强调事项段中信息的相对重要程度的判断，强调事项段可以紧接在关键审计事项部分之前或之后。注册会计师可以在</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强调事项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标题中增加进一步的背景信息，比如</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强调事项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期后事项</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，以将强调事项段和关键审计事项部分描述的每个事项区分开来。】</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我们提醒财务报表使用者关注，</w:t>
      </w:r>
      <w:r>
        <w:rPr>
          <w:rFonts w:ascii="Arial Narrow" w:hAnsi="Arial Narrow" w:cs="Arial Narrow" w:hint="eastAsia" w:eastAsia="仿宋_GB2312"/>
          <w:color w:val="FF0000"/>
          <w:sz w:val="24"/>
          <w:szCs w:val="24"/>
          <w:lang w:eastAsia="zh-CN"/>
        </w:rPr>
        <w:t>财务报表附注</w:t>
      </w:r>
      <w:r>
        <w:rPr>
          <w:rFonts w:eastAsia="仿宋_GB2312" w:cs="Arial Narrow" w:ascii="Arial Narrow" w:hAnsi="Arial Narrow"/>
          <w:color w:val="FF0000"/>
          <w:sz w:val="24"/>
          <w:szCs w:val="24"/>
          <w:lang w:eastAsia="zh-CN"/>
        </w:rPr>
        <w:t>×</w:t>
      </w:r>
      <w:r>
        <w:rPr>
          <w:rFonts w:ascii="Arial Narrow" w:hAnsi="Arial Narrow" w:cs="Arial Narrow" w:hint="eastAsia" w:eastAsia="仿宋_GB2312"/>
          <w:color w:val="FF0000"/>
          <w:sz w:val="24"/>
          <w:szCs w:val="24"/>
          <w:lang w:eastAsia="zh-CN"/>
        </w:rPr>
        <w:t>描述了</w:t>
      </w:r>
      <w:r>
        <w:rPr>
          <w:rFonts w:eastAsia="仿宋_GB2312" w:cs="Arial Narrow" w:ascii="Arial Narrow" w:hAnsi="Arial Narrow"/>
          <w:color w:val="FF0000"/>
          <w:sz w:val="24"/>
          <w:szCs w:val="24"/>
          <w:lang w:eastAsia="zh-CN"/>
        </w:rPr>
        <w:t>×</w:t>
      </w:r>
      <w:r>
        <w:rPr>
          <w:rFonts w:ascii="Arial Narrow" w:hAnsi="Arial Narrow" w:cs="Arial Narrow" w:hint="eastAsia" w:eastAsia="仿宋_GB2312"/>
          <w:color w:val="FF0000"/>
          <w:sz w:val="24"/>
          <w:szCs w:val="24"/>
          <w:lang w:eastAsia="zh-CN"/>
        </w:rPr>
        <w:t>影响</w:t>
      </w:r>
      <w:r>
        <w:rPr>
          <w:rFonts w:ascii="Arial Narrow" w:hAnsi="Arial Narrow" w:cs="Arial Narrow" w:hint="eastAsia" w:eastAsia="仿宋_GB2312"/>
          <w:sz w:val="24"/>
          <w:szCs w:val="24"/>
          <w:lang w:eastAsia="zh-CN"/>
        </w:rPr>
        <w:t>。本段内容不影响已发表的审计意见。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eastAsia="仿宋_GB2312" w:cs="Arial Narrow" w:ascii="Arial Narrow" w:hAnsi="Arial Narrow"/>
          <w:b/>
          <w:bCs/>
          <w:color w:val="FF0000"/>
          <w:sz w:val="24"/>
          <w:szCs w:val="24"/>
          <w:lang w:eastAsia="zh-CN"/>
        </w:rPr>
        <w:t>X</w:t>
      </w:r>
      <w:r>
        <w:rPr>
          <w:rFonts w:ascii="Arial Narrow" w:hAnsi="Arial Narrow" w:cs="Arial Narrow" w:hint="eastAsia" w:eastAsia="仿宋_GB2312"/>
          <w:b/>
          <w:bCs/>
          <w:sz w:val="24"/>
          <w:szCs w:val="24"/>
          <w:lang w:eastAsia="zh-CN"/>
        </w:rPr>
        <w:t>、其他事项</w:t>
      </w:r>
      <w:r>
        <w:rPr>
          <w:rFonts w:ascii="Arial Narrow" w:hAnsi="Arial Narrow" w:cs="Arial Narrow" w:hint="eastAsia" w:eastAsia="仿宋_GB2312"/>
          <w:b/>
          <w:bCs/>
          <w:color w:val="0000FF"/>
          <w:sz w:val="24"/>
          <w:szCs w:val="24"/>
          <w:lang w:eastAsia="zh-CN"/>
        </w:rPr>
        <w:t>【不适用的删除】</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【适用情形：</w:t>
      </w:r>
      <w:r>
        <w:rPr>
          <w:rFonts w:ascii="Arial Narrow" w:hAnsi="Arial Narrow" w:cs="Arial Narrow" w:eastAsia="仿宋_GB2312"/>
          <w:color w:val="0000FF"/>
          <w:spacing w:val="4"/>
          <w:sz w:val="24"/>
          <w:szCs w:val="24"/>
          <w:lang w:eastAsia="zh-CN"/>
        </w:rPr>
        <w:t>如果认为</w:t>
      </w:r>
      <w:r>
        <w:rPr>
          <w:rFonts w:ascii="Arial Narrow" w:hAnsi="Arial Narrow" w:cs="Arial Narrow" w:hint="eastAsia" w:eastAsia="仿宋_GB2312"/>
          <w:color w:val="0000FF"/>
          <w:spacing w:val="4"/>
          <w:sz w:val="24"/>
          <w:szCs w:val="24"/>
          <w:lang w:eastAsia="zh-CN"/>
        </w:rPr>
        <w:t>某事项</w:t>
      </w:r>
      <w:r>
        <w:rPr>
          <w:rFonts w:ascii="Arial Narrow" w:hAnsi="Arial Narrow" w:cs="Arial Narrow" w:eastAsia="仿宋_GB2312"/>
          <w:color w:val="0000FF"/>
          <w:spacing w:val="4"/>
          <w:sz w:val="24"/>
          <w:szCs w:val="24"/>
          <w:lang w:eastAsia="zh-CN"/>
        </w:rPr>
        <w:t>虽未在财务报表中列报或披露，</w:t>
      </w:r>
      <w:r>
        <w:rPr>
          <w:rFonts w:ascii="Arial Narrow" w:hAnsi="Arial Narrow" w:cs="Arial Narrow" w:hint="eastAsia" w:eastAsia="仿宋_GB2312"/>
          <w:color w:val="0000FF"/>
          <w:spacing w:val="4"/>
          <w:sz w:val="24"/>
          <w:szCs w:val="24"/>
          <w:lang w:eastAsia="zh-CN"/>
        </w:rPr>
        <w:t>也未被确定为关键审计事项，</w:t>
      </w:r>
      <w:r>
        <w:rPr>
          <w:rFonts w:ascii="Arial Narrow" w:hAnsi="Arial Narrow" w:cs="Arial Narrow" w:eastAsia="仿宋_GB2312"/>
          <w:color w:val="0000FF"/>
          <w:spacing w:val="4"/>
          <w:sz w:val="24"/>
          <w:szCs w:val="24"/>
          <w:lang w:eastAsia="zh-CN"/>
        </w:rPr>
        <w:t>但根据职业判断认为与财务报表使用者理解审计工作、注册会计师的责任或审计报告相关</w:t>
      </w:r>
      <w:r>
        <w:rPr>
          <w:rFonts w:ascii="Arial Narrow" w:hAnsi="Arial Narrow" w:cs="Arial Narrow" w:hint="eastAsia" w:eastAsia="仿宋_GB2312"/>
          <w:color w:val="0000FF"/>
          <w:spacing w:val="4"/>
          <w:sz w:val="24"/>
          <w:szCs w:val="24"/>
          <w:lang w:eastAsia="zh-CN"/>
        </w:rPr>
        <w:t>且该事项未被法律法规禁止披露时</w:t>
      </w:r>
      <w:r>
        <w:rPr>
          <w:rFonts w:ascii="Arial Narrow" w:hAnsi="Arial Narrow" w:cs="Arial Narrow" w:eastAsia="仿宋_GB2312"/>
          <w:color w:val="0000FF"/>
          <w:spacing w:val="4"/>
          <w:sz w:val="24"/>
          <w:szCs w:val="24"/>
          <w:lang w:eastAsia="zh-CN"/>
        </w:rPr>
        <w:t>，</w:t>
      </w:r>
      <w:r>
        <w:rPr>
          <w:rFonts w:ascii="Arial Narrow" w:hAnsi="Arial Narrow" w:cs="Arial Narrow" w:hint="eastAsia" w:eastAsia="仿宋_GB2312"/>
          <w:color w:val="0000FF"/>
          <w:spacing w:val="4"/>
          <w:sz w:val="24"/>
          <w:szCs w:val="24"/>
          <w:lang w:eastAsia="zh-CN"/>
        </w:rPr>
        <w:t>可增加“其他事项”】</w:t>
      </w:r>
    </w:p>
    <w:p>
      <w:pPr>
        <w:pStyle w:val="Normal"/>
        <w:spacing w:lineRule="auto" w:line="300" w:before="120" w:after="0"/>
        <w:ind w:firstLineChars="200" w:startChars="0" w:start="0" w:endChars="0" w:end="0"/>
        <w:jc w:val="both"/>
        <w:rPr>
          <w:rFonts w:ascii="Arial Narrow" w:hAnsi="Arial Narrow" w:eastAsia="仿宋_GB2312" w:cs="Arial Narrow"/>
          <w:color w:val="FF0000"/>
          <w:spacing w:val="4"/>
          <w:sz w:val="24"/>
          <w:szCs w:val="24"/>
          <w:lang w:eastAsia="zh-CN"/>
        </w:rPr>
      </w:pPr>
      <w:r>
        <w:rPr>
          <w:rFonts w:eastAsia="仿宋_GB2312" w:cs="Arial Narrow" w:ascii="Arial Narrow" w:hAnsi="Arial Narrow"/>
          <w:color w:val="FF0000"/>
          <w:spacing w:val="4"/>
          <w:sz w:val="24"/>
          <w:szCs w:val="24"/>
          <w:lang w:eastAsia="zh-CN"/>
        </w:rPr>
        <w:t>2024</w:t>
      </w:r>
      <w:r>
        <w:rPr>
          <w:rFonts w:ascii="Arial Narrow" w:hAnsi="Arial Narrow" w:cs="Arial Narrow" w:hint="eastAsia" w:eastAsia="仿宋_GB2312"/>
          <w:color w:val="FF0000"/>
          <w:spacing w:val="4"/>
          <w:sz w:val="24"/>
          <w:szCs w:val="24"/>
          <w:lang w:eastAsia="zh-CN"/>
        </w:rPr>
        <w:t>年</w:t>
      </w:r>
      <w:r>
        <w:rPr>
          <w:rFonts w:eastAsia="仿宋_GB2312" w:cs="Arial Narrow"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日的合并及公司资产负债表，</w:t>
      </w:r>
      <w:r>
        <w:rPr>
          <w:rFonts w:eastAsia="仿宋_GB2312" w:cs="Arial Narrow" w:ascii="Arial Narrow" w:hAnsi="Arial Narrow"/>
          <w:color w:val="FF0000"/>
          <w:spacing w:val="4"/>
          <w:sz w:val="24"/>
          <w:szCs w:val="24"/>
          <w:lang w:eastAsia="zh-CN"/>
        </w:rPr>
        <w:t>2024</w:t>
      </w:r>
      <w:r>
        <w:rPr>
          <w:rFonts w:ascii="Arial Narrow" w:hAnsi="Arial Narrow" w:cs="Arial Narrow" w:hint="eastAsia" w:eastAsia="仿宋_GB2312"/>
          <w:color w:val="FF0000"/>
          <w:spacing w:val="4"/>
          <w:sz w:val="24"/>
          <w:szCs w:val="24"/>
          <w:lang w:eastAsia="zh-CN"/>
        </w:rPr>
        <w:t>年度的合并及公司利润表、现金流量表、股东权益变动表以及相关财务报表附注由其他会计师事务所审计，并于</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hint="eastAsia" w:ascii="Arial Narrow" w:hAnsi="Arial Narrow"/>
          <w:color w:val="FF0000"/>
          <w:spacing w:val="4"/>
          <w:sz w:val="24"/>
          <w:szCs w:val="24"/>
          <w:lang w:eastAsia="zh-CN"/>
        </w:rPr>
        <w:t>3</w:t>
      </w:r>
      <w:r>
        <w:rPr>
          <w:rFonts w:ascii="Arial Narrow" w:hAnsi="Arial Narrow" w:cs="Arial Narrow" w:hint="eastAsia" w:eastAsia="仿宋_GB2312"/>
          <w:color w:val="FF0000"/>
          <w:spacing w:val="4"/>
          <w:sz w:val="24"/>
          <w:szCs w:val="24"/>
          <w:lang w:eastAsia="zh-CN"/>
        </w:rPr>
        <w:t>月</w:t>
      </w:r>
      <w:r>
        <w:rPr>
          <w:rFonts w:eastAsia="仿宋_GB2312" w:cs="Arial Narrow"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日发表了无保留意见。</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四、管理层和治理层对财务报表的责任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z w:val="24"/>
          <w:szCs w:val="24"/>
          <w:lang w:eastAsia="zh-CN"/>
        </w:rPr>
      </w:pPr>
      <w:r>
        <w:rPr>
          <w:rFonts w:eastAsia="仿宋_GB2312" w:cs="Arial Narrow" w:hint="eastAsia" w:ascii="Arial Narrow" w:hAnsi="Arial Narrow"/>
          <w:color w:val="0000FF"/>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1" w:top="2835" w:footer="851"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_GB2312"/>
    <w:charset w:val="86"/>
    <w:family w:val="auto"/>
    <w:pitch w:val="default"/>
  </w:font>
  <w:font w:name="仿宋_GB2312">
    <w:charset w:val="86"/>
    <w:family w:val="modern"/>
    <w:pitch w:val="default"/>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p>
    <w:pPr>
      <w:pStyle w:val="Footer"/>
      <w:jc w:val="center"/>
      <w:rPr>
        <w:rFonts w:ascii="Univers;Arial" w:hAnsi="Univers;Arial" w:cs="Univers;Arial"/>
        <w:sz w:val="14"/>
      </w:rPr>
    </w:pPr>
    <w:r>
      <w:rPr>
        <w:rFonts w:cs="Univers;Arial" w:ascii="Univers;Arial" w:hAnsi="Univers;Arial"/>
        <w:sz w:val="1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7"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rFonts w:ascii="Symbol" w:hAnsi="Symbol" w:cs="Symbol"/>
      <w:color w:val="000000"/>
    </w:rPr>
  </w:style>
  <w:style w:type="character" w:styleId="WW8Num3z1">
    <w:name w:val="WW8Num3z1"/>
    <w:qFormat/>
    <w:rPr>
      <w:rFonts w:ascii="Symbol" w:hAnsi="Symbol" w:cs="Symbol"/>
    </w:rPr>
  </w:style>
  <w:style w:type="character" w:styleId="WW8Num3z2">
    <w:name w:val="WW8Num3z2"/>
    <w:qFormat/>
    <w:rPr>
      <w:rFonts w:ascii="Wingdings" w:hAnsi="Wingdings" w:cs="Wingdings"/>
    </w:rPr>
  </w:style>
  <w:style w:type="character" w:styleId="WW8Num4z0">
    <w:name w:val="WW8Num4z0"/>
    <w:qFormat/>
    <w:rPr>
      <w:rFonts w:ascii="宋体;SimSun" w:hAnsi="宋体;SimSun" w:eastAsia="宋体;SimSun" w:cs="Times New Roman" w:hint="eastAsia"/>
    </w:rPr>
  </w:style>
  <w:style w:type="character" w:styleId="WW8Num4z1">
    <w:name w:val="WW8Num4z1"/>
    <w:qFormat/>
    <w:rPr>
      <w:rFonts w:ascii="Wingdings" w:hAnsi="Wingdings" w:cs="Wingdings"/>
    </w:rPr>
  </w:style>
  <w:style w:type="character" w:styleId="WW8Num5z0">
    <w:name w:val="WW8Num5z0"/>
    <w:qFormat/>
    <w:rPr>
      <w:rFonts w:hint="eastAsia"/>
    </w:rPr>
  </w:style>
  <w:style w:type="character" w:styleId="WW8Num6z0">
    <w:name w:val="WW8Num6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_GB2312" w:hAnsi="挀甀洀攀渀;仿宋_GB2312" w:eastAsia="宋体;SimSun" w:cs="挀甀洀攀渀;仿宋_GB2312"/>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Default">
    <w:name w:val="Default"/>
    <w:qFormat/>
    <w:pPr>
      <w:widowControl w:val="false"/>
      <w:autoSpaceDE w:val="false"/>
      <w:bidi w:val="0"/>
    </w:pPr>
    <w:rPr>
      <w:rFonts w:ascii="仿宋_GB2312" w:hAnsi="仿宋_GB2312" w:eastAsia="仿宋_GB2312" w:cs="仿宋_GB2312"/>
      <w:color w:val="000000"/>
      <w:sz w:val="24"/>
      <w:szCs w:val="24"/>
      <w:lang w:bidi="ar-SA" w:val="en-US" w:eastAsia="zh-CN"/>
    </w:rPr>
  </w:style>
  <w:style w:type="paragraph" w:styleId="Style26">
    <w:name w:val="表格内容"/>
    <w:basedOn w:val="Normal"/>
    <w:qFormat/>
    <w:pPr>
      <w:widowControl w:val="false"/>
      <w:suppressLineNumbers/>
    </w:pPr>
    <w:rPr/>
  </w:style>
  <w:style w:type="paragraph" w:styleId="Style27">
    <w:name w:val="表格标题"/>
    <w:basedOn w:val="Style26"/>
    <w:qFormat/>
    <w:pPr>
      <w:suppressLineNumbers/>
      <w:jc w:val="center"/>
    </w:pPr>
    <w:rPr>
      <w:b/>
      <w:bCs/>
    </w:rPr>
  </w:style>
  <w:style w:type="paragraph" w:styleId="Style28">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72</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dc:description/>
  <cp:keywords/>
  <dc:language>zh-CN</dc:language>
  <cp:lastModifiedBy>1</cp:lastModifiedBy>
  <cp:lastPrinted>2017-03-15T11:59:00Z</cp:lastPrinted>
  <dcterms:modified xsi:type="dcterms:W3CDTF">2026-01-30T16:20:00Z</dcterms:modified>
  <cp:revision>18</cp:revision>
  <dc:subject/>
  <dc:title/>
</cp:coreProperties>
</file>