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非公众利益实体</w:t>
            </w:r>
            <w:r>
              <w:rPr>
                <w:rFonts w:ascii="Arial Narrow" w:hAnsi="Arial Narrow" w:cs="Arial Narrow" w:hint="eastAsia" w:eastAsia="仿宋_GB2312"/>
                <w:b/>
                <w:color w:val="0000FF"/>
                <w:sz w:val="24"/>
                <w:szCs w:val="24"/>
                <w:lang w:eastAsia="zh-CN"/>
              </w:rPr>
              <w:t>保留意见的简单版本，对于发表保留意见但是需要包含与持续经营相关的重大不确定性、强调事项段、其他事项段的情况，请参考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非公众利益实体</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i/>
                <w:color w:val="0000FF"/>
                <w:sz w:val="24"/>
                <w:szCs w:val="24"/>
                <w:highlight w:val="yellow"/>
                <w:u w:val="single"/>
                <w:lang w:eastAsia="zh-CN"/>
              </w:rPr>
              <w:t>非公众利益实体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.2 </w:t>
            </w:r>
            <w:r>
              <w:rPr>
                <w:rFonts w:ascii="Arial Narrow" w:hAnsi="Arial Narrow" w:cs="Arial Narrow" w:hint="eastAsia" w:eastAsia="仿宋_GB2312"/>
                <w:b/>
                <w:color w:val="0000FF"/>
                <w:sz w:val="24"/>
                <w:szCs w:val="24"/>
                <w:lang w:eastAsia="zh-CN"/>
              </w:rPr>
              <w:t>由于存在重大错报或无法获取充分、适当的审计证据，对财务报表影响重大但不具有广泛性而出具保留意见的审计报告；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3  </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4  </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适用的相关职业道德要求为中国注册会计师职业道德守则；</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注册会计师未被要求，并且也决定不沟通关键审计事项。如果决定沟通关键审计事项，需参照上市公司无保留意见的版本；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w:t>
            </w:r>
            <w:r>
              <w:rPr>
                <w:rFonts w:ascii="Arial Narrow" w:hAnsi="Arial Narrow" w:cs="Arial Narrow" w:hint="eastAsia" w:eastAsia="仿宋_GB2312"/>
                <w:b/>
                <w:color w:val="0000FF"/>
                <w:sz w:val="24"/>
                <w:szCs w:val="24"/>
                <w:u w:val="single"/>
                <w:lang w:eastAsia="zh-CN"/>
              </w:rPr>
              <w:t>所有其他信息</w:t>
            </w:r>
            <w:r>
              <w:rPr>
                <w:rFonts w:ascii="Arial Narrow" w:hAnsi="Arial Narrow" w:cs="Arial Narrow" w:hint="eastAsia" w:eastAsia="仿宋_GB2312"/>
                <w:b/>
                <w:color w:val="0000FF"/>
                <w:sz w:val="24"/>
                <w:szCs w:val="24"/>
                <w:lang w:eastAsia="zh-CN"/>
              </w:rPr>
              <w:t>，且导致对财务报表发表保留意见的事项也影响了其他信息；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sectPr>
          <w:type w:val="continuous"/>
          <w:pgSz w:w="11906" w:h="16838"/>
          <w:pgMar w:left="1985" w:right="1803" w:gutter="0" w:header="850" w:top="2835" w:footer="850" w:bottom="1440"/>
          <w:formProt w:val="false"/>
          <w:textDirection w:val="lrTb"/>
          <w:docGrid w:type="default" w:linePitch="272" w:charSpace="0"/>
        </w:sectPr>
      </w:pPr>
      <w:r>
        <w:br w:type="page"/>
      </w:r>
    </w:p>
    <w:p>
      <w:pPr>
        <w:pStyle w:val="Normal"/>
        <w:jc w:val="center"/>
        <w:rPr>
          <w:rFonts w:ascii="Arial Narrow" w:hAnsi="Arial Narrow" w:eastAsia="仿宋_GB2312" w:cs="Arial Narrow" w:hint="eastAsia"/>
          <w:bCs/>
          <w:color w:val="0000FF"/>
          <w:sz w:val="24"/>
          <w:szCs w:val="44"/>
          <w:lang w:eastAsia="zh-CN"/>
        </w:rPr>
      </w:pPr>
      <w:r>
        <w:rPr>
          <w:rFonts w:eastAsia="仿宋_GB2312" w:cs="Arial Narrow" w:hint="eastAsia" w:ascii="Arial Narrow" w:hAnsi="Arial Narrow"/>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7"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22</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保留</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我们认为，除“形成保留意见的基础”部分所述事项产生的影响外，后附的财务报表在所有重大方面按照企业会计准则的规定编制，公允反映了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二、形成保留意见的基础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号》【适用于注册会计师对上市公司财务报表发表非标准审计意见，注册会计师在其他证券服务业务中发表非标准审计意见可参照本指引】：</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hint="eastAsia"/>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受限”事项未能获取的审计证据内容，即应获取何种审计证据方可解决“受限”。</w:t>
            </w:r>
          </w:p>
        </w:tc>
      </w:tr>
    </w:tbl>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0000FF"/>
          <w:sz w:val="24"/>
          <w:szCs w:val="24"/>
          <w:lang w:eastAsia="zh-CN"/>
        </w:rPr>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：存在错报，该错报对财务报表影响重大但不具有广泛性的参考措辞】</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日资产负债表中存货的列示金额为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公司管理层（以下简称管理层）根据成本对存货进行计量，而没有根据成本与可变现净值孰低的原则进行计量，这不符合企业会计准则的规定。</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公司的会计记录显示，如果管理层以成本与可变现净值孰低来计量存货，存货列示金额将减少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元。相应地，资产减值损失将增加</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元，所得税、净利润和股东权益将分别减少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元和</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情形</w:t>
      </w:r>
      <w:r>
        <w:rPr>
          <w:rFonts w:eastAsia="仿宋_GB2312" w:cs="Arial Narrow" w:ascii="Arial Narrow" w:hAnsi="Arial Narrow"/>
          <w:bCs/>
          <w:color w:val="0000FF"/>
          <w:sz w:val="24"/>
          <w:szCs w:val="24"/>
          <w:lang w:eastAsia="zh-CN"/>
        </w:rPr>
        <w:t>2</w:t>
      </w:r>
      <w:r>
        <w:rPr>
          <w:rFonts w:ascii="Arial Narrow" w:hAnsi="Arial Narrow" w:cs="Arial Narrow" w:hint="eastAsia" w:eastAsia="仿宋_GB2312"/>
          <w:bCs/>
          <w:color w:val="0000FF"/>
          <w:sz w:val="24"/>
          <w:szCs w:val="24"/>
          <w:lang w:eastAsia="zh-CN"/>
        </w:rPr>
        <w:t>：</w:t>
      </w:r>
      <w:r>
        <w:rPr>
          <w:rFonts w:ascii="Arial Narrow" w:hAnsi="Arial Narrow" w:cs="Arial Narrow" w:hint="eastAsia" w:eastAsia="仿宋_GB2312"/>
          <w:color w:val="0000FF"/>
          <w:sz w:val="24"/>
          <w:szCs w:val="24"/>
          <w:lang w:eastAsia="zh-CN"/>
        </w:rPr>
        <w:t>注册会计师无法获取充分、适当的审计证据，这一事项对财务报表可能产生的影响重大，但不具有广泛性的参考措辞</w:t>
      </w:r>
      <w:r>
        <w:rPr>
          <w:rFonts w:ascii="Arial Narrow" w:hAnsi="Arial Narrow" w:cs="Arial Narrow" w:hint="eastAsia" w:eastAsia="仿宋_GB2312"/>
          <w:b/>
          <w:bCs/>
          <w:color w:val="0000FF"/>
          <w:sz w:val="24"/>
          <w:szCs w:val="24"/>
          <w:lang w:eastAsia="zh-CN"/>
        </w:rPr>
        <w:t>】</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年取得了境外</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w:t>
      </w:r>
      <w:r>
        <w:rPr>
          <w:rFonts w:eastAsia="仿宋_GB2312" w:cs="Arial Narrow" w:ascii="Arial Narrow" w:hAnsi="Arial Narrow"/>
          <w:bCs/>
          <w:color w:val="FF0000"/>
          <w:sz w:val="24"/>
          <w:szCs w:val="24"/>
          <w:lang w:val="en-GB"/>
        </w:rPr>
        <w:t>30%</w:t>
      </w:r>
      <w:r>
        <w:rPr>
          <w:rFonts w:ascii="仿宋_GB2312" w:hAnsi="仿宋_GB2312" w:hint="eastAsia" w:eastAsia="仿宋_GB2312"/>
          <w:bCs/>
          <w:color w:val="FF0000"/>
          <w:sz w:val="24"/>
          <w:szCs w:val="24"/>
          <w:lang w:val="en-GB"/>
        </w:rPr>
        <w:t>的股权，因能够对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公司施加重大影响，故采用权益法核算该项股权投资，于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年度确认对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cs="Arial Narrow" w:ascii="Arial Narrow" w:hAnsi="Arial Narrow"/>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cs="Arial Narrow" w:ascii="Arial Narrow" w:hAnsi="Arial Narrow"/>
          <w:bCs/>
          <w:color w:val="FF0000"/>
          <w:sz w:val="24"/>
          <w:szCs w:val="24"/>
          <w:lang w:val="en-GB"/>
        </w:rPr>
        <w:t>31</w:t>
      </w:r>
      <w:r>
        <w:rPr>
          <w:rFonts w:ascii="仿宋_GB2312" w:hAnsi="仿宋_GB2312" w:hint="eastAsia" w:eastAsia="仿宋_GB2312"/>
          <w:bCs/>
          <w:color w:val="FF0000"/>
          <w:sz w:val="24"/>
          <w:szCs w:val="24"/>
          <w:lang w:val="en-GB"/>
        </w:rPr>
        <w:t>日合并资产负债表上反映的账面价值为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元。由于我们未被允许接触</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公司的财务信息、管理层和执行</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公司审计的注册会计师，我们无法就该项股权投资的账面价值以及</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确认的</w:t>
      </w:r>
      <w:r>
        <w:rPr>
          <w:rFonts w:eastAsia="仿宋_GB2312" w:cs="Arial Narrow" w:ascii="Arial Narrow" w:hAnsi="Arial Narrow"/>
          <w:bCs/>
          <w:color w:val="FF0000"/>
          <w:sz w:val="24"/>
          <w:szCs w:val="24"/>
          <w:lang w:val="en-GB"/>
        </w:rPr>
        <w:t>20</w:t>
      </w:r>
      <w:r>
        <w:rPr>
          <w:rFonts w:eastAsia="仿宋_GB2312" w:cs="Arial Narrow" w:ascii="Arial Narrow" w:hAnsi="Arial Narrow"/>
          <w:bCs/>
          <w:color w:val="FF0000"/>
          <w:sz w:val="24"/>
          <w:szCs w:val="24"/>
          <w:lang w:val="en-GB" w:eastAsia="zh-CN"/>
        </w:rPr>
        <w:t>20</w:t>
      </w:r>
      <w:r>
        <w:rPr>
          <w:rFonts w:ascii="仿宋_GB2312" w:hAnsi="仿宋_GB2312" w:hint="eastAsia" w:eastAsia="仿宋_GB2312"/>
          <w:bCs/>
          <w:color w:val="FF0000"/>
          <w:sz w:val="24"/>
          <w:szCs w:val="24"/>
          <w:lang w:val="en-GB"/>
        </w:rPr>
        <w:t>年度对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公司的投资收益获取充分、适当的审计证据，也无法确定是否有必要对这些金额进行调整。</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bookmarkStart w:id="0" w:name="OLE_LINK1"/>
      <w:r>
        <w:rPr>
          <w:rFonts w:ascii="Arial Narrow" w:hAnsi="Arial Narrow" w:cs="宋体;SimSun" w:hint="eastAsia" w:eastAsia="仿宋_GB2312"/>
          <w:spacing w:val="4"/>
          <w:sz w:val="24"/>
          <w:szCs w:val="24"/>
          <w:highlight w:val="cyan"/>
          <w:lang w:eastAsia="zh-CN"/>
        </w:rPr>
        <w:t>和中国注册会计师独立性准则</w:t>
      </w:r>
      <w:bookmarkEnd w:id="0"/>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公司，并履行了职业道德方面的其他责任。我们相信，我们获取的审计证据是充分、适当的，为发表保留意见提供了基础。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eastAsia="等线;DengXian"/>
          <w:b/>
          <w:bCs/>
          <w:sz w:val="24"/>
          <w:szCs w:val="24"/>
          <w:lang w:eastAsia="zh-CN"/>
        </w:rPr>
        <w:t>三</w:t>
      </w:r>
      <w:r>
        <w:rPr>
          <w:rFonts w:ascii="Arial Narrow" w:hAnsi="Arial Narrow" w:cs="Arial Narrow" w:hint="eastAsia" w:eastAsia="仿宋_GB2312"/>
          <w:b/>
          <w:bCs/>
          <w:sz w:val="24"/>
          <w:szCs w:val="24"/>
        </w:rPr>
        <w:t>、管理层和治理层对财务报表的责任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eastAsia="等线;DengXian"/>
          <w:b/>
          <w:bCs/>
          <w:sz w:val="24"/>
          <w:szCs w:val="24"/>
          <w:lang w:eastAsia="zh-CN"/>
        </w:rPr>
        <w:t>四</w:t>
      </w:r>
      <w:r>
        <w:rPr>
          <w:rFonts w:ascii="Arial Narrow" w:hAnsi="Arial Narrow" w:cs="Arial Narrow" w:hint="eastAsia" w:eastAsia="仿宋_GB2312"/>
          <w:b/>
          <w:bCs/>
          <w:sz w:val="24"/>
          <w:szCs w:val="24"/>
        </w:rPr>
        <w:t>、注册会计师对财务报表审计的责任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14" w:type="dxa"/>
        <w:jc w:val="start"/>
        <w:tblInd w:w="108" w:type="dxa"/>
        <w:tblLayout w:type="fixed"/>
        <w:tblCellMar>
          <w:top w:w="0" w:type="dxa"/>
          <w:start w:w="108" w:type="dxa"/>
          <w:bottom w:w="0" w:type="dxa"/>
          <w:end w:w="108" w:type="dxa"/>
        </w:tblCellMar>
      </w:tblPr>
      <w:tblGrid>
        <w:gridCol w:w="3095"/>
        <w:gridCol w:w="3224"/>
        <w:gridCol w:w="2195"/>
      </w:tblGrid>
      <w:tr>
        <w:trPr>
          <w:trHeight w:val="1629" w:hRule="atLeast"/>
        </w:trPr>
        <w:tc>
          <w:tcPr>
            <w:tcW w:w="3095"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24"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195"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633" w:hRule="atLeast"/>
        </w:trPr>
        <w:tc>
          <w:tcPr>
            <w:tcW w:w="3095"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19"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 w:name="等线">
    <w:altName w:val="DengXian"/>
    <w:charset w:val="86"/>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6"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36</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dc:description/>
  <cp:keywords/>
  <dc:language>zh-CN</dc:language>
  <cp:lastModifiedBy>1</cp:lastModifiedBy>
  <cp:lastPrinted>2017-03-15T11:59:00Z</cp:lastPrinted>
  <dcterms:modified xsi:type="dcterms:W3CDTF">2026-01-30T16:28:00Z</dcterms:modified>
  <cp:revision>21</cp:revision>
  <dc:subject/>
  <dc:title/>
</cp:coreProperties>
</file>