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897" w:type="dxa"/>
        <w:jc w:val="start"/>
        <w:tblInd w:w="0" w:type="dxa"/>
        <w:tblLayout w:type="fixed"/>
        <w:tblCellMar>
          <w:top w:w="0" w:type="dxa"/>
          <w:start w:w="108" w:type="dxa"/>
          <w:bottom w:w="0" w:type="dxa"/>
          <w:end w:w="108" w:type="dxa"/>
        </w:tblCellMar>
      </w:tblPr>
      <w:tblGrid>
        <w:gridCol w:w="8897"/>
      </w:tblGrid>
      <w:tr>
        <w:trPr/>
        <w:tc>
          <w:tcPr>
            <w:tcW w:w="8897"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897" w:type="dxa"/>
        <w:jc w:val="start"/>
        <w:tblInd w:w="0" w:type="dxa"/>
        <w:tblLayout w:type="fixed"/>
        <w:tblCellMar>
          <w:top w:w="0" w:type="dxa"/>
          <w:start w:w="108" w:type="dxa"/>
          <w:bottom w:w="0" w:type="dxa"/>
          <w:end w:w="108" w:type="dxa"/>
        </w:tblCellMar>
      </w:tblPr>
      <w:tblGrid>
        <w:gridCol w:w="8897"/>
      </w:tblGrid>
      <w:tr>
        <w:trPr/>
        <w:tc>
          <w:tcPr>
            <w:tcW w:w="8897"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当运用重要性水平评价错报是否重大。对于已发现的错报，如错报金额超过财务报表整体重要性水平，表明错报具有重大性，除非基于特定情况认为不重大（例如某些重分类错报）；如错报金额低于财务报表整体重要性水平，需要考虑错报的性质以及错报发生的特定环境。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注册会计师若在获取充分、适当的审计证据后，认为错报对财务报表的影响重大且具有广泛性，应当发表否定意见。若无法获取充分、适当的审计证据，但认为未发现的错报对财务报表可能产生的影响重大且具有广泛性，应当发表无法表示意见。</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val="en-AU"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非公众利益</w:t>
            </w:r>
            <w:r>
              <w:rPr>
                <w:rFonts w:ascii="Arial Narrow" w:hAnsi="Arial Narrow" w:cs="Arial Narrow" w:hint="eastAsia" w:eastAsia="仿宋_GB2312"/>
                <w:b/>
                <w:color w:val="0000FF"/>
                <w:sz w:val="24"/>
                <w:szCs w:val="24"/>
                <w:lang w:eastAsia="zh-CN"/>
              </w:rPr>
              <w:t>否定意见的简单版本。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非公众利益</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存在错报，该错报对财务报表影响重大且具有广泛性（即否定意见是恰当的）；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4</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适用的相关职业道德要求为中国注册会计师职业道德守则；</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w:t>
            </w:r>
            <w:r>
              <w:rPr>
                <w:rFonts w:ascii="Arial Narrow" w:hAnsi="Arial Narrow" w:cs="Arial Narrow" w:hint="eastAsia" w:eastAsia="仿宋_GB2312"/>
                <w:b/>
                <w:color w:val="0000FF"/>
                <w:sz w:val="24"/>
                <w:szCs w:val="24"/>
                <w:highlight w:val="yellow"/>
                <w:lang w:eastAsia="zh-CN"/>
              </w:rPr>
              <w:t>非公众利益</w:t>
            </w:r>
            <w:r>
              <w:rPr>
                <w:rFonts w:ascii="Arial Narrow" w:hAnsi="Arial Narrow" w:cs="Arial Narrow" w:hint="eastAsia" w:eastAsia="仿宋_GB2312"/>
                <w:b/>
                <w:color w:val="0000FF"/>
                <w:sz w:val="24"/>
                <w:szCs w:val="24"/>
                <w:lang w:eastAsia="zh-CN"/>
              </w:rPr>
              <w:t>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注册会计师未被要求，并且也决定不沟通关键审计事项。注册会计师认为除形成否定意见的基础部分所述的事项外，无其他关键审计事项；</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注册会计师在审计报告日前已经获取所有其他信息，且导致对财务报表发表否定意见的事项也影响了其他信息。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“（四）管理层和治理层对财务报表的责任”修改为“（四）管理层对财务报表的责任”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sectPr>
          <w:type w:val="continuous"/>
          <w:pgSz w:w="11906" w:h="16838"/>
          <w:pgMar w:left="1985" w:right="1803" w:gutter="0" w:header="850" w:top="2835" w:footer="850" w:bottom="1440"/>
          <w:formProt w:val="false"/>
          <w:textDirection w:val="lrTb"/>
          <w:docGrid w:type="default" w:linePitch="272" w:charSpace="0"/>
        </w:sectPr>
      </w:pPr>
      <w:r>
        <w:br w:type="page"/>
      </w:r>
    </w:p>
    <w:p>
      <w:pPr>
        <w:pStyle w:val="Normal"/>
        <w:jc w:val="center"/>
        <w:rPr>
          <w:rFonts w:ascii="Arial Narrow" w:hAnsi="Arial Narrow" w:eastAsia="仿宋_GB2312" w:cs="Arial Narrow" w:hint="eastAsia"/>
          <w:bCs/>
          <w:color w:val="0000FF"/>
          <w:sz w:val="24"/>
          <w:szCs w:val="44"/>
          <w:lang w:eastAsia="zh-CN"/>
        </w:rPr>
      </w:pPr>
      <w:r>
        <w:rPr>
          <w:rFonts w:eastAsia="仿宋_GB2312" w:cs="Arial Narrow" w:hint="eastAsia" w:ascii="Arial Narrow" w:hAnsi="Arial Narrow"/>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7"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一、否定意见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我们认为，由于“形成否定意见的基础”部分所述事项的重要性，后附的财务报表没有在所有重大方面按照企业会计准则的规定编制，未能公允反映</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二、形成否定意见的基础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bCs/>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w:t>
            </w:r>
          </w:p>
          <w:p>
            <w:pPr>
              <w:pStyle w:val="Normal"/>
              <w:widowControl w:val="false"/>
              <w:snapToGrid w:val="false"/>
              <w:spacing w:lineRule="auto" w:line="300" w:before="120" w:after="0"/>
              <w:ind w:firstLineChars="200" w:startChars="0" w:start="0" w:endChars="0" w:end="0"/>
              <w:jc w:val="both"/>
              <w:rPr>
                <w:rFonts w:ascii="仿宋_GB2312" w:hAnsi="仿宋_GB2312" w:eastAsia="宋体;SimSun"/>
                <w:bCs/>
                <w:color w:val="FF0000"/>
                <w:sz w:val="24"/>
                <w:szCs w:val="24"/>
                <w:lang w:val="en-GB"/>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所述，由于无法确定</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仿宋_GB2312" w:hAnsi="仿宋_GB2312" w:hint="eastAsia" w:eastAsia="仿宋_GB2312"/>
          <w:bCs/>
          <w:color w:val="FF0000"/>
          <w:sz w:val="24"/>
          <w:szCs w:val="24"/>
          <w:lang w:val="en-GB"/>
        </w:rPr>
        <w:t>收购的子公司</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公司某些重要资产和负债项目在收购日的公允价值，</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未将该子公司纳入合并范围。该项投资以成本计量。根据企业会计准则，</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应将该子公司纳入合并范围，并以暂估金额为基础核算该项收购。如果将</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公司纳入合并范围，后附合并财务报表的多个项目将受到重大影响。我们尚未确定未将该公司纳入合并范围对合并财务报表的影响。</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公司，并履行了职业道德方面的其他责任。我们相信，我们获取的审计证据是充分、适当的，为发表否定审计意见提供了基础。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eastAsia="等线;DengXian"/>
          <w:b/>
          <w:bCs/>
          <w:sz w:val="24"/>
          <w:szCs w:val="24"/>
          <w:lang w:eastAsia="zh-CN"/>
        </w:rPr>
        <w:t>三</w:t>
      </w:r>
      <w:r>
        <w:rPr>
          <w:rFonts w:ascii="Arial Narrow" w:hAnsi="Arial Narrow" w:cs="Arial Narrow" w:hint="eastAsia" w:eastAsia="仿宋_GB2312"/>
          <w:b/>
          <w:bCs/>
          <w:sz w:val="24"/>
          <w:szCs w:val="24"/>
        </w:rPr>
        <w:t>、管理层和治理层对财务报表的责任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eastAsia="等线;DengXian"/>
          <w:b/>
          <w:bCs/>
          <w:sz w:val="24"/>
          <w:szCs w:val="24"/>
          <w:lang w:eastAsia="zh-CN"/>
        </w:rPr>
        <w:t>四</w:t>
      </w:r>
      <w:r>
        <w:rPr>
          <w:rFonts w:ascii="Arial Narrow" w:hAnsi="Arial Narrow" w:cs="Arial Narrow" w:hint="eastAsia" w:eastAsia="仿宋_GB2312"/>
          <w:b/>
          <w:bCs/>
          <w:sz w:val="24"/>
          <w:szCs w:val="24"/>
        </w:rPr>
        <w:t>、注册会计师对财务报表审计的责任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是单一公司</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pacing w:val="4"/>
          <w:sz w:val="24"/>
          <w:szCs w:val="24"/>
          <w:lang w:eastAsia="zh-CN"/>
        </w:rPr>
      </w:pPr>
      <w:r>
        <w:rPr>
          <w:rFonts w:eastAsia="仿宋_GB2312" w:cs="Arial Narrow" w:hint="eastAsia"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bl>
      <w:tblPr>
        <w:tblpPr w:vertAnchor="text" w:horzAnchor="margin" w:tblpXSpec="center" w:leftFromText="181" w:rightFromText="181" w:tblpY="1"/>
        <w:tblOverlap w:val="never"/>
        <w:tblW w:w="8525" w:type="dxa"/>
        <w:jc w:val="start"/>
        <w:tblInd w:w="108" w:type="dxa"/>
        <w:tblLayout w:type="fixed"/>
        <w:tblCellMar>
          <w:top w:w="0" w:type="dxa"/>
          <w:start w:w="108" w:type="dxa"/>
          <w:bottom w:w="0" w:type="dxa"/>
          <w:end w:w="108" w:type="dxa"/>
        </w:tblCellMar>
      </w:tblPr>
      <w:tblGrid>
        <w:gridCol w:w="3099"/>
        <w:gridCol w:w="3228"/>
        <w:gridCol w:w="2198"/>
      </w:tblGrid>
      <w:tr>
        <w:trPr>
          <w:trHeight w:val="2056" w:hRule="atLeast"/>
        </w:trPr>
        <w:tc>
          <w:tcPr>
            <w:tcW w:w="3099"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28"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198"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798" w:hRule="atLeast"/>
        </w:trPr>
        <w:tc>
          <w:tcPr>
            <w:tcW w:w="3099"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26"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 w:name="等线">
    <w:altName w:val="DengXian"/>
    <w:charset w:val="86"/>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6"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52</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dc:description/>
  <cp:keywords/>
  <dc:language>zh-CN</dc:language>
  <cp:lastModifiedBy>1</cp:lastModifiedBy>
  <cp:lastPrinted>2017-03-15T11:59:00Z</cp:lastPrinted>
  <dcterms:modified xsi:type="dcterms:W3CDTF">2026-01-30T16:24:00Z</dcterms:modified>
  <cp:revision>17</cp:revision>
  <dc:subject/>
  <dc:title/>
</cp:coreProperties>
</file>