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11F79">
      <w:pPr>
        <w:jc w:val="center"/>
        <w:rPr>
          <w:rFonts w:ascii="Arial Narrow" w:hAnsi="Arial Narrow" w:eastAsia="仿宋_GB2312" w:cs="Arial Narrow"/>
          <w:sz w:val="24"/>
          <w:szCs w:val="24"/>
          <w:lang w:eastAsia="zh-CN"/>
        </w:rPr>
      </w:pPr>
    </w:p>
    <w:p w14:paraId="75C2B7EC">
      <w:pPr>
        <w:jc w:val="center"/>
        <w:rPr>
          <w:rFonts w:ascii="Arial Narrow" w:hAnsi="Arial Narrow" w:eastAsia="仿宋_GB2312" w:cs="Arial Narrow"/>
          <w:sz w:val="24"/>
          <w:szCs w:val="24"/>
          <w:lang w:eastAsia="zh-CN"/>
        </w:rPr>
      </w:pPr>
    </w:p>
    <w:p w14:paraId="6F942774">
      <w:pPr>
        <w:jc w:val="center"/>
        <w:rPr>
          <w:rFonts w:ascii="Arial Narrow" w:hAnsi="Arial Narrow" w:eastAsia="仿宋_GB2312" w:cs="Arial Narrow"/>
          <w:sz w:val="24"/>
          <w:szCs w:val="24"/>
          <w:lang w:eastAsia="zh-CN"/>
        </w:rPr>
      </w:pPr>
    </w:p>
    <w:p w14:paraId="57556A30">
      <w:pPr>
        <w:jc w:val="center"/>
        <w:rPr>
          <w:rFonts w:ascii="Arial Narrow" w:hAnsi="Arial Narrow" w:eastAsia="仿宋_GB2312" w:cs="Arial Narrow"/>
          <w:sz w:val="24"/>
          <w:szCs w:val="24"/>
          <w:lang w:eastAsia="zh-CN"/>
        </w:rPr>
      </w:pPr>
    </w:p>
    <w:p w14:paraId="10B862CD">
      <w:pPr>
        <w:jc w:val="center"/>
        <w:rPr>
          <w:rFonts w:ascii="Arial Narrow" w:hAnsi="Arial Narrow" w:eastAsia="仿宋_GB2312" w:cs="Arial Narrow"/>
          <w:sz w:val="24"/>
        </w:rPr>
      </w:pPr>
    </w:p>
    <w:p w14:paraId="271E8074">
      <w:pPr>
        <w:jc w:val="center"/>
        <w:rPr>
          <w:rFonts w:ascii="Arial Narrow" w:hAnsi="Arial Narrow" w:eastAsia="仿宋_GB2312" w:cs="Arial Narrow"/>
          <w:sz w:val="24"/>
        </w:rPr>
      </w:pPr>
    </w:p>
    <w:p w14:paraId="3AC73A98">
      <w:pPr>
        <w:jc w:val="center"/>
        <w:rPr>
          <w:rFonts w:ascii="Arial Narrow" w:hAnsi="Arial Narrow" w:eastAsia="仿宋_GB2312" w:cs="Arial Narrow"/>
          <w:sz w:val="24"/>
          <w:lang w:eastAsia="zh-CN"/>
        </w:rPr>
      </w:pPr>
    </w:p>
    <w:p w14:paraId="4219AA25">
      <w:pPr>
        <w:jc w:val="center"/>
        <w:rPr>
          <w:rFonts w:ascii="Arial Narrow" w:hAnsi="Arial Narrow" w:eastAsia="仿宋_GB2312" w:cs="Arial Narrow"/>
          <w:sz w:val="24"/>
          <w:lang w:eastAsia="zh-CN"/>
        </w:rPr>
      </w:pPr>
    </w:p>
    <w:p w14:paraId="5CCA1281">
      <w:pPr>
        <w:numPr>
          <w:ilvl w:val="0"/>
          <w:numId w:val="0"/>
        </w:numPr>
        <w:spacing w:line="360" w:lineRule="auto"/>
        <w:ind w:firstLine="420"/>
        <w:jc w:val="center"/>
        <w:outlineLvl w:val="0"/>
        <w:rPr>
          <w:rFonts w:ascii="黑体;SimHei" w:hAnsi="黑体;SimHei" w:eastAsia="黑体;SimHei" w:cs="Arial Narrow"/>
          <w:b/>
          <w:sz w:val="48"/>
          <w:szCs w:val="48"/>
          <w:lang w:eastAsia="zh-CN"/>
        </w:rPr>
      </w:pPr>
      <w:r>
        <w:rPr>
          <w:rFonts w:hint="eastAsia" w:ascii="Times New Roman" w:hAnsi="Times New Roman" w:eastAsia="仿宋_GB2312" w:cs="Arial Narrow"/>
          <w:b/>
          <w:color w:val="auto"/>
          <w:sz w:val="24"/>
          <w:szCs w:val="48"/>
          <w:lang w:eastAsia="zh-CN"/>
        </w:rPr>
        <w:t>{{company_full_name}}</w:t>
      </w:r>
    </w:p>
    <w:p w14:paraId="671EFD88">
      <w:pPr>
        <w:numPr>
          <w:ilvl w:val="0"/>
          <w:numId w:val="0"/>
        </w:numPr>
        <w:spacing w:line="360" w:lineRule="auto"/>
        <w:ind w:firstLine="420"/>
        <w:jc w:val="center"/>
        <w:outlineLvl w:val="0"/>
        <w:rPr>
          <w:rFonts w:ascii="黑体;SimHei" w:hAnsi="黑体;SimHei" w:eastAsia="黑体;SimHei" w:cs="Arial Narrow"/>
          <w:b/>
          <w:color w:val="auto"/>
          <w:sz w:val="48"/>
          <w:szCs w:val="48"/>
          <w:lang w:eastAsia="zh-CN"/>
        </w:rPr>
      </w:pPr>
      <w:r>
        <w:rPr>
          <w:rFonts w:hint="eastAsia" w:ascii="Times New Roman" w:hAnsi="Times New Roman" w:eastAsia="仿宋_GB2312" w:cs="Arial Narrow"/>
          <w:b/>
          <w:color w:val="auto"/>
          <w:sz w:val="24"/>
          <w:szCs w:val="48"/>
          <w:lang w:eastAsia="zh-CN"/>
        </w:rPr>
        <w:t>{{audit_year}}年度</w:t>
      </w:r>
    </w:p>
    <w:p w14:paraId="224E7E30">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09E22471">
      <w:pPr>
        <w:jc w:val="center"/>
        <w:rPr>
          <w:rFonts w:ascii="Arial Narrow" w:hAnsi="Arial Narrow" w:eastAsia="仿宋_GB2312" w:cs="Arial Narrow"/>
          <w:b/>
          <w:sz w:val="44"/>
          <w:szCs w:val="44"/>
          <w:lang w:eastAsia="zh-CN"/>
        </w:rPr>
      </w:pPr>
    </w:p>
    <w:p w14:paraId="4C9B1DA2">
      <w:pPr>
        <w:jc w:val="center"/>
        <w:rPr>
          <w:rFonts w:ascii="Arial Narrow" w:hAnsi="Arial Narrow" w:eastAsia="仿宋_GB2312" w:cs="Arial Narrow"/>
          <w:b/>
          <w:sz w:val="44"/>
          <w:szCs w:val="44"/>
          <w:lang w:eastAsia="zh-CN"/>
        </w:rPr>
      </w:pPr>
    </w:p>
    <w:p w14:paraId="14DE55C5">
      <w:pPr>
        <w:jc w:val="center"/>
        <w:rPr>
          <w:rFonts w:ascii="Arial Narrow" w:hAnsi="Arial Narrow" w:eastAsia="仿宋_GB2312" w:cs="Arial Narrow"/>
          <w:b/>
          <w:sz w:val="44"/>
          <w:szCs w:val="44"/>
          <w:lang w:eastAsia="zh-CN"/>
        </w:rPr>
      </w:pPr>
    </w:p>
    <w:p w14:paraId="3F85DC71">
      <w:pPr>
        <w:jc w:val="center"/>
        <w:rPr>
          <w:rFonts w:ascii="Arial Narrow" w:hAnsi="Arial Narrow" w:eastAsia="仿宋_GB2312" w:cs="Arial Narrow"/>
          <w:b/>
          <w:sz w:val="44"/>
          <w:szCs w:val="44"/>
          <w:lang w:eastAsia="zh-CN"/>
        </w:rPr>
      </w:pPr>
    </w:p>
    <w:p w14:paraId="2C8550E0">
      <w:pPr>
        <w:jc w:val="center"/>
        <w:rPr>
          <w:rFonts w:ascii="Arial Narrow" w:hAnsi="Arial Narrow" w:eastAsia="仿宋_GB2312" w:cs="Arial Narrow"/>
          <w:b/>
          <w:sz w:val="44"/>
          <w:szCs w:val="44"/>
          <w:lang w:eastAsia="zh-CN"/>
        </w:rPr>
      </w:pPr>
    </w:p>
    <w:p w14:paraId="57CC0754">
      <w:pPr>
        <w:jc w:val="center"/>
        <w:rPr>
          <w:rFonts w:ascii="Arial Narrow" w:hAnsi="Arial Narrow" w:eastAsia="仿宋_GB2312" w:cs="Arial Narrow"/>
          <w:b/>
          <w:sz w:val="44"/>
          <w:szCs w:val="44"/>
          <w:lang w:eastAsia="zh-CN"/>
        </w:rPr>
      </w:pPr>
    </w:p>
    <w:p w14:paraId="0F59166D">
      <w:pPr>
        <w:jc w:val="center"/>
        <w:rPr>
          <w:rFonts w:ascii="Arial Narrow" w:hAnsi="Arial Narrow" w:eastAsia="仿宋_GB2312" w:cs="Arial Narrow"/>
          <w:b/>
          <w:sz w:val="44"/>
          <w:szCs w:val="44"/>
          <w:lang w:eastAsia="zh-CN"/>
        </w:rPr>
      </w:pPr>
    </w:p>
    <w:p w14:paraId="14C5DADD">
      <w:pPr>
        <w:jc w:val="center"/>
        <w:rPr>
          <w:rFonts w:ascii="Arial Narrow" w:hAnsi="Arial Narrow" w:eastAsia="仿宋_GB2312" w:cs="Arial Narrow"/>
          <w:b/>
          <w:sz w:val="44"/>
          <w:szCs w:val="44"/>
          <w:lang w:eastAsia="zh-CN"/>
        </w:rPr>
      </w:pPr>
    </w:p>
    <w:p w14:paraId="31254BCE">
      <w:pPr>
        <w:jc w:val="center"/>
        <w:rPr>
          <w:rFonts w:ascii="Arial Narrow" w:hAnsi="Arial Narrow" w:eastAsia="仿宋_GB2312" w:cs="Arial Narrow"/>
          <w:b/>
          <w:sz w:val="44"/>
          <w:szCs w:val="44"/>
          <w:lang w:eastAsia="zh-CN"/>
        </w:rPr>
      </w:pPr>
    </w:p>
    <w:p w14:paraId="5D6C7516">
      <w:pPr>
        <w:jc w:val="center"/>
        <w:rPr>
          <w:rFonts w:ascii="Arial Narrow" w:hAnsi="Arial Narrow" w:eastAsia="仿宋_GB2312" w:cs="Arial Narrow"/>
          <w:b/>
          <w:sz w:val="44"/>
          <w:szCs w:val="44"/>
          <w:lang w:eastAsia="zh-CN"/>
        </w:rPr>
      </w:pPr>
    </w:p>
    <w:p w14:paraId="45BB5634">
      <w:pPr>
        <w:jc w:val="center"/>
        <w:rPr>
          <w:rFonts w:ascii="Arial Narrow" w:hAnsi="Arial Narrow" w:eastAsia="仿宋_GB2312" w:cs="Arial Narrow"/>
          <w:b/>
          <w:sz w:val="44"/>
          <w:szCs w:val="44"/>
          <w:lang w:eastAsia="zh-CN"/>
        </w:rPr>
      </w:pPr>
    </w:p>
    <w:p w14:paraId="34A0477A">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481A66EA">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6EDF3CE7">
      <w:pPr>
        <w:jc w:val="center"/>
        <w:rPr>
          <w:rFonts w:hint="eastAsia" w:ascii="Arial Narrow" w:hAnsi="Arial Narrow" w:eastAsia="仿宋_GB2312" w:cs="Arial Narrow"/>
          <w:b/>
          <w:bCs/>
          <w:color w:val="0000FF"/>
          <w:sz w:val="24"/>
          <w:szCs w:val="44"/>
          <w:lang w:eastAsia="zh-CN"/>
        </w:rPr>
      </w:pPr>
    </w:p>
    <w:p w14:paraId="0C43DF97">
      <w:pPr>
        <w:jc w:val="center"/>
        <w:rPr>
          <w:rFonts w:ascii="Arial Narrow" w:hAnsi="Arial Narrow" w:eastAsia="仿宋_GB2312" w:cs="Arial Narrow"/>
          <w:b/>
          <w:sz w:val="24"/>
          <w:szCs w:val="32"/>
          <w:lang w:eastAsia="zh-CN"/>
        </w:rPr>
      </w:pPr>
    </w:p>
    <w:p w14:paraId="460D02BA">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79A805B8">
        <w:tblPrEx>
          <w:tblCellMar>
            <w:top w:w="0" w:type="dxa"/>
            <w:left w:w="108" w:type="dxa"/>
            <w:bottom w:w="0" w:type="dxa"/>
            <w:right w:w="108" w:type="dxa"/>
          </w:tblCellMar>
        </w:tblPrEx>
        <w:trPr>
          <w:trHeight w:val="851" w:hRule="exact"/>
        </w:trPr>
        <w:tc>
          <w:tcPr>
            <w:tcW w:w="6687" w:type="dxa"/>
            <w:vAlign w:val="center"/>
          </w:tcPr>
          <w:p w14:paraId="04EDF97F">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012813EE">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3F4D4ACB">
        <w:tblPrEx>
          <w:tblCellMar>
            <w:top w:w="0" w:type="dxa"/>
            <w:left w:w="108" w:type="dxa"/>
            <w:bottom w:w="0" w:type="dxa"/>
            <w:right w:w="108" w:type="dxa"/>
          </w:tblCellMar>
        </w:tblPrEx>
        <w:trPr>
          <w:trHeight w:val="851" w:hRule="exact"/>
        </w:trPr>
        <w:tc>
          <w:tcPr>
            <w:tcW w:w="6687" w:type="dxa"/>
            <w:vAlign w:val="center"/>
          </w:tcPr>
          <w:p w14:paraId="7921E529">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合并及公司资产负债表</w:t>
            </w:r>
          </w:p>
        </w:tc>
        <w:tc>
          <w:tcPr>
            <w:tcW w:w="1431" w:type="dxa"/>
            <w:vAlign w:val="center"/>
          </w:tcPr>
          <w:p w14:paraId="0B730A66">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19D6519B">
        <w:tblPrEx>
          <w:tblCellMar>
            <w:top w:w="0" w:type="dxa"/>
            <w:left w:w="108" w:type="dxa"/>
            <w:bottom w:w="0" w:type="dxa"/>
            <w:right w:w="108" w:type="dxa"/>
          </w:tblCellMar>
        </w:tblPrEx>
        <w:trPr>
          <w:trHeight w:val="851" w:hRule="exact"/>
        </w:trPr>
        <w:tc>
          <w:tcPr>
            <w:tcW w:w="6687" w:type="dxa"/>
            <w:vAlign w:val="center"/>
          </w:tcPr>
          <w:p w14:paraId="2A2F196E">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合并及公司利润表</w:t>
            </w:r>
          </w:p>
        </w:tc>
        <w:tc>
          <w:tcPr>
            <w:tcW w:w="1431" w:type="dxa"/>
            <w:vAlign w:val="center"/>
          </w:tcPr>
          <w:p w14:paraId="51BB83E8">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3679717D">
        <w:tblPrEx>
          <w:tblCellMar>
            <w:top w:w="0" w:type="dxa"/>
            <w:left w:w="108" w:type="dxa"/>
            <w:bottom w:w="0" w:type="dxa"/>
            <w:right w:w="108" w:type="dxa"/>
          </w:tblCellMar>
        </w:tblPrEx>
        <w:trPr>
          <w:trHeight w:val="851" w:hRule="exact"/>
        </w:trPr>
        <w:tc>
          <w:tcPr>
            <w:tcW w:w="6687" w:type="dxa"/>
            <w:vAlign w:val="center"/>
          </w:tcPr>
          <w:p w14:paraId="4B373CCE">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合并及公司现金流量表</w:t>
            </w:r>
          </w:p>
        </w:tc>
        <w:tc>
          <w:tcPr>
            <w:tcW w:w="1431" w:type="dxa"/>
            <w:vAlign w:val="center"/>
          </w:tcPr>
          <w:p w14:paraId="1B95136C">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7885A3B4">
        <w:tblPrEx>
          <w:tblCellMar>
            <w:top w:w="0" w:type="dxa"/>
            <w:left w:w="108" w:type="dxa"/>
            <w:bottom w:w="0" w:type="dxa"/>
            <w:right w:w="108" w:type="dxa"/>
          </w:tblCellMar>
        </w:tblPrEx>
        <w:trPr>
          <w:trHeight w:val="851" w:hRule="exact"/>
        </w:trPr>
        <w:tc>
          <w:tcPr>
            <w:tcW w:w="6687" w:type="dxa"/>
            <w:vAlign w:val="center"/>
          </w:tcPr>
          <w:p w14:paraId="64E24ECB">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合并及公司股东权益变动表</w:t>
            </w:r>
          </w:p>
        </w:tc>
        <w:tc>
          <w:tcPr>
            <w:tcW w:w="1431" w:type="dxa"/>
            <w:vAlign w:val="center"/>
          </w:tcPr>
          <w:p w14:paraId="2B62E25B">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3408DE09">
        <w:tblPrEx>
          <w:tblCellMar>
            <w:top w:w="0" w:type="dxa"/>
            <w:left w:w="108" w:type="dxa"/>
            <w:bottom w:w="0" w:type="dxa"/>
            <w:right w:w="108" w:type="dxa"/>
          </w:tblCellMar>
        </w:tblPrEx>
        <w:trPr>
          <w:trHeight w:val="851" w:hRule="exact"/>
        </w:trPr>
        <w:tc>
          <w:tcPr>
            <w:tcW w:w="6687" w:type="dxa"/>
            <w:vAlign w:val="center"/>
          </w:tcPr>
          <w:p w14:paraId="228A3EF0">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638C987C">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6AB13829">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6A056F18">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1F187F0A">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34335E54">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31C9D267">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164990FB">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4A9ABDA8">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0FDD5E79">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5C6C8D9">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5F27A6F9">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34335E54">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31C9D267">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164990FB">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4A9ABDA8">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0FDD5E79">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5C6C8D9">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5F27A6F9">
                      <w:pPr>
                        <w:rPr>
                          <w:rFonts w:ascii="Arial Narrow" w:hAnsi="Arial Narrow" w:eastAsia="黑体;SimHei" w:cs="Arial Narrow"/>
                          <w:sz w:val="14"/>
                          <w:szCs w:val="14"/>
                        </w:rPr>
                      </w:pPr>
                    </w:p>
                  </w:txbxContent>
                </v:textbox>
              </v:shape>
            </w:pict>
          </mc:Fallback>
        </mc:AlternateContent>
      </w:r>
    </w:p>
    <w:p w14:paraId="358DE45A">
      <w:pPr>
        <w:rPr>
          <w:rFonts w:ascii="Arial Narrow" w:hAnsi="Arial Narrow" w:eastAsia="仿宋_GB2312" w:cs="Arial Narrow"/>
          <w:sz w:val="24"/>
          <w:szCs w:val="24"/>
          <w:lang w:eastAsia="zh-CN"/>
        </w:rPr>
      </w:pPr>
    </w:p>
    <w:p w14:paraId="0264F17F">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1F01FA0B">
      <w:pPr>
        <w:spacing w:line="340" w:lineRule="atLeast"/>
        <w:jc w:val="both"/>
        <w:rPr>
          <w:rFonts w:ascii="Arial Narrow" w:hAnsi="Arial Narrow" w:eastAsia="仿宋_GB2312" w:cs="Arial Narrow"/>
          <w:b/>
          <w:color w:val="0000FF"/>
          <w:sz w:val="24"/>
          <w:szCs w:val="24"/>
          <w:lang w:eastAsia="zh-CN"/>
        </w:rPr>
      </w:pPr>
    </w:p>
    <w:p w14:paraId="096E7A23">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2566550F">
      <w:pPr>
        <w:spacing w:line="340" w:lineRule="atLeast"/>
        <w:rPr>
          <w:rFonts w:ascii="Arial Narrow" w:hAnsi="Arial Narrow" w:eastAsia="仿宋_GB2312" w:cs="Arial Narrow"/>
          <w:b/>
          <w:color w:val="FF0000"/>
          <w:sz w:val="24"/>
          <w:szCs w:val="24"/>
          <w:lang w:eastAsia="zh-CN"/>
        </w:rPr>
      </w:pPr>
    </w:p>
    <w:p w14:paraId="1782C6EC">
      <w:pPr>
        <w:numPr>
          <w:ilvl w:val="0"/>
          <w:numId w:val="0"/>
        </w:numPr>
        <w:spacing w:before="120" w:after="0" w:line="300" w:lineRule="auto"/>
        <w:ind w:firstLine="420"/>
        <w:outlineLvl w:val="0"/>
        <w:rPr>
          <w:rFonts w:ascii="Arial Narrow" w:hAnsi="Arial Narrow" w:eastAsia="仿宋_GB2312" w:cs="Arial Narrow"/>
          <w:b/>
          <w:color w:val="auto"/>
          <w:sz w:val="24"/>
          <w:szCs w:val="24"/>
          <w:lang w:eastAsia="zh-CN"/>
        </w:rPr>
      </w:pPr>
      <w:r>
        <w:rPr>
          <w:rFonts w:ascii="Times New Roman" w:hAnsi="Times New Roman" w:eastAsia="仿宋_GB2312" w:cs="Arial Narrow"/>
          <w:b/>
          <w:color w:val="auto"/>
          <w:spacing w:val="4"/>
          <w:sz w:val="24"/>
          <w:szCs w:val="24"/>
          <w:lang w:eastAsia="zh-CN"/>
        </w:rPr>
        <w:t>{{company_full_name}}全体股东</w:t>
      </w:r>
      <w:r>
        <w:rPr>
          <w:rFonts w:hint="eastAsia" w:ascii="Times New Roman" w:hAnsi="Times New Roman" w:eastAsia="仿宋_GB2312" w:cs="Arial Narrow"/>
          <w:b/>
          <w:color w:val="auto"/>
          <w:spacing w:val="4"/>
          <w:sz w:val="24"/>
          <w:szCs w:val="24"/>
          <w:lang w:eastAsia="zh-CN"/>
        </w:rPr>
        <w:t>：</w:t>
      </w:r>
    </w:p>
    <w:p w14:paraId="3A72DCA4">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w:t>
      </w:r>
      <w:r>
        <w:rPr>
          <w:rFonts w:hint="eastAsia" w:ascii="Arial Narrow" w:hAnsi="Arial Narrow" w:eastAsia="仿宋_GB2312" w:cs="Arial Narrow"/>
          <w:b/>
          <w:bCs/>
          <w:sz w:val="24"/>
          <w:szCs w:val="24"/>
          <w:lang w:eastAsia="zh-CN"/>
        </w:rPr>
        <w:t>否定</w:t>
      </w:r>
      <w:r>
        <w:rPr>
          <w:rFonts w:hint="eastAsia" w:ascii="Arial Narrow" w:hAnsi="Arial Narrow" w:eastAsia="仿宋_GB2312" w:cs="Arial Narrow"/>
          <w:b/>
          <w:bCs/>
          <w:sz w:val="24"/>
          <w:szCs w:val="24"/>
        </w:rPr>
        <w:t>意见</w:t>
      </w:r>
    </w:p>
    <w:p w14:paraId="329E1BB2">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w:t>
      </w:r>
      <w:bookmarkStart w:id="0" w:name="_GoBack"/>
      <w:bookmarkEnd w:id="0"/>
      <w:r>
        <w:rPr>
          <w:rFonts w:hint="eastAsia" w:ascii="Times New Roman" w:hAnsi="Times New Roman" w:eastAsia="仿宋_GB2312" w:cs="Arial Narrow"/>
          <w:sz w:val="24"/>
          <w:szCs w:val="24"/>
          <w:lang w:eastAsia="zh-CN"/>
        </w:rPr>
        <w:t>以下简称{{company_short_name}}）财务报表，包括{{audit_period_end}}的合并及公司资产负债表，{{audit_year}}年度的合并及公司利润表、合并及公司现金流量表、合并及公司股东权益变动表以及相关财务报表附注。</w:t>
      </w:r>
    </w:p>
    <w:p w14:paraId="3DA5F070">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由于“形成否定意见的基础”部分所述事项的重要性，后附的财务报表没有在所有重大方面按照企业会计准则的规定编制，未能公允反映{{company_short_name}}{{audit_period_end}}的合并及公司财务状况以及{{audit_year}}年度的合并及公司的经营成果和现金流量。</w:t>
      </w:r>
    </w:p>
    <w:p w14:paraId="1E79E7D9">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二、形成否定意见的基础</w:t>
      </w:r>
    </w:p>
    <w:tbl>
      <w:tblPr>
        <w:tblStyle w:val="9"/>
        <w:tblW w:w="8335" w:type="dxa"/>
        <w:tblInd w:w="0" w:type="dxa"/>
        <w:tblLayout w:type="fixed"/>
        <w:tblCellMar>
          <w:top w:w="0" w:type="dxa"/>
          <w:left w:w="108" w:type="dxa"/>
          <w:bottom w:w="0" w:type="dxa"/>
          <w:right w:w="108" w:type="dxa"/>
        </w:tblCellMar>
      </w:tblPr>
      <w:tblGrid>
        <w:gridCol w:w="8335"/>
      </w:tblGrid>
      <w:tr w14:paraId="15BAE7A7">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65247B9C">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w:t>
            </w:r>
            <w:r>
              <w:rPr>
                <w:rFonts w:hint="eastAsia" w:ascii="Arial Narrow" w:hAnsi="Arial Narrow" w:eastAsia="仿宋_GB2312" w:cs="Arial Narrow"/>
                <w:b/>
                <w:bCs/>
                <w:color w:val="FF0000"/>
                <w:sz w:val="24"/>
                <w:szCs w:val="24"/>
                <w:lang w:eastAsia="zh-CN"/>
              </w:rPr>
              <w:t>【适用于注册会计师对上市公司财务报表发表非标准审计意见，注册会计师在其他证券服务业务中发表非标准审计意见可参照本指引】</w:t>
            </w:r>
            <w:r>
              <w:rPr>
                <w:rFonts w:hint="eastAsia" w:ascii="Arial Narrow" w:hAnsi="Arial Narrow" w:eastAsia="仿宋_GB2312" w:cs="Arial Narrow"/>
                <w:b/>
                <w:bCs/>
                <w:color w:val="0000FF"/>
                <w:sz w:val="24"/>
                <w:szCs w:val="24"/>
                <w:lang w:eastAsia="zh-CN"/>
              </w:rPr>
              <w:t>：</w:t>
            </w:r>
          </w:p>
          <w:p w14:paraId="72EFFBD4">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如果财务报表中存在与具体金额相关的重大错报，注册会计师应当在“形成审计意见的基础”部分说明并量化该错报的财务影响。</w:t>
            </w:r>
          </w:p>
          <w:p w14:paraId="18E9FCD3">
            <w:pPr>
              <w:widowControl w:val="0"/>
              <w:snapToGrid w:val="0"/>
              <w:spacing w:line="300" w:lineRule="auto"/>
              <w:jc w:val="both"/>
              <w:rPr>
                <w:rFonts w:ascii="仿宋_GB2312" w:hAnsi="仿宋_GB2312" w:eastAsia="宋体;SimSun"/>
                <w:bCs/>
                <w:color w:val="FF0000"/>
                <w:sz w:val="24"/>
                <w:szCs w:val="24"/>
                <w:lang w:val="en-GB"/>
              </w:rPr>
            </w:pPr>
            <w:r>
              <w:rPr>
                <w:rFonts w:hint="eastAsia" w:ascii="Arial Narrow" w:hAnsi="Arial Narrow" w:eastAsia="仿宋_GB2312" w:cs="Arial Narrow"/>
                <w:b/>
                <w:bCs/>
                <w:color w:val="0000FF"/>
                <w:sz w:val="24"/>
                <w:szCs w:val="24"/>
                <w:lang w:eastAsia="zh-CN"/>
              </w:rPr>
              <w:t>注册会计师认定财务报表存在“错报”的情况下，应在审计报告和非标准审计意见专项说明中详细说明重大错报的相关信息，包括错报项目及金额、导致错报的原因、违反的会计准则等。</w:t>
            </w:r>
          </w:p>
        </w:tc>
      </w:tr>
    </w:tbl>
    <w:p w14:paraId="0FC98178">
      <w:pPr>
        <w:snapToGrid w:val="0"/>
        <w:spacing w:line="300" w:lineRule="auto"/>
        <w:ind w:left="0" w:leftChars="0" w:right="0" w:rightChars="0" w:firstLineChars="200" w:firstLine="42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如财务报表附注×所述，由于无法确定{{company_short_name}}于{{audit_year}}年度收购的子公司XYZ公司某些重要资产和负债项目在收购日的公允价值，{{company_short_name}}未将该子公司纳入合并范围。该项投资以成本计量。根据企业会计准则，{{company_short_name}}应将该子公司纳入合并范围，并以暂估金额为基础核算该项收购。如果将XYZ公司纳入合并范围，后附合并财务报表的多个项目将受到重大影响。我们尚未确定未将该公司纳入合并范围对合并财务报表的影响。</w:t>
      </w:r>
    </w:p>
    <w:p w14:paraId="26270C23">
      <w:pPr>
        <w:spacing w:before="120" w:after="0" w:line="300" w:lineRule="auto"/>
        <w:ind w:left="0" w:leftChars="0" w:right="0" w:rightChars="0" w:firstLineChars="200" w:firstLine="42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否定审计意见提供了基础。</w:t>
      </w:r>
    </w:p>
    <w:p w14:paraId="71166612">
      <w:r>
        <w:t>##OPT:other_information:其他信息##</w:t>
      </w:r>
    </w:p>
    <w:p w14:paraId="50AF45A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三、其他信息</w:t>
      </w:r>
    </w:p>
    <w:p w14:paraId="5D7CEF94">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{{company_short_name}}管理层（以下简称管理层）对其他信息负责。其他信息包括{{company_short_name}}{{audit_year}}年年度报告中涵盖的信息，但不包括财务报表和我们的审计报告。</w:t>
      </w:r>
    </w:p>
    <w:p w14:paraId="435A5E63">
      <w:pPr>
        <w:spacing w:before="120" w:after="0" w:line="300" w:lineRule="auto"/>
        <w:ind w:left="0" w:leftChars="0" w:right="0" w:rightChars="0" w:firstLineChars="200" w:firstLine="420"/>
        <w:jc w:val="both"/>
        <w:rPr>
          <w:rFonts w:ascii="仿宋_GB2312" w:hAnsi="仿宋_GB2312" w:eastAsia="仿宋_GB2312"/>
          <w:sz w:val="24"/>
          <w:szCs w:val="24"/>
          <w:lang w:eastAsia="zh-CN"/>
        </w:rPr>
      </w:pPr>
      <w:r>
        <w:rPr>
          <w:rFonts w:hint="eastAsia" w:ascii="仿宋_GB2312" w:hAnsi="仿宋_GB2312" w:eastAsia="仿宋_GB2312"/>
          <w:sz w:val="24"/>
          <w:szCs w:val="24"/>
        </w:rPr>
        <w:t>我们对财务报表发表的审计意见不涵盖其他信息，我们也不对其他信息发表任何形式的鉴证结论。</w:t>
      </w:r>
    </w:p>
    <w:p w14:paraId="3650A018">
      <w:pPr>
        <w:spacing w:before="120" w:after="0" w:line="300" w:lineRule="auto"/>
        <w:ind w:left="0" w:leftChars="0" w:right="0" w:rightChars="0" w:firstLineChars="200" w:firstLine="420"/>
        <w:jc w:val="both"/>
        <w:rPr>
          <w:rFonts w:ascii="仿宋_GB2312" w:hAnsi="仿宋_GB2312" w:eastAsia="仿宋_GB2312"/>
          <w:sz w:val="24"/>
          <w:szCs w:val="24"/>
        </w:rPr>
      </w:pPr>
      <w:r>
        <w:rPr>
          <w:rFonts w:hint="eastAsia" w:ascii="仿宋_GB2312" w:hAnsi="仿宋_GB2312" w:eastAsia="仿宋_GB2312"/>
          <w:sz w:val="24"/>
          <w:szCs w:val="24"/>
        </w:rPr>
        <w:t>结合我们对财务报表的审计，我们的责任是阅读其他信息，在此过程中，考虑其他信息是否与财务报表或我们在审计过程中了解到的情况存在重大不一致或者似乎存在重大错报。</w:t>
      </w:r>
    </w:p>
    <w:p w14:paraId="2F090651">
      <w:pPr>
        <w:spacing w:before="120" w:after="0" w:line="300" w:lineRule="auto"/>
        <w:ind w:left="0" w:leftChars="0" w:right="0" w:rightChars="0" w:firstLineChars="200" w:firstLine="420"/>
        <w:jc w:val="both"/>
        <w:rPr>
          <w:rFonts w:ascii="Arial Narrow" w:hAnsi="Arial Narrow" w:eastAsia="仿宋_GB2312" w:cs="Arial Narrow"/>
          <w:b/>
          <w:bCs/>
          <w:color w:val="0000FF"/>
          <w:sz w:val="24"/>
          <w:szCs w:val="24"/>
          <w:lang w:eastAsia="zh-CN"/>
        </w:rPr>
      </w:pPr>
      <w:r>
        <w:rPr>
          <w:rFonts w:hint="eastAsia" w:ascii="仿宋_GB2312" w:hAnsi="仿宋_GB2312" w:eastAsia="仿宋_GB2312"/>
          <w:color w:val="FF0000"/>
          <w:sz w:val="24"/>
          <w:szCs w:val="24"/>
        </w:rPr>
        <w:t>基于我们已执行的工作，如果我们确定其他信息存在重大错报，我们应当报告该事实……</w:t>
      </w:r>
    </w:p>
    <w:p w14:paraId="38A12C09">
      <w:pPr>
        <w:spacing w:before="120" w:after="0" w:line="300" w:lineRule="auto"/>
        <w:ind w:left="0" w:leftChars="0" w:right="0" w:rightChars="0" w:firstLineChars="200" w:firstLine="420"/>
        <w:jc w:val="both"/>
        <w:rPr>
          <w:rFonts w:ascii="仿宋_GB2312" w:hAnsi="仿宋_GB2312" w:eastAsia="仿宋_GB2312"/>
          <w:sz w:val="24"/>
          <w:szCs w:val="24"/>
          <w:lang w:eastAsia="zh-CN"/>
        </w:rPr>
      </w:pPr>
      <w:r>
        <w:rPr>
          <w:rFonts w:hint="eastAsia" w:ascii="Times New Roman" w:hAnsi="Times New Roman" w:eastAsia="仿宋_GB2312" w:cs="Arial Narrow"/>
          <w:spacing w:val="4"/>
          <w:sz w:val="24"/>
          <w:szCs w:val="24"/>
          <w:lang w:eastAsia="zh-CN"/>
        </w:rPr>
        <w:t>基于我们已执行的工作，如果我们确定其他信息存在重大错报，我们应当报告该事实。如上述“形成否定意见的基础”部分所述，{{company_short_name}}应当将XYZ公司纳入合并范围，并以暂估金额为基础核算该项收购。我们认为，由于{{company_short_name}}{{audit_year}}年年度报告中的相关金额或其他项目受到未合并XYZ公司的影响，其他信息存在重大错报。</w:t>
      </w:r>
    </w:p>
    <w:p w14:paraId="5653BE20">
      <w:r>
        <w:t>##OPT:key_audit_matters:关键审计事项##</w:t>
      </w:r>
    </w:p>
    <w:p w14:paraId="1B7725F3">
      <w:r>
        <w:t>##/OPT:other_information##</w:t>
      </w:r>
    </w:p>
    <w:p w14:paraId="3A49BF95">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lang w:eastAsia="zh-CN"/>
        </w:rPr>
        <w:t>四</w:t>
      </w:r>
      <w:r>
        <w:rPr>
          <w:rFonts w:hint="eastAsia" w:ascii="Arial Narrow" w:hAnsi="Arial Narrow" w:eastAsia="仿宋_GB2312" w:cs="Arial Narrow"/>
          <w:b/>
          <w:bCs/>
          <w:sz w:val="24"/>
          <w:szCs w:val="24"/>
        </w:rPr>
        <w:t>、关键审计事项</w:t>
      </w:r>
    </w:p>
    <w:p w14:paraId="76E60727">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除“形成否定意见的基础”部分所述事项外，我们确定下列事项是需要在审计报告中沟通的关键审计事项。</w:t>
      </w:r>
    </w:p>
    <w:p w14:paraId="02CA87F7">
      <w:r>
        <w:t>##/OPT:key_audit_matters##</w:t>
      </w:r>
    </w:p>
    <w:p w14:paraId="2D6343EE">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五、管理层和治理层对财务报表的责任</w:t>
      </w:r>
    </w:p>
    <w:p w14:paraId="7A66C5D2">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4715A572">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23E75108">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25703ECE">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六、注册会计师对财务报表审计的责任</w:t>
      </w:r>
    </w:p>
    <w:p w14:paraId="44972686">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1BEC9284">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12DB55AB">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5CCAFA70">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33DB1249">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73D1AE2C">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4848B714">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62A7D8F8">
      <w:pPr>
        <w:spacing w:before="120" w:after="0" w:line="300" w:lineRule="auto"/>
        <w:ind w:left="0" w:leftChars="0" w:right="0" w:rightChars="0" w:firstLineChars="200" w:firstLine="420"/>
        <w:jc w:val="both"/>
        <w:rPr>
          <w:rFonts w:ascii="Arial Narrow" w:hAnsi="Arial Narrow" w:eastAsia="仿宋_GB2312" w:cs="Arial Narrow"/>
          <w:color w:val="0000FF"/>
          <w:spacing w:val="4"/>
          <w:sz w:val="24"/>
          <w:szCs w:val="24"/>
          <w:lang w:eastAsia="zh-CN"/>
        </w:rPr>
      </w:pPr>
      <w:r>
        <w:rPr>
          <w:rFonts w:hint="eastAsia" w:ascii="Times New Roman" w:hAnsi="Times New Roman" w:eastAsia="仿宋_GB2312" w:cs="Arial Narrow"/>
          <w:spacing w:val="4"/>
          <w:sz w:val="24"/>
          <w:szCs w:val="24"/>
          <w:lang w:eastAsia="zh-CN"/>
        </w:rPr>
        <w:t>（6）就{{company_short_name}}中实体或业务活动的财务信息获取充分、适当的审计证据，以对财务报表发表意见。我们负责指导、监督和执行集团审计，并对审计意见承担全部责任。</w:t>
      </w:r>
    </w:p>
    <w:p w14:paraId="19970FA8">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5CFEED32">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2E9BB977">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6D854048">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7300D15C">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38DBF91B">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32884ED0">
        <w:tblPrEx>
          <w:tblCellMar>
            <w:top w:w="0" w:type="dxa"/>
            <w:left w:w="108" w:type="dxa"/>
            <w:bottom w:w="0" w:type="dxa"/>
            <w:right w:w="108" w:type="dxa"/>
          </w:tblCellMar>
        </w:tblPrEx>
        <w:trPr>
          <w:trHeight w:val="1305" w:hRule="atLeast"/>
        </w:trPr>
        <w:tc>
          <w:tcPr>
            <w:tcW w:w="3108" w:type="dxa"/>
          </w:tcPr>
          <w:p w14:paraId="7AC41277">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720C2DC9">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5A6C2257">
            <w:pPr>
              <w:spacing w:line="340" w:lineRule="atLeast"/>
              <w:rPr>
                <w:rFonts w:ascii="Arial Narrow" w:hAnsi="Arial Narrow" w:eastAsia="仿宋_GB2312" w:cs="Arial Narrow"/>
                <w:color w:val="FF0000"/>
                <w:sz w:val="24"/>
                <w:szCs w:val="24"/>
                <w:highlight w:val="cyan"/>
                <w:lang w:val="en-AU" w:eastAsia="zh-CN"/>
              </w:rPr>
            </w:pPr>
          </w:p>
          <w:p w14:paraId="7942BE85">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1BCC370F">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2AA2CB6B">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（项目合伙人）</w:t>
            </w:r>
          </w:p>
          <w:p w14:paraId="4A60E767">
            <w:pPr>
              <w:spacing w:line="340" w:lineRule="atLeast"/>
              <w:jc w:val="right"/>
              <w:rPr>
                <w:rFonts w:ascii="Arial Narrow" w:hAnsi="Arial Narrow" w:eastAsia="仿宋_GB2312" w:cs="Arial Narrow"/>
                <w:sz w:val="24"/>
                <w:szCs w:val="24"/>
                <w:lang w:eastAsia="zh-CN"/>
              </w:rPr>
            </w:pPr>
          </w:p>
          <w:p w14:paraId="100A1FA9">
            <w:pPr>
              <w:spacing w:line="340" w:lineRule="atLeast"/>
              <w:jc w:val="right"/>
              <w:rPr>
                <w:rFonts w:ascii="Arial Narrow" w:hAnsi="Arial Narrow" w:eastAsia="仿宋_GB2312" w:cs="Arial Narrow"/>
                <w:sz w:val="24"/>
                <w:szCs w:val="24"/>
                <w:lang w:val="en-AU" w:eastAsia="zh-CN"/>
              </w:rPr>
            </w:pPr>
          </w:p>
          <w:p w14:paraId="7A71A316">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12BCBD46">
            <w:pPr>
              <w:spacing w:line="340" w:lineRule="atLeast"/>
              <w:jc w:val="right"/>
              <w:rPr>
                <w:rFonts w:ascii="Arial Narrow" w:hAnsi="Arial Narrow" w:eastAsia="仿宋_GB2312" w:cs="Arial Narrow"/>
                <w:color w:val="0000FF"/>
                <w:sz w:val="24"/>
                <w:szCs w:val="24"/>
                <w:lang w:eastAsia="zh-CN"/>
              </w:rPr>
            </w:pPr>
          </w:p>
          <w:p w14:paraId="56AD781F">
            <w:pPr>
              <w:spacing w:line="340" w:lineRule="atLeast"/>
              <w:jc w:val="right"/>
              <w:rPr>
                <w:rFonts w:ascii="Arial Narrow" w:hAnsi="Arial Narrow" w:eastAsia="仿宋_GB2312" w:cs="Arial Narrow"/>
                <w:color w:val="0000FF"/>
                <w:sz w:val="24"/>
                <w:szCs w:val="24"/>
                <w:lang w:eastAsia="zh-CN"/>
              </w:rPr>
            </w:pPr>
          </w:p>
        </w:tc>
        <w:tc>
          <w:tcPr>
            <w:tcW w:w="2204" w:type="dxa"/>
          </w:tcPr>
          <w:p w14:paraId="2F2172E5">
            <w:pPr>
              <w:snapToGrid w:val="0"/>
              <w:spacing w:line="340" w:lineRule="atLeast"/>
              <w:rPr>
                <w:rFonts w:ascii="Arial Narrow" w:hAnsi="Arial Narrow" w:eastAsia="仿宋_GB2312" w:cs="Arial Narrow"/>
                <w:color w:val="FF0000"/>
                <w:sz w:val="24"/>
                <w:szCs w:val="24"/>
                <w:lang w:eastAsia="zh-CN"/>
              </w:rPr>
            </w:pPr>
          </w:p>
          <w:p w14:paraId="26D53861">
            <w:pPr>
              <w:spacing w:line="200" w:lineRule="atLeast"/>
              <w:rPr>
                <w:rFonts w:ascii="Arial Narrow" w:hAnsi="Arial Narrow" w:eastAsia="仿宋_GB2312" w:cs="Arial Narrow"/>
                <w:color w:val="FF0000"/>
                <w:sz w:val="24"/>
                <w:szCs w:val="24"/>
                <w:lang w:eastAsia="zh-CN"/>
              </w:rPr>
            </w:pPr>
          </w:p>
          <w:p w14:paraId="24120183">
            <w:pPr>
              <w:spacing w:line="200" w:lineRule="atLeast"/>
              <w:rPr>
                <w:rFonts w:ascii="Arial Narrow" w:hAnsi="Arial Narrow" w:eastAsia="仿宋_GB2312" w:cs="Arial Narrow"/>
                <w:sz w:val="24"/>
                <w:szCs w:val="24"/>
                <w:lang w:eastAsia="zh-CN"/>
              </w:rPr>
            </w:pPr>
          </w:p>
          <w:p w14:paraId="50DCA35C">
            <w:pPr>
              <w:spacing w:line="200" w:lineRule="atLeast"/>
              <w:rPr>
                <w:rFonts w:ascii="Arial Narrow" w:hAnsi="Arial Narrow" w:eastAsia="仿宋_GB2312" w:cs="Arial Narrow"/>
                <w:sz w:val="24"/>
                <w:szCs w:val="24"/>
                <w:lang w:eastAsia="zh-CN"/>
              </w:rPr>
            </w:pPr>
          </w:p>
          <w:p w14:paraId="595CC4A6">
            <w:pPr>
              <w:spacing w:line="200" w:lineRule="atLeast"/>
              <w:rPr>
                <w:rFonts w:ascii="Arial Narrow" w:hAnsi="Arial Narrow" w:eastAsia="仿宋_GB2312" w:cs="Arial Narrow"/>
                <w:color w:val="FF0000"/>
                <w:sz w:val="24"/>
                <w:szCs w:val="24"/>
                <w:lang w:eastAsia="zh-CN"/>
              </w:rPr>
            </w:pPr>
          </w:p>
        </w:tc>
      </w:tr>
      <w:tr w14:paraId="652AC691">
        <w:tblPrEx>
          <w:tblCellMar>
            <w:top w:w="0" w:type="dxa"/>
            <w:left w:w="108" w:type="dxa"/>
            <w:bottom w:w="0" w:type="dxa"/>
            <w:right w:w="108" w:type="dxa"/>
          </w:tblCellMar>
        </w:tblPrEx>
        <w:trPr>
          <w:trHeight w:val="507" w:hRule="atLeast"/>
        </w:trPr>
        <w:tc>
          <w:tcPr>
            <w:tcW w:w="3108" w:type="dxa"/>
          </w:tcPr>
          <w:p w14:paraId="389F3843">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1C3A0B54">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05D051DD">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PMingLiU;Microsoft JhengHei">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77841">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2F83B">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DFF4F">
    <w:pPr>
      <w:pStyle w:val="6"/>
      <w:jc w:val="center"/>
    </w:pPr>
    <w:r>
      <w:fldChar w:fldCharType="begin"/>
    </w:r>
    <w:r>
      <w:instrText xml:space="preserve"> PAGE </w:instrText>
    </w:r>
    <w:r>
      <w:fldChar w:fldCharType="separate"/>
    </w:r>
    <w:r>
      <w:t>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9FBF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32784">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B6269">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4EBCC">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3C15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15382899"/>
    <w:rsid w:val="395032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PMingLiU;Microsoft JhengHei"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Microsoft JhengHei"/>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PMingLiU;Microsoft JhengHei"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PMingLiU;Microsoft JhengHei"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7</Pages>
  <Words>2563</Words>
  <Characters>3242</Characters>
  <TotalTime>24</TotalTime>
  <ScaleCrop>false</ScaleCrop>
  <LinksUpToDate>false</LinksUpToDate>
  <CharactersWithSpaces>3246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2019-08-12T16:28:00Z</dcterms:created>
  <dc:creator>SW</dc:creator>
  <cp:lastModifiedBy>杨志</cp:lastModifiedBy>
  <cp:lastPrinted>2017-03-15T11:59:00Z</cp:lastPrinted>
  <dcterms:modified xsi:type="dcterms:W3CDTF">2026-06-09T15:15:53Z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88C543CB7C384CC5A7A7755FFF8DAA9A_12</vt:lpwstr>
  </property>
</Properties>
</file>