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6CF98A" w14:textId="77777777" w:rsidR="00C04CC0" w:rsidRDefault="00C04CC0" w:rsidP="002E7E3D">
      <w:pPr>
        <w:spacing w:before="120" w:afterLines="50" w:after="156"/>
        <w:jc w:val="center"/>
        <w:rPr>
          <w:rFonts w:ascii="Arial Narrow" w:eastAsia="仿宋_GB2312" w:hAnsi="Arial Narrow"/>
          <w:b/>
          <w:sz w:val="24"/>
          <w:szCs w:val="24"/>
        </w:rPr>
      </w:pPr>
    </w:p>
    <w:p w14:paraId="13AE291C" w14:textId="77777777" w:rsidR="002E7E3D" w:rsidRDefault="002E7E3D" w:rsidP="002E7E3D">
      <w:pPr>
        <w:spacing w:before="120" w:afterLines="50" w:after="156"/>
        <w:jc w:val="center"/>
        <w:rPr>
          <w:rFonts w:ascii="Arial Narrow" w:eastAsia="仿宋_GB2312" w:hAnsi="Arial Narrow"/>
          <w:b/>
          <w:sz w:val="28"/>
          <w:szCs w:val="28"/>
        </w:rPr>
      </w:pPr>
      <w:r w:rsidRPr="00F11D71">
        <w:rPr>
          <w:rFonts w:ascii="Arial Narrow" w:eastAsia="仿宋_GB2312" w:hAnsi="Arial Narrow" w:hint="eastAsia"/>
          <w:b/>
          <w:sz w:val="28"/>
          <w:szCs w:val="28"/>
        </w:rPr>
        <w:t>对内控审计的特殊考虑</w:t>
      </w:r>
    </w:p>
    <w:p>
      <w:r>
        <w:rPr>
          <w:color w:val="0000FF"/>
          <w:sz w:val="21"/>
        </w:rPr>
        <w:t>【勾稽】仅当 B60 适用性矩阵勾选整合审计/仅内控审计时编制。须覆盖：基准日与审计目标、与财报审计范围差异、重要账户与业务层控制范围、缺陷评价标准对齐、管理层自评利用、IT 对 ICFR 意见影响（可索引 B60-2 / B22A）。</w:t>
      </w:r>
    </w:p>
    <w:p w14:paraId="1B6BC1F5" w14:textId="77777777" w:rsidR="00CD4EB8" w:rsidRPr="00F11D71" w:rsidRDefault="00CD4EB8" w:rsidP="00CD4EB8">
      <w:pPr>
        <w:spacing w:before="120" w:afterLines="50" w:after="156"/>
        <w:rPr>
          <w:rFonts w:ascii="Arial Narrow" w:eastAsia="仿宋_GB2312" w:hAnsi="Arial Narrow" w:cs="宋体"/>
          <w:b/>
          <w:bCs/>
          <w:sz w:val="28"/>
          <w:szCs w:val="28"/>
        </w:rPr>
      </w:pPr>
      <w:r w:rsidRPr="00F11D71">
        <w:rPr>
          <w:rFonts w:ascii="Arial Narrow" w:eastAsia="仿宋_GB2312" w:hAnsi="Arial Narrow"/>
          <w:iCs/>
          <w:color w:val="0000FF"/>
          <w:sz w:val="24"/>
          <w:szCs w:val="24"/>
        </w:rPr>
        <w:t>【</w:t>
      </w:r>
      <w:r w:rsidRPr="00F11D71">
        <w:rPr>
          <w:rFonts w:ascii="Arial Narrow" w:eastAsia="仿宋_GB2312" w:hAnsi="Arial Narrow"/>
          <w:b/>
          <w:bCs/>
          <w:iCs/>
          <w:color w:val="0000FF"/>
          <w:sz w:val="24"/>
          <w:szCs w:val="24"/>
        </w:rPr>
        <w:t>提示：</w:t>
      </w:r>
      <w:r>
        <w:rPr>
          <w:rFonts w:ascii="Arial Narrow" w:eastAsia="仿宋_GB2312" w:hAnsi="Arial Narrow" w:hint="eastAsia"/>
          <w:iCs/>
          <w:color w:val="0000FF"/>
          <w:sz w:val="24"/>
          <w:szCs w:val="24"/>
        </w:rPr>
        <w:t>本附件适用整合审计业务</w:t>
      </w:r>
      <w:r w:rsidRPr="00F11D71">
        <w:rPr>
          <w:rFonts w:ascii="Arial Narrow" w:eastAsia="仿宋_GB2312" w:hAnsi="Arial Narrow" w:hint="eastAsia"/>
          <w:iCs/>
          <w:color w:val="0000FF"/>
          <w:sz w:val="24"/>
          <w:szCs w:val="24"/>
        </w:rPr>
        <w:t>。</w:t>
      </w:r>
      <w:r>
        <w:rPr>
          <w:rFonts w:ascii="Arial Narrow" w:eastAsia="仿宋_GB2312" w:hAnsi="Arial Narrow" w:hint="eastAsia"/>
          <w:iCs/>
          <w:color w:val="0000FF"/>
          <w:sz w:val="24"/>
          <w:szCs w:val="24"/>
        </w:rPr>
        <w:t>如果未承接财务报表审计，仅承接内部控制审计，总体审计策略中与关键审计事项、其他信息、持续经营等相关内容可标注为“不适用”。</w:t>
      </w:r>
      <w:r w:rsidRPr="00F11D71">
        <w:rPr>
          <w:rFonts w:ascii="Arial Narrow" w:eastAsia="仿宋_GB2312" w:hAnsi="Arial Narrow" w:hint="eastAsia"/>
          <w:iCs/>
          <w:color w:val="0000FF"/>
          <w:sz w:val="24"/>
          <w:szCs w:val="24"/>
        </w:rPr>
        <w:t>】</w:t>
      </w:r>
    </w:p>
    <w:p w14:paraId="0FFCA2FB" w14:textId="77777777" w:rsidR="002E7E3D" w:rsidRPr="00F11D71" w:rsidRDefault="002E7E3D" w:rsidP="00F11D71">
      <w:pPr>
        <w:pStyle w:val="ab"/>
        <w:framePr w:wrap="auto" w:vAnchor="margin" w:yAlign="inline"/>
        <w:widowControl w:val="0"/>
        <w:numPr>
          <w:ilvl w:val="0"/>
          <w:numId w:val="8"/>
        </w:numPr>
        <w:spacing w:before="240" w:after="60"/>
        <w:contextualSpacing w:val="0"/>
        <w:outlineLvl w:val="0"/>
        <w:rPr>
          <w:rFonts w:ascii="Arial Narrow" w:eastAsia="仿宋_GB2312" w:hAnsi="Arial Narrow" w:cstheme="minorBidi"/>
          <w:b/>
          <w:bCs w:val="0"/>
          <w:color w:val="auto"/>
          <w:kern w:val="2"/>
          <w:sz w:val="24"/>
          <w:szCs w:val="24"/>
        </w:rPr>
      </w:pPr>
      <w:r w:rsidRPr="00F11D71">
        <w:rPr>
          <w:rFonts w:ascii="Arial Narrow" w:eastAsia="仿宋_GB2312" w:hAnsi="Arial Narrow" w:cstheme="minorBidi" w:hint="eastAsia"/>
          <w:b/>
          <w:bCs w:val="0"/>
          <w:color w:val="auto"/>
          <w:kern w:val="2"/>
          <w:sz w:val="24"/>
          <w:szCs w:val="24"/>
        </w:rPr>
        <w:t>审计目标</w:t>
      </w:r>
    </w:p>
    <w:p>
      <w:r>
        <w:rPr>
          <w:color w:val="0000FF"/>
          <w:sz w:val="21"/>
        </w:rPr>
        <w:t>基准日及意见对象（摘录）</w:t>
      </w:r>
    </w:p>
    <w:tbl>
      <w:tblPr>
        <w:tblStyle w:val="aa"/>
        <w:tblW w:type="auto" w:w="0"/>
        <w:tblLook w:firstColumn="1" w:firstRow="1" w:lastColumn="0" w:lastRow="0" w:noHBand="0" w:noVBand="1" w:val="04A0"/>
      </w:tblPr>
      <w:tblGrid>
        <w:gridCol w:w="4153"/>
        <w:gridCol w:w="4153"/>
      </w:tblGrid>
      <w:tr>
        <w:tc>
          <w:tcPr>
            <w:tcW w:type="dxa" w:w="4153"/>
          </w:tcPr>
          <w:p>
            <w:r>
              <w:t>项目</w:t>
            </w:r>
          </w:p>
        </w:tc>
        <w:tc>
          <w:tcPr>
            <w:tcW w:type="dxa" w:w="4153"/>
          </w:tcPr>
          <w:p>
            <w:r>
              <w:t>内容</w:t>
            </w:r>
          </w:p>
        </w:tc>
      </w:tr>
      <w:tr>
        <w:tc>
          <w:tcPr>
            <w:tcW w:type="dxa" w:w="4153"/>
          </w:tcPr>
          <w:p>
            <w:r>
              <w:t>内控审计基准日</w:t>
            </w:r>
          </w:p>
        </w:tc>
        <w:tc>
          <w:tcPr>
            <w:tcW w:type="dxa" w:w="4153"/>
          </w:tcPr>
          <w:p>
            <w:r>
              <w:t>202X年XX月XX日</w:t>
            </w:r>
          </w:p>
        </w:tc>
      </w:tr>
      <w:tr>
        <w:tc>
          <w:tcPr>
            <w:tcW w:type="dxa" w:w="4153"/>
          </w:tcPr>
          <w:p>
            <w:r>
              <w:t>意见对象</w:t>
            </w:r>
          </w:p>
        </w:tc>
        <w:tc>
          <w:tcPr>
            <w:tcW w:type="dxa" w:w="4153"/>
          </w:tcPr>
          <w:p>
            <w:r>
              <w:t>财务报告内部控制有效性</w:t>
            </w:r>
          </w:p>
        </w:tc>
      </w:tr>
      <w:tr>
        <w:tc>
          <w:tcPr>
            <w:tcW w:type="dxa" w:w="4153"/>
          </w:tcPr>
          <w:p>
            <w:r>
              <w:t>非财务报告重大缺陷</w:t>
            </w:r>
          </w:p>
        </w:tc>
        <w:tc>
          <w:tcPr>
            <w:tcW w:type="dxa" w:w="4153"/>
          </w:tcPr>
          <w:p>
            <w:r>
              <w:t>注意到的在报告中增加描述段（如适用）</w:t>
            </w:r>
          </w:p>
        </w:tc>
      </w:tr>
      <w:tr>
        <w:tc>
          <w:tcPr>
            <w:tcW w:type="dxa" w:w="4153"/>
          </w:tcPr>
          <w:p>
            <w:r>
              <w:t>是否与财报审计整合执行</w:t>
            </w:r>
          </w:p>
        </w:tc>
        <w:tc>
          <w:tcPr>
            <w:tcW w:type="dxa" w:w="4153"/>
          </w:tcPr>
          <w:p>
            <w:r>
              <w:t>是 / 否</w:t>
            </w:r>
          </w:p>
        </w:tc>
      </w:tr>
    </w:tbl>
    <w:p w14:paraId="6A053BE4" w14:textId="77777777" w:rsidR="002E7E3D" w:rsidRPr="00CB2AFC" w:rsidRDefault="002E7E3D" w:rsidP="00CB2AFC">
      <w:pPr>
        <w:spacing w:after="0" w:line="276" w:lineRule="auto"/>
        <w:ind w:firstLineChars="200" w:firstLine="480"/>
        <w:rPr>
          <w:rFonts w:ascii="仿宋" w:eastAsia="仿宋" w:hAnsi="仿宋" w:cs="宋体" w:hint="eastAsia"/>
          <w:sz w:val="24"/>
          <w:szCs w:val="24"/>
        </w:rPr>
      </w:pPr>
      <w:r w:rsidRPr="00CB2AFC">
        <w:rPr>
          <w:rFonts w:ascii="仿宋" w:eastAsia="仿宋" w:hAnsi="仿宋" w:cs="宋体" w:hint="eastAsia"/>
          <w:sz w:val="24"/>
          <w:szCs w:val="24"/>
        </w:rPr>
        <w:t>为</w:t>
      </w:r>
      <w:r w:rsidRPr="00C132E4">
        <w:rPr>
          <w:rFonts w:ascii="仿宋" w:eastAsia="仿宋" w:hAnsi="仿宋" w:cs="宋体" w:hint="eastAsia"/>
          <w:color w:val="FF0000"/>
          <w:sz w:val="24"/>
          <w:szCs w:val="24"/>
        </w:rPr>
        <w:t>【被审计单位】</w:t>
      </w:r>
      <w:r w:rsidRPr="00CB2AFC">
        <w:rPr>
          <w:rFonts w:ascii="仿宋" w:eastAsia="仿宋" w:hAnsi="仿宋" w:cs="宋体" w:hint="eastAsia"/>
          <w:sz w:val="24"/>
          <w:szCs w:val="24"/>
        </w:rPr>
        <w:t>提供</w:t>
      </w:r>
      <w:r w:rsidRPr="00C132E4">
        <w:rPr>
          <w:rFonts w:ascii="仿宋" w:eastAsia="仿宋" w:hAnsi="仿宋" w:cs="宋体" w:hint="eastAsia"/>
          <w:color w:val="FF0000"/>
          <w:sz w:val="24"/>
          <w:szCs w:val="24"/>
        </w:rPr>
        <w:t>20</w:t>
      </w:r>
      <w:r w:rsidRPr="00C132E4">
        <w:rPr>
          <w:rFonts w:ascii="仿宋" w:eastAsia="仿宋" w:hAnsi="仿宋" w:cs="宋体"/>
          <w:color w:val="FF0000"/>
          <w:sz w:val="24"/>
          <w:szCs w:val="24"/>
        </w:rPr>
        <w:t>2</w:t>
      </w:r>
      <w:r w:rsidRPr="00C132E4">
        <w:rPr>
          <w:rFonts w:ascii="仿宋" w:eastAsia="仿宋" w:hAnsi="仿宋" w:cs="宋体" w:hint="eastAsia"/>
          <w:color w:val="FF0000"/>
          <w:sz w:val="24"/>
          <w:szCs w:val="24"/>
        </w:rPr>
        <w:t>X</w:t>
      </w:r>
      <w:r w:rsidRPr="00CB2AFC">
        <w:rPr>
          <w:rFonts w:ascii="仿宋" w:eastAsia="仿宋" w:hAnsi="仿宋" w:cs="宋体" w:hint="eastAsia"/>
          <w:sz w:val="24"/>
          <w:szCs w:val="24"/>
        </w:rPr>
        <w:t>年度企业内部控制审计服务，根据我国《企业内部控制审计指引》规定，我们基于基准日</w:t>
      </w:r>
      <w:r w:rsidRPr="00C132E4">
        <w:rPr>
          <w:rFonts w:ascii="仿宋" w:eastAsia="仿宋" w:hAnsi="仿宋" w:cs="宋体" w:hint="eastAsia"/>
          <w:color w:val="FF0000"/>
          <w:sz w:val="24"/>
          <w:szCs w:val="24"/>
        </w:rPr>
        <w:t>(20</w:t>
      </w:r>
      <w:r w:rsidRPr="00C132E4">
        <w:rPr>
          <w:rFonts w:ascii="仿宋" w:eastAsia="仿宋" w:hAnsi="仿宋" w:cs="宋体"/>
          <w:color w:val="FF0000"/>
          <w:sz w:val="24"/>
          <w:szCs w:val="24"/>
        </w:rPr>
        <w:t>2</w:t>
      </w:r>
      <w:r w:rsidRPr="00C132E4">
        <w:rPr>
          <w:rFonts w:ascii="仿宋" w:eastAsia="仿宋" w:hAnsi="仿宋" w:cs="宋体" w:hint="eastAsia"/>
          <w:color w:val="FF0000"/>
          <w:sz w:val="24"/>
          <w:szCs w:val="24"/>
        </w:rPr>
        <w:t>X年XX月XX日)</w:t>
      </w:r>
      <w:r w:rsidRPr="00CB2AFC">
        <w:rPr>
          <w:rFonts w:ascii="仿宋" w:eastAsia="仿宋" w:hAnsi="仿宋" w:cs="宋体" w:hint="eastAsia"/>
          <w:sz w:val="24"/>
          <w:szCs w:val="24"/>
        </w:rPr>
        <w:t>对财务报告内部控制的有效性发表意见，并对财务报告内部控制审计过程中注意到的非财务报告内部控制的重大缺陷，在内</w:t>
      </w:r>
      <w:r w:rsidR="00C132E4">
        <w:rPr>
          <w:rFonts w:ascii="仿宋" w:eastAsia="仿宋" w:hAnsi="仿宋" w:cs="宋体" w:hint="eastAsia"/>
          <w:sz w:val="24"/>
          <w:szCs w:val="24"/>
        </w:rPr>
        <w:t>部控制审计报告中增加“非财务报告内部控制重大缺陷描述段”予以说明</w:t>
      </w:r>
      <w:r w:rsidRPr="00CB2AFC">
        <w:rPr>
          <w:rFonts w:ascii="仿宋" w:eastAsia="仿宋" w:hAnsi="仿宋" w:cs="宋体" w:hint="eastAsia"/>
          <w:sz w:val="24"/>
          <w:szCs w:val="24"/>
        </w:rPr>
        <w:t>。</w:t>
      </w:r>
    </w:p>
    <w:p w14:paraId="65D78952" w14:textId="77777777" w:rsidR="002E7E3D" w:rsidRPr="00CB2AFC" w:rsidRDefault="002E7E3D" w:rsidP="002E7E3D">
      <w:pPr>
        <w:spacing w:after="0"/>
        <w:rPr>
          <w:rFonts w:ascii="仿宋" w:eastAsia="仿宋" w:hAnsi="仿宋" w:cs="宋体" w:hint="eastAsia"/>
          <w:sz w:val="24"/>
          <w:szCs w:val="24"/>
        </w:rPr>
      </w:pPr>
    </w:p>
    <w:p w14:paraId="18BBF36C" w14:textId="34AFAE8C" w:rsidR="002E7E3D" w:rsidRDefault="00C132E4" w:rsidP="00E16455">
      <w:pPr>
        <w:pStyle w:val="ab"/>
        <w:framePr w:wrap="auto" w:vAnchor="margin" w:yAlign="inline"/>
        <w:widowControl w:val="0"/>
        <w:numPr>
          <w:ilvl w:val="0"/>
          <w:numId w:val="8"/>
        </w:numPr>
        <w:spacing w:before="240" w:after="60"/>
        <w:contextualSpacing w:val="0"/>
        <w:outlineLvl w:val="0"/>
        <w:rPr>
          <w:rFonts w:ascii="仿宋" w:eastAsia="仿宋" w:hAnsi="仿宋" w:hint="eastAsia"/>
          <w:b/>
          <w:sz w:val="24"/>
          <w:szCs w:val="24"/>
        </w:rPr>
      </w:pPr>
      <w:r w:rsidRPr="00E16455">
        <w:rPr>
          <w:rFonts w:ascii="仿宋" w:eastAsia="仿宋" w:hAnsi="仿宋" w:hint="eastAsia"/>
          <w:b/>
          <w:color w:val="auto"/>
          <w:sz w:val="24"/>
          <w:szCs w:val="24"/>
        </w:rPr>
        <w:t>适用的内控审计准则</w:t>
      </w:r>
    </w:p>
    <w:p w14:paraId="7D762789" w14:textId="77777777" w:rsidR="00F11D71" w:rsidRPr="00F11D71" w:rsidRDefault="00F11D71" w:rsidP="00F11D71">
      <w:pPr>
        <w:widowControl/>
        <w:spacing w:before="0" w:beforeAutospacing="0" w:after="120" w:afterAutospacing="0" w:line="276" w:lineRule="auto"/>
        <w:contextualSpacing/>
        <w:jc w:val="left"/>
        <w:rPr>
          <w:rFonts w:ascii="仿宋" w:eastAsia="仿宋" w:hAnsi="仿宋" w:hint="eastAsia"/>
          <w:b/>
          <w:sz w:val="24"/>
          <w:szCs w:val="24"/>
        </w:rPr>
      </w:pPr>
    </w:p>
    <w:p w14:paraId="38D7A08A" w14:textId="77777777" w:rsidR="002E7E3D" w:rsidRPr="00F11D71" w:rsidRDefault="00CB2AFC" w:rsidP="002E7E3D">
      <w:pPr>
        <w:spacing w:line="276" w:lineRule="auto"/>
        <w:ind w:left="284"/>
        <w:contextualSpacing/>
        <w:rPr>
          <w:rFonts w:ascii="仿宋" w:eastAsia="仿宋" w:hAnsi="仿宋" w:cs="宋体" w:hint="eastAsia"/>
          <w:sz w:val="24"/>
          <w:szCs w:val="24"/>
        </w:rPr>
      </w:pPr>
      <w:r w:rsidRPr="00F11D71">
        <w:rPr>
          <w:rFonts w:ascii="Arial Narrow" w:eastAsia="仿宋_GB2312" w:hAnsi="Arial Narrow"/>
          <w:iCs/>
          <w:color w:val="0000FF"/>
          <w:sz w:val="24"/>
          <w:szCs w:val="24"/>
        </w:rPr>
        <w:t>【</w:t>
      </w:r>
      <w:r w:rsidRPr="00F11D71">
        <w:rPr>
          <w:rFonts w:ascii="Arial Narrow" w:eastAsia="仿宋_GB2312" w:hAnsi="Arial Narrow"/>
          <w:b/>
          <w:bCs/>
          <w:iCs/>
          <w:color w:val="0000FF"/>
          <w:sz w:val="24"/>
          <w:szCs w:val="24"/>
        </w:rPr>
        <w:t>提示：</w:t>
      </w:r>
      <w:r w:rsidR="002E7E3D" w:rsidRPr="00F11D71">
        <w:rPr>
          <w:rFonts w:ascii="Arial Narrow" w:eastAsia="仿宋_GB2312" w:hAnsi="Arial Narrow" w:hint="eastAsia"/>
          <w:iCs/>
          <w:color w:val="0000FF"/>
          <w:sz w:val="24"/>
          <w:szCs w:val="24"/>
        </w:rPr>
        <w:t>该内部控制审计服务除需按照财政部等五部委发布的《企业内部控制审计指引》之外，还要满足财政部颁布的《中国注册会计师执业准则》的要求。</w:t>
      </w:r>
      <w:r w:rsidRPr="00F11D71">
        <w:rPr>
          <w:rFonts w:ascii="Arial Narrow" w:eastAsia="仿宋_GB2312" w:hAnsi="Arial Narrow" w:hint="eastAsia"/>
          <w:iCs/>
          <w:color w:val="0000FF"/>
          <w:sz w:val="24"/>
          <w:szCs w:val="24"/>
        </w:rPr>
        <w:t>】</w:t>
      </w:r>
    </w:p>
    <w:p w14:paraId="4336AC05" w14:textId="77777777" w:rsidR="002E7E3D" w:rsidRPr="00CB2AFC" w:rsidRDefault="002E7E3D" w:rsidP="002E7E3D">
      <w:pPr>
        <w:spacing w:line="276" w:lineRule="auto"/>
        <w:contextualSpacing/>
        <w:rPr>
          <w:rFonts w:ascii="仿宋" w:eastAsia="仿宋" w:hAnsi="仿宋" w:hint="eastAsia"/>
          <w:sz w:val="22"/>
        </w:rPr>
      </w:pPr>
    </w:p>
    <w:p w14:paraId="23720626" w14:textId="77777777" w:rsidR="002E7E3D" w:rsidRPr="00F11D71" w:rsidRDefault="00F11D71" w:rsidP="00F11D71">
      <w:pPr>
        <w:pStyle w:val="ab"/>
        <w:framePr w:wrap="auto" w:vAnchor="margin" w:yAlign="inline"/>
        <w:widowControl w:val="0"/>
        <w:spacing w:before="240" w:after="60"/>
        <w:contextualSpacing w:val="0"/>
        <w:outlineLvl w:val="0"/>
        <w:rPr>
          <w:rFonts w:ascii="Arial Narrow" w:eastAsia="仿宋_GB2312" w:hAnsi="Arial Narrow" w:cstheme="minorBidi"/>
          <w:b/>
          <w:bCs w:val="0"/>
          <w:color w:val="auto"/>
          <w:kern w:val="2"/>
          <w:sz w:val="24"/>
          <w:szCs w:val="24"/>
        </w:rPr>
      </w:pPr>
      <w:r w:rsidRPr="00F11D71">
        <w:rPr>
          <w:rFonts w:ascii="Arial Narrow" w:eastAsia="仿宋_GB2312" w:hAnsi="Arial Narrow" w:cstheme="minorBidi" w:hint="eastAsia"/>
          <w:b/>
          <w:bCs w:val="0"/>
          <w:color w:val="auto"/>
          <w:kern w:val="2"/>
          <w:sz w:val="24"/>
          <w:szCs w:val="24"/>
        </w:rPr>
        <w:t>三、了解内部控制（包括信息技术环境）</w:t>
      </w:r>
    </w:p>
    <w:p w14:paraId="68629A79" w14:textId="77777777" w:rsidR="00F11D71" w:rsidRPr="00637818" w:rsidRDefault="00F11D71" w:rsidP="00F11D71">
      <w:pPr>
        <w:pStyle w:val="ac"/>
        <w:spacing w:after="240" w:line="240" w:lineRule="auto"/>
        <w:ind w:left="460"/>
        <w:jc w:val="left"/>
        <w:rPr>
          <w:rFonts w:ascii="Arial Narrow" w:eastAsia="仿宋_GB2312" w:hAnsi="Arial Narrow"/>
          <w:sz w:val="24"/>
          <w:szCs w:val="24"/>
        </w:rPr>
      </w:pPr>
      <w:bookmarkStart w:id="0" w:name="_Toc375240159"/>
      <w:bookmarkStart w:id="1" w:name="_Toc375240593"/>
      <w:bookmarkStart w:id="2" w:name="_Toc375240684"/>
      <w:bookmarkStart w:id="3" w:name="_Toc376366325"/>
      <w:bookmarkStart w:id="4" w:name="_Toc376437204"/>
      <w:bookmarkStart w:id="5" w:name="_Toc484091839"/>
      <w:r w:rsidRPr="00637818">
        <w:rPr>
          <w:rFonts w:ascii="Arial Narrow" w:eastAsia="仿宋_GB2312" w:hAnsi="Arial Narrow"/>
          <w:sz w:val="24"/>
          <w:szCs w:val="24"/>
        </w:rPr>
        <w:t>（一）初步了解</w:t>
      </w:r>
      <w:r>
        <w:rPr>
          <w:rFonts w:ascii="Arial Narrow" w:eastAsia="仿宋_GB2312" w:hAnsi="Arial Narrow" w:hint="eastAsia"/>
          <w:sz w:val="24"/>
          <w:szCs w:val="24"/>
        </w:rPr>
        <w:t>企业</w:t>
      </w:r>
      <w:r w:rsidRPr="00637818">
        <w:rPr>
          <w:rFonts w:ascii="Arial Narrow" w:eastAsia="仿宋_GB2312" w:hAnsi="Arial Narrow"/>
          <w:sz w:val="24"/>
          <w:szCs w:val="24"/>
        </w:rPr>
        <w:t>层面控制识别出的相关</w:t>
      </w:r>
      <w:r>
        <w:rPr>
          <w:rFonts w:ascii="Arial Narrow" w:eastAsia="仿宋_GB2312" w:hAnsi="Arial Narrow" w:hint="eastAsia"/>
          <w:sz w:val="24"/>
          <w:szCs w:val="24"/>
        </w:rPr>
        <w:t>风险因素</w:t>
      </w:r>
      <w:bookmarkEnd w:id="0"/>
      <w:bookmarkEnd w:id="1"/>
      <w:bookmarkEnd w:id="2"/>
      <w:bookmarkEnd w:id="3"/>
      <w:bookmarkEnd w:id="4"/>
      <w:bookmarkEnd w:id="5"/>
    </w:p>
    <w:tbl>
      <w:tblPr>
        <w:tblW w:w="5325"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4389"/>
        <w:gridCol w:w="4446"/>
      </w:tblGrid>
      <w:tr w:rsidR="00F11D71" w:rsidRPr="00637818" w14:paraId="64206F78" w14:textId="77777777" w:rsidTr="00F11D71">
        <w:tc>
          <w:tcPr>
            <w:tcW w:w="2484" w:type="pct"/>
            <w:vAlign w:val="center"/>
          </w:tcPr>
          <w:p w14:paraId="29CCF66A" w14:textId="77777777" w:rsidR="00F11D71" w:rsidRPr="00637818" w:rsidRDefault="00F11D71" w:rsidP="00AF5F97">
            <w:pPr>
              <w:widowControl/>
              <w:spacing w:before="163"/>
              <w:jc w:val="center"/>
              <w:rPr>
                <w:rFonts w:ascii="Arial Narrow" w:eastAsia="仿宋_GB2312" w:hAnsi="Arial Narrow" w:cs="宋体"/>
                <w:b/>
                <w:color w:val="000000"/>
                <w:kern w:val="0"/>
                <w:sz w:val="24"/>
                <w:szCs w:val="24"/>
              </w:rPr>
            </w:pPr>
            <w:r>
              <w:rPr>
                <w:rFonts w:ascii="Arial Narrow" w:eastAsia="仿宋_GB2312" w:hAnsi="Arial Narrow" w:cs="宋体" w:hint="eastAsia"/>
                <w:b/>
                <w:color w:val="000000"/>
                <w:kern w:val="0"/>
                <w:sz w:val="24"/>
                <w:szCs w:val="24"/>
              </w:rPr>
              <w:t>企业</w:t>
            </w:r>
            <w:r w:rsidRPr="00637818">
              <w:rPr>
                <w:rFonts w:ascii="Arial Narrow" w:eastAsia="仿宋_GB2312" w:hAnsi="Arial Narrow" w:cs="宋体"/>
                <w:b/>
                <w:color w:val="000000"/>
                <w:kern w:val="0"/>
                <w:sz w:val="24"/>
                <w:szCs w:val="24"/>
              </w:rPr>
              <w:t>层面控制识别出的相关</w:t>
            </w:r>
            <w:r>
              <w:rPr>
                <w:rFonts w:ascii="Arial Narrow" w:eastAsia="仿宋_GB2312" w:hAnsi="Arial Narrow" w:cs="宋体" w:hint="eastAsia"/>
                <w:b/>
                <w:color w:val="000000"/>
                <w:kern w:val="0"/>
                <w:sz w:val="24"/>
                <w:szCs w:val="24"/>
              </w:rPr>
              <w:t>风险因素</w:t>
            </w:r>
          </w:p>
        </w:tc>
        <w:tc>
          <w:tcPr>
            <w:tcW w:w="2516" w:type="pct"/>
            <w:vAlign w:val="center"/>
          </w:tcPr>
          <w:p w14:paraId="37160DE9" w14:textId="77777777" w:rsidR="00F11D71" w:rsidRPr="00637818" w:rsidRDefault="00F11D71" w:rsidP="00AF5F97">
            <w:pPr>
              <w:widowControl/>
              <w:spacing w:before="163"/>
              <w:jc w:val="center"/>
              <w:rPr>
                <w:rFonts w:ascii="Arial Narrow" w:eastAsia="仿宋_GB2312" w:hAnsi="Arial Narrow" w:cs="宋体"/>
                <w:b/>
                <w:color w:val="000000"/>
                <w:kern w:val="0"/>
                <w:sz w:val="24"/>
                <w:szCs w:val="24"/>
              </w:rPr>
            </w:pPr>
            <w:r w:rsidRPr="00637818">
              <w:rPr>
                <w:rFonts w:ascii="Arial Narrow" w:eastAsia="仿宋_GB2312" w:hAnsi="Arial Narrow" w:cs="宋体"/>
                <w:b/>
                <w:color w:val="000000"/>
                <w:kern w:val="0"/>
                <w:sz w:val="24"/>
                <w:szCs w:val="24"/>
              </w:rPr>
              <w:t>对审计的影响</w:t>
            </w:r>
          </w:p>
        </w:tc>
      </w:tr>
      <w:tr w:rsidR="00F11D71" w:rsidRPr="00637818" w14:paraId="7E5D7DF1" w14:textId="77777777" w:rsidTr="00F11D71">
        <w:tc>
          <w:tcPr>
            <w:tcW w:w="2484" w:type="pct"/>
            <w:vAlign w:val="center"/>
          </w:tcPr>
          <w:p w14:paraId="4B6147E7" w14:textId="77777777" w:rsidR="00F11D71" w:rsidRPr="00637818" w:rsidRDefault="00F11D71" w:rsidP="00AF5F97">
            <w:pPr>
              <w:spacing w:before="163"/>
              <w:rPr>
                <w:rFonts w:ascii="Arial Narrow" w:eastAsia="仿宋_GB2312" w:hAnsi="Arial Narrow" w:cs="宋体"/>
                <w:iCs/>
                <w:color w:val="0000FF"/>
                <w:kern w:val="0"/>
                <w:sz w:val="24"/>
                <w:szCs w:val="24"/>
              </w:rPr>
            </w:pPr>
            <w:r w:rsidRPr="00637818">
              <w:rPr>
                <w:rFonts w:ascii="Arial Narrow" w:eastAsia="仿宋_GB2312" w:hAnsi="Arial Narrow" w:cs="宋体"/>
                <w:iCs/>
                <w:color w:val="0000FF"/>
                <w:kern w:val="0"/>
                <w:sz w:val="24"/>
                <w:szCs w:val="24"/>
              </w:rPr>
              <w:t>建议从以下几个方面描述：</w:t>
            </w:r>
          </w:p>
          <w:p w14:paraId="6E1045AD" w14:textId="77777777" w:rsidR="00F11D71" w:rsidRPr="00637818" w:rsidRDefault="00F11D71" w:rsidP="00AF5F97">
            <w:pPr>
              <w:spacing w:before="163"/>
              <w:rPr>
                <w:rFonts w:ascii="Arial Narrow" w:eastAsia="仿宋_GB2312" w:hAnsi="Arial Narrow" w:cs="宋体"/>
                <w:iCs/>
                <w:color w:val="0000FF"/>
                <w:kern w:val="0"/>
                <w:sz w:val="24"/>
                <w:szCs w:val="24"/>
              </w:rPr>
            </w:pPr>
            <w:r w:rsidRPr="00637818">
              <w:rPr>
                <w:rFonts w:ascii="Arial Narrow" w:eastAsia="仿宋_GB2312" w:hAnsi="Arial Narrow" w:cs="宋体"/>
                <w:iCs/>
                <w:color w:val="0000FF"/>
                <w:kern w:val="0"/>
                <w:sz w:val="24"/>
                <w:szCs w:val="24"/>
              </w:rPr>
              <w:t>（</w:t>
            </w:r>
            <w:r w:rsidRPr="00637818">
              <w:rPr>
                <w:rFonts w:ascii="Arial Narrow" w:eastAsia="仿宋_GB2312" w:hAnsi="Arial Narrow" w:cs="宋体"/>
                <w:iCs/>
                <w:color w:val="0000FF"/>
                <w:kern w:val="0"/>
                <w:sz w:val="24"/>
                <w:szCs w:val="24"/>
              </w:rPr>
              <w:t>1</w:t>
            </w:r>
            <w:r w:rsidRPr="00637818">
              <w:rPr>
                <w:rFonts w:ascii="Arial Narrow" w:eastAsia="仿宋_GB2312" w:hAnsi="Arial Narrow" w:cs="宋体"/>
                <w:iCs/>
                <w:color w:val="0000FF"/>
                <w:kern w:val="0"/>
                <w:sz w:val="24"/>
                <w:szCs w:val="24"/>
              </w:rPr>
              <w:t>）与控制环境（即内部环境）相关的控制；</w:t>
            </w:r>
          </w:p>
          <w:p w14:paraId="014DF91C" w14:textId="77777777" w:rsidR="00F11D71" w:rsidRPr="00637818" w:rsidRDefault="00F11D71" w:rsidP="00AF5F97">
            <w:pPr>
              <w:spacing w:before="163"/>
              <w:rPr>
                <w:rFonts w:ascii="Arial Narrow" w:eastAsia="仿宋_GB2312" w:hAnsi="Arial Narrow" w:cs="宋体"/>
                <w:iCs/>
                <w:color w:val="0000FF"/>
                <w:kern w:val="0"/>
                <w:sz w:val="24"/>
                <w:szCs w:val="24"/>
              </w:rPr>
            </w:pPr>
            <w:r w:rsidRPr="00637818">
              <w:rPr>
                <w:rFonts w:ascii="Arial Narrow" w:eastAsia="仿宋_GB2312" w:hAnsi="Arial Narrow" w:cs="宋体"/>
                <w:iCs/>
                <w:color w:val="0000FF"/>
                <w:kern w:val="0"/>
                <w:sz w:val="24"/>
                <w:szCs w:val="24"/>
              </w:rPr>
              <w:t>（</w:t>
            </w:r>
            <w:r w:rsidRPr="00637818">
              <w:rPr>
                <w:rFonts w:ascii="Arial Narrow" w:eastAsia="仿宋_GB2312" w:hAnsi="Arial Narrow" w:cs="宋体"/>
                <w:iCs/>
                <w:color w:val="0000FF"/>
                <w:kern w:val="0"/>
                <w:sz w:val="24"/>
                <w:szCs w:val="24"/>
              </w:rPr>
              <w:t>2</w:t>
            </w:r>
            <w:r w:rsidRPr="00637818">
              <w:rPr>
                <w:rFonts w:ascii="Arial Narrow" w:eastAsia="仿宋_GB2312" w:hAnsi="Arial Narrow" w:cs="宋体"/>
                <w:iCs/>
                <w:color w:val="0000FF"/>
                <w:kern w:val="0"/>
                <w:sz w:val="24"/>
                <w:szCs w:val="24"/>
              </w:rPr>
              <w:t>）针对管理层和治理层凌驾于控制之上的风险而设计的控制</w:t>
            </w:r>
          </w:p>
          <w:p w14:paraId="275A5302" w14:textId="77777777" w:rsidR="00F11D71" w:rsidRPr="00637818" w:rsidRDefault="00F11D71" w:rsidP="00AF5F97">
            <w:pPr>
              <w:spacing w:before="163"/>
              <w:rPr>
                <w:rFonts w:ascii="Arial Narrow" w:eastAsia="仿宋_GB2312" w:hAnsi="Arial Narrow" w:cs="宋体"/>
                <w:iCs/>
                <w:color w:val="0000FF"/>
                <w:kern w:val="0"/>
                <w:sz w:val="24"/>
                <w:szCs w:val="24"/>
              </w:rPr>
            </w:pPr>
            <w:r w:rsidRPr="00637818">
              <w:rPr>
                <w:rFonts w:ascii="Arial Narrow" w:eastAsia="仿宋_GB2312" w:hAnsi="Arial Narrow" w:cs="宋体"/>
                <w:iCs/>
                <w:color w:val="0000FF"/>
                <w:kern w:val="0"/>
                <w:sz w:val="24"/>
                <w:szCs w:val="24"/>
              </w:rPr>
              <w:lastRenderedPageBreak/>
              <w:t>（</w:t>
            </w:r>
            <w:r w:rsidRPr="00637818">
              <w:rPr>
                <w:rFonts w:ascii="Arial Narrow" w:eastAsia="仿宋_GB2312" w:hAnsi="Arial Narrow" w:cs="宋体"/>
                <w:iCs/>
                <w:color w:val="0000FF"/>
                <w:kern w:val="0"/>
                <w:sz w:val="24"/>
                <w:szCs w:val="24"/>
              </w:rPr>
              <w:t>3</w:t>
            </w:r>
            <w:r w:rsidRPr="00637818">
              <w:rPr>
                <w:rFonts w:ascii="Arial Narrow" w:eastAsia="仿宋_GB2312" w:hAnsi="Arial Narrow" w:cs="宋体"/>
                <w:iCs/>
                <w:color w:val="0000FF"/>
                <w:kern w:val="0"/>
                <w:sz w:val="24"/>
                <w:szCs w:val="24"/>
              </w:rPr>
              <w:t>）被审计单位的风险评估过程</w:t>
            </w:r>
          </w:p>
          <w:p w14:paraId="4F2F312B" w14:textId="77777777" w:rsidR="00F11D71" w:rsidRPr="00637818" w:rsidRDefault="00F11D71" w:rsidP="00AF5F97">
            <w:pPr>
              <w:spacing w:before="163"/>
              <w:rPr>
                <w:rFonts w:ascii="Arial Narrow" w:eastAsia="仿宋_GB2312" w:hAnsi="Arial Narrow" w:cs="宋体"/>
                <w:iCs/>
                <w:color w:val="0000FF"/>
                <w:kern w:val="0"/>
                <w:sz w:val="24"/>
                <w:szCs w:val="24"/>
              </w:rPr>
            </w:pPr>
            <w:r w:rsidRPr="00637818">
              <w:rPr>
                <w:rFonts w:ascii="Arial Narrow" w:eastAsia="仿宋_GB2312" w:hAnsi="Arial Narrow" w:cs="宋体"/>
                <w:iCs/>
                <w:color w:val="0000FF"/>
                <w:kern w:val="0"/>
                <w:sz w:val="24"/>
                <w:szCs w:val="24"/>
              </w:rPr>
              <w:t>（</w:t>
            </w:r>
            <w:r w:rsidRPr="00637818">
              <w:rPr>
                <w:rFonts w:ascii="Arial Narrow" w:eastAsia="仿宋_GB2312" w:hAnsi="Arial Narrow" w:cs="宋体"/>
                <w:iCs/>
                <w:color w:val="0000FF"/>
                <w:kern w:val="0"/>
                <w:sz w:val="24"/>
                <w:szCs w:val="24"/>
              </w:rPr>
              <w:t>4</w:t>
            </w:r>
            <w:r w:rsidRPr="00637818">
              <w:rPr>
                <w:rFonts w:ascii="Arial Narrow" w:eastAsia="仿宋_GB2312" w:hAnsi="Arial Narrow" w:cs="宋体"/>
                <w:iCs/>
                <w:color w:val="0000FF"/>
                <w:kern w:val="0"/>
                <w:sz w:val="24"/>
                <w:szCs w:val="24"/>
              </w:rPr>
              <w:t>）对内部信息传递的控制</w:t>
            </w:r>
          </w:p>
          <w:p w14:paraId="607E21DD" w14:textId="77777777" w:rsidR="00F11D71" w:rsidRPr="00637818" w:rsidRDefault="00F11D71" w:rsidP="00AF5F97">
            <w:pPr>
              <w:spacing w:before="163"/>
              <w:rPr>
                <w:rFonts w:ascii="Arial Narrow" w:eastAsia="仿宋_GB2312" w:hAnsi="Arial Narrow" w:cs="宋体"/>
                <w:iCs/>
                <w:color w:val="0000FF"/>
                <w:kern w:val="0"/>
                <w:sz w:val="24"/>
                <w:szCs w:val="24"/>
              </w:rPr>
            </w:pPr>
            <w:r w:rsidRPr="00637818">
              <w:rPr>
                <w:rFonts w:ascii="Arial Narrow" w:eastAsia="仿宋_GB2312" w:hAnsi="Arial Narrow" w:cs="宋体"/>
                <w:iCs/>
                <w:color w:val="0000FF"/>
                <w:kern w:val="0"/>
                <w:sz w:val="24"/>
                <w:szCs w:val="24"/>
              </w:rPr>
              <w:t>（</w:t>
            </w:r>
            <w:r w:rsidRPr="00637818">
              <w:rPr>
                <w:rFonts w:ascii="Arial Narrow" w:eastAsia="仿宋_GB2312" w:hAnsi="Arial Narrow" w:cs="宋体"/>
                <w:iCs/>
                <w:color w:val="0000FF"/>
                <w:kern w:val="0"/>
                <w:sz w:val="24"/>
                <w:szCs w:val="24"/>
              </w:rPr>
              <w:t>5</w:t>
            </w:r>
            <w:r w:rsidRPr="00637818">
              <w:rPr>
                <w:rFonts w:ascii="Arial Narrow" w:eastAsia="仿宋_GB2312" w:hAnsi="Arial Narrow" w:cs="宋体"/>
                <w:iCs/>
                <w:color w:val="0000FF"/>
                <w:kern w:val="0"/>
                <w:sz w:val="24"/>
                <w:szCs w:val="24"/>
              </w:rPr>
              <w:t>）对控制的内部监督（即监督其他控制的控制）和内部控制评价</w:t>
            </w:r>
          </w:p>
          <w:p w14:paraId="61E5F858" w14:textId="77777777" w:rsidR="00F11D71" w:rsidRPr="00637818" w:rsidRDefault="00F11D71" w:rsidP="00AF5F97">
            <w:pPr>
              <w:spacing w:before="163"/>
              <w:rPr>
                <w:rFonts w:ascii="Arial Narrow" w:eastAsia="仿宋_GB2312" w:hAnsi="Arial Narrow" w:cs="宋体"/>
                <w:iCs/>
                <w:color w:val="0000FF"/>
                <w:kern w:val="0"/>
                <w:sz w:val="24"/>
                <w:szCs w:val="24"/>
              </w:rPr>
            </w:pPr>
            <w:r w:rsidRPr="00637818">
              <w:rPr>
                <w:rFonts w:ascii="Arial Narrow" w:eastAsia="仿宋_GB2312" w:hAnsi="Arial Narrow" w:cs="宋体"/>
                <w:iCs/>
                <w:color w:val="0000FF"/>
                <w:kern w:val="0"/>
                <w:sz w:val="24"/>
                <w:szCs w:val="24"/>
              </w:rPr>
              <w:t>（</w:t>
            </w:r>
            <w:r w:rsidRPr="00637818">
              <w:rPr>
                <w:rFonts w:ascii="Arial Narrow" w:eastAsia="仿宋_GB2312" w:hAnsi="Arial Narrow" w:cs="宋体"/>
                <w:iCs/>
                <w:color w:val="0000FF"/>
                <w:kern w:val="0"/>
                <w:sz w:val="24"/>
                <w:szCs w:val="24"/>
              </w:rPr>
              <w:t>6</w:t>
            </w:r>
            <w:r w:rsidRPr="00637818">
              <w:rPr>
                <w:rFonts w:ascii="Arial Narrow" w:eastAsia="仿宋_GB2312" w:hAnsi="Arial Narrow" w:cs="宋体"/>
                <w:iCs/>
                <w:color w:val="0000FF"/>
                <w:kern w:val="0"/>
                <w:sz w:val="24"/>
                <w:szCs w:val="24"/>
              </w:rPr>
              <w:t>）对期末财务报告流程的控制</w:t>
            </w:r>
          </w:p>
          <w:p w14:paraId="4E7538BC" w14:textId="77777777" w:rsidR="00F11D71" w:rsidRPr="00637818" w:rsidRDefault="00F11D71" w:rsidP="00AF5F97">
            <w:pPr>
              <w:widowControl/>
              <w:adjustRightInd w:val="0"/>
              <w:snapToGrid w:val="0"/>
              <w:rPr>
                <w:rFonts w:ascii="Arial Narrow" w:eastAsia="仿宋_GB2312" w:hAnsi="Arial Narrow" w:cs="宋体"/>
                <w:i/>
                <w:iCs/>
                <w:color w:val="0000FF"/>
                <w:kern w:val="44"/>
                <w:sz w:val="24"/>
                <w:szCs w:val="24"/>
              </w:rPr>
            </w:pPr>
            <w:r w:rsidRPr="00637818">
              <w:rPr>
                <w:rFonts w:ascii="Arial Narrow" w:eastAsia="仿宋_GB2312" w:hAnsi="Arial Narrow" w:cs="宋体"/>
                <w:iCs/>
                <w:color w:val="0000FF"/>
                <w:kern w:val="0"/>
                <w:sz w:val="24"/>
                <w:szCs w:val="24"/>
              </w:rPr>
              <w:t>（</w:t>
            </w:r>
            <w:r w:rsidRPr="00637818">
              <w:rPr>
                <w:rFonts w:ascii="Arial Narrow" w:eastAsia="仿宋_GB2312" w:hAnsi="Arial Narrow" w:cs="宋体"/>
                <w:iCs/>
                <w:color w:val="0000FF"/>
                <w:kern w:val="0"/>
                <w:sz w:val="24"/>
                <w:szCs w:val="24"/>
              </w:rPr>
              <w:t>7</w:t>
            </w:r>
            <w:r w:rsidRPr="00637818">
              <w:rPr>
                <w:rFonts w:ascii="Arial Narrow" w:eastAsia="仿宋_GB2312" w:hAnsi="Arial Narrow" w:cs="宋体"/>
                <w:iCs/>
                <w:color w:val="0000FF"/>
                <w:kern w:val="0"/>
                <w:sz w:val="24"/>
                <w:szCs w:val="24"/>
              </w:rPr>
              <w:t>）其他企业层面控制，如：集中化的处理和控制（包括共享的服务环境）、监控经营成果的控制以及针对重大经营控制及风险管理实务的政策。</w:t>
            </w:r>
          </w:p>
        </w:tc>
        <w:tc>
          <w:tcPr>
            <w:tcW w:w="2516" w:type="pct"/>
            <w:vAlign w:val="center"/>
          </w:tcPr>
          <w:p w14:paraId="020E6C4D" w14:textId="77777777" w:rsidR="00F11D71" w:rsidRPr="00637818" w:rsidRDefault="00F11D71" w:rsidP="00AF5F97">
            <w:pPr>
              <w:spacing w:before="163"/>
              <w:rPr>
                <w:rFonts w:ascii="Arial Narrow" w:eastAsia="仿宋_GB2312" w:hAnsi="Arial Narrow" w:cs="宋体"/>
                <w:iCs/>
                <w:color w:val="0000FF"/>
                <w:kern w:val="0"/>
                <w:sz w:val="24"/>
                <w:szCs w:val="24"/>
              </w:rPr>
            </w:pPr>
            <w:r w:rsidRPr="00637818">
              <w:rPr>
                <w:rFonts w:ascii="Arial Narrow" w:eastAsia="仿宋_GB2312" w:hAnsi="Arial Narrow" w:cs="宋体"/>
                <w:iCs/>
                <w:color w:val="0000FF"/>
                <w:kern w:val="0"/>
                <w:sz w:val="24"/>
                <w:szCs w:val="24"/>
              </w:rPr>
              <w:lastRenderedPageBreak/>
              <w:t>记录关于重要的企业层面控制有效性的</w:t>
            </w:r>
            <w:r w:rsidRPr="00637818">
              <w:rPr>
                <w:rFonts w:ascii="Arial Narrow" w:eastAsia="仿宋_GB2312" w:hAnsi="Arial Narrow" w:cs="宋体"/>
                <w:b/>
                <w:iCs/>
                <w:color w:val="0000FF"/>
                <w:kern w:val="0"/>
                <w:sz w:val="24"/>
                <w:szCs w:val="24"/>
              </w:rPr>
              <w:t>初步判断</w:t>
            </w:r>
            <w:r w:rsidRPr="00637818">
              <w:rPr>
                <w:rFonts w:ascii="Arial Narrow" w:eastAsia="仿宋_GB2312" w:hAnsi="Arial Narrow" w:cs="宋体"/>
                <w:iCs/>
                <w:color w:val="0000FF"/>
                <w:kern w:val="0"/>
                <w:sz w:val="24"/>
                <w:szCs w:val="24"/>
              </w:rPr>
              <w:t>（间接的、监督性的和精确的企业层面控制）及其</w:t>
            </w:r>
            <w:r w:rsidRPr="00637818">
              <w:rPr>
                <w:rFonts w:ascii="Arial Narrow" w:eastAsia="仿宋_GB2312" w:hAnsi="Arial Narrow" w:cs="宋体"/>
                <w:b/>
                <w:iCs/>
                <w:color w:val="0000FF"/>
                <w:kern w:val="0"/>
                <w:sz w:val="24"/>
                <w:szCs w:val="24"/>
              </w:rPr>
              <w:t>对审计的影响</w:t>
            </w:r>
            <w:r w:rsidRPr="00637818">
              <w:rPr>
                <w:rFonts w:ascii="Arial Narrow" w:eastAsia="仿宋_GB2312" w:hAnsi="Arial Narrow" w:cs="宋体"/>
                <w:iCs/>
                <w:color w:val="0000FF"/>
                <w:kern w:val="0"/>
                <w:sz w:val="24"/>
                <w:szCs w:val="24"/>
              </w:rPr>
              <w:t>。</w:t>
            </w:r>
          </w:p>
        </w:tc>
      </w:tr>
    </w:tbl>
    <w:p w14:paraId="63B57AB1" w14:textId="77777777" w:rsidR="00F11D71" w:rsidRPr="00637818" w:rsidRDefault="00F11D71" w:rsidP="00F11D71">
      <w:pPr>
        <w:pStyle w:val="ac"/>
        <w:spacing w:after="240" w:line="240" w:lineRule="auto"/>
        <w:ind w:left="460"/>
        <w:jc w:val="left"/>
        <w:rPr>
          <w:rFonts w:ascii="Arial Narrow" w:eastAsia="仿宋_GB2312" w:hAnsi="Arial Narrow"/>
          <w:sz w:val="24"/>
          <w:szCs w:val="24"/>
        </w:rPr>
      </w:pPr>
      <w:bookmarkStart w:id="6" w:name="_Toc375240160"/>
      <w:bookmarkStart w:id="7" w:name="_Toc375240594"/>
      <w:bookmarkStart w:id="8" w:name="_Toc375240685"/>
      <w:bookmarkStart w:id="9" w:name="_Toc376366326"/>
      <w:bookmarkStart w:id="10" w:name="_Toc376437205"/>
      <w:bookmarkStart w:id="11" w:name="_Toc484091840"/>
      <w:r w:rsidRPr="00637818">
        <w:rPr>
          <w:rFonts w:ascii="Arial Narrow" w:eastAsia="仿宋_GB2312" w:hAnsi="Arial Narrow"/>
          <w:sz w:val="24"/>
          <w:szCs w:val="24"/>
        </w:rPr>
        <w:t>（二）对企业利用信息技术的考虑</w:t>
      </w:r>
      <w:r w:rsidRPr="00637818">
        <w:rPr>
          <w:rFonts w:ascii="Arial Narrow" w:eastAsia="仿宋_GB2312" w:hAnsi="Arial Narrow"/>
          <w:color w:val="0000FF"/>
          <w:sz w:val="24"/>
          <w:szCs w:val="24"/>
        </w:rPr>
        <w:t>（如适用）</w:t>
      </w:r>
      <w:bookmarkEnd w:id="6"/>
      <w:bookmarkEnd w:id="7"/>
      <w:bookmarkEnd w:id="8"/>
      <w:bookmarkEnd w:id="9"/>
      <w:bookmarkEnd w:id="10"/>
      <w:bookmarkEnd w:id="11"/>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851"/>
        <w:gridCol w:w="4445"/>
      </w:tblGrid>
      <w:tr w:rsidR="00F11D71" w:rsidRPr="00637818" w14:paraId="50CB9B0C" w14:textId="77777777" w:rsidTr="00AF5F97">
        <w:tc>
          <w:tcPr>
            <w:tcW w:w="2321" w:type="pct"/>
            <w:vAlign w:val="center"/>
          </w:tcPr>
          <w:p w14:paraId="4430B7AF" w14:textId="77777777" w:rsidR="00F11D71" w:rsidRPr="00637818" w:rsidRDefault="00F11D71" w:rsidP="00AF5F97">
            <w:pPr>
              <w:widowControl/>
              <w:spacing w:before="163"/>
              <w:jc w:val="center"/>
              <w:rPr>
                <w:rFonts w:ascii="Arial Narrow" w:eastAsia="仿宋_GB2312" w:hAnsi="Arial Narrow" w:cs="宋体"/>
                <w:b/>
                <w:color w:val="000000"/>
                <w:kern w:val="0"/>
                <w:sz w:val="24"/>
                <w:szCs w:val="24"/>
              </w:rPr>
            </w:pPr>
            <w:r w:rsidRPr="00637818">
              <w:rPr>
                <w:rFonts w:ascii="Arial Narrow" w:eastAsia="仿宋_GB2312" w:hAnsi="Arial Narrow" w:cs="宋体"/>
                <w:b/>
                <w:color w:val="000000"/>
                <w:kern w:val="0"/>
                <w:sz w:val="24"/>
                <w:szCs w:val="24"/>
              </w:rPr>
              <w:t>对企业利用信息技术的考虑</w:t>
            </w:r>
          </w:p>
        </w:tc>
        <w:tc>
          <w:tcPr>
            <w:tcW w:w="2679" w:type="pct"/>
            <w:vAlign w:val="center"/>
          </w:tcPr>
          <w:p w14:paraId="1C03972F" w14:textId="77777777" w:rsidR="00F11D71" w:rsidRPr="00637818" w:rsidRDefault="00F11D71" w:rsidP="00AF5F97">
            <w:pPr>
              <w:widowControl/>
              <w:spacing w:before="163"/>
              <w:jc w:val="center"/>
              <w:rPr>
                <w:rFonts w:ascii="Arial Narrow" w:eastAsia="仿宋_GB2312" w:hAnsi="Arial Narrow" w:cs="宋体"/>
                <w:b/>
                <w:color w:val="000000"/>
                <w:kern w:val="0"/>
                <w:sz w:val="24"/>
                <w:szCs w:val="24"/>
              </w:rPr>
            </w:pPr>
            <w:r w:rsidRPr="00637818">
              <w:rPr>
                <w:rFonts w:ascii="Arial Narrow" w:eastAsia="仿宋_GB2312" w:hAnsi="Arial Narrow" w:cs="宋体"/>
                <w:b/>
                <w:color w:val="000000"/>
                <w:kern w:val="0"/>
                <w:sz w:val="24"/>
                <w:szCs w:val="24"/>
              </w:rPr>
              <w:t>对审计的影响</w:t>
            </w:r>
          </w:p>
        </w:tc>
      </w:tr>
      <w:tr w:rsidR="00F11D71" w:rsidRPr="00637818" w14:paraId="674AA768" w14:textId="77777777" w:rsidTr="00AF5F97">
        <w:tc>
          <w:tcPr>
            <w:tcW w:w="2321" w:type="pct"/>
            <w:vAlign w:val="center"/>
          </w:tcPr>
          <w:p w14:paraId="2E08054F" w14:textId="77777777" w:rsidR="00F11D71" w:rsidRPr="00637818" w:rsidRDefault="00F11D71" w:rsidP="00AF5F97">
            <w:pPr>
              <w:spacing w:before="163"/>
              <w:rPr>
                <w:rFonts w:ascii="Arial Narrow" w:eastAsia="仿宋_GB2312" w:hAnsi="Arial Narrow" w:cs="宋体"/>
                <w:i/>
                <w:iCs/>
                <w:color w:val="0000FF"/>
                <w:kern w:val="44"/>
                <w:sz w:val="24"/>
                <w:szCs w:val="24"/>
              </w:rPr>
            </w:pPr>
            <w:r w:rsidRPr="00637818">
              <w:rPr>
                <w:rFonts w:ascii="Arial Narrow" w:eastAsia="仿宋_GB2312" w:hAnsi="Arial Narrow" w:cs="宋体"/>
                <w:iCs/>
                <w:color w:val="0000FF"/>
                <w:kern w:val="0"/>
                <w:sz w:val="24"/>
                <w:szCs w:val="24"/>
              </w:rPr>
              <w:t>总结对总体审计策略有重要影响的关于企业利用信息技术的信息。识别可能影响财务报告内部控制有效性的与信息技术环境相关的重要事项和变化。</w:t>
            </w:r>
          </w:p>
        </w:tc>
        <w:tc>
          <w:tcPr>
            <w:tcW w:w="2679" w:type="pct"/>
            <w:vAlign w:val="center"/>
          </w:tcPr>
          <w:p w14:paraId="04C07B66" w14:textId="77777777" w:rsidR="00F11D71" w:rsidRPr="00637818" w:rsidRDefault="00F11D71" w:rsidP="00AF5F97">
            <w:pPr>
              <w:spacing w:before="163"/>
              <w:rPr>
                <w:rFonts w:ascii="Arial Narrow" w:eastAsia="仿宋_GB2312" w:hAnsi="Arial Narrow" w:cs="宋体"/>
                <w:iCs/>
                <w:color w:val="0000FF"/>
                <w:kern w:val="0"/>
                <w:sz w:val="24"/>
                <w:szCs w:val="24"/>
              </w:rPr>
            </w:pPr>
            <w:r w:rsidRPr="00637818">
              <w:rPr>
                <w:rFonts w:ascii="Arial Narrow" w:eastAsia="仿宋_GB2312" w:hAnsi="Arial Narrow" w:cs="宋体"/>
                <w:iCs/>
                <w:color w:val="0000FF"/>
                <w:kern w:val="0"/>
                <w:sz w:val="24"/>
                <w:szCs w:val="24"/>
              </w:rPr>
              <w:t>关于信息技术一般控制有效性的初步结论</w:t>
            </w:r>
          </w:p>
        </w:tc>
      </w:tr>
    </w:tbl>
    <w:p w14:paraId="36053931" w14:textId="77777777" w:rsidR="00F11D71" w:rsidRDefault="00F11D71" w:rsidP="00F11D71">
      <w:pPr>
        <w:widowControl/>
        <w:spacing w:before="0" w:beforeAutospacing="0" w:after="120" w:afterAutospacing="0" w:line="276" w:lineRule="auto"/>
        <w:contextualSpacing/>
        <w:jc w:val="left"/>
        <w:rPr>
          <w:rFonts w:ascii="仿宋" w:eastAsia="仿宋" w:hAnsi="仿宋" w:hint="eastAsia"/>
          <w:b/>
          <w:sz w:val="24"/>
          <w:szCs w:val="24"/>
        </w:rPr>
      </w:pPr>
    </w:p>
    <w:p>
      <w:r>
        <w:t>三（补充）、IT 对 ICFR 意见的影响</w:t>
      </w:r>
    </w:p>
    <w:tbl>
      <w:tblPr>
        <w:tblStyle w:val="aa"/>
        <w:tblW w:type="auto" w:w="0"/>
        <w:tblLook w:firstColumn="1" w:firstRow="1" w:lastColumn="0" w:lastRow="0" w:noHBand="0" w:noVBand="1" w:val="04A0"/>
      </w:tblPr>
      <w:tblGrid>
        <w:gridCol w:w="2769"/>
        <w:gridCol w:w="2769"/>
        <w:gridCol w:w="2769"/>
      </w:tblGrid>
      <w:tr>
        <w:tc>
          <w:tcPr>
            <w:tcW w:type="dxa" w:w="2769"/>
          </w:tcPr>
          <w:p>
            <w:r>
              <w:t>项目</w:t>
            </w:r>
          </w:p>
        </w:tc>
        <w:tc>
          <w:tcPr>
            <w:tcW w:type="dxa" w:w="2769"/>
          </w:tcPr>
          <w:p>
            <w:r>
              <w:t>结论/安排</w:t>
            </w:r>
          </w:p>
        </w:tc>
        <w:tc>
          <w:tcPr>
            <w:tcW w:type="dxa" w:w="2769"/>
          </w:tcPr>
          <w:p>
            <w:r>
              <w:t>索引</w:t>
            </w:r>
          </w:p>
        </w:tc>
      </w:tr>
      <w:tr>
        <w:tc>
          <w:tcPr>
            <w:tcW w:type="dxa" w:w="2769"/>
          </w:tcPr>
          <w:p>
            <w:r>
              <w:t>是否适用 IT 审计（见 B60-2-1）</w:t>
            </w:r>
          </w:p>
        </w:tc>
        <w:tc>
          <w:tcPr>
            <w:tcW w:type="dxa" w:w="2769"/>
          </w:tcPr>
          <w:p>
            <w:r/>
          </w:p>
        </w:tc>
        <w:tc>
          <w:tcPr>
            <w:tcW w:type="dxa" w:w="2769"/>
          </w:tcPr>
          <w:p>
            <w:r>
              <w:t>B60-2-1</w:t>
            </w:r>
          </w:p>
        </w:tc>
      </w:tr>
      <w:tr>
        <w:tc>
          <w:tcPr>
            <w:tcW w:type="dxa" w:w="2769"/>
          </w:tcPr>
          <w:p>
            <w:r>
              <w:t>ITGC/ITAC 对财务报告内控有效性的初步影响</w:t>
            </w:r>
          </w:p>
        </w:tc>
        <w:tc>
          <w:tcPr>
            <w:tcW w:type="dxa" w:w="2769"/>
          </w:tcPr>
          <w:p>
            <w:r/>
          </w:p>
        </w:tc>
        <w:tc>
          <w:tcPr>
            <w:tcW w:type="dxa" w:w="2769"/>
          </w:tcPr>
          <w:p>
            <w:r>
              <w:t>B60-2-3 / B22A</w:t>
            </w:r>
          </w:p>
        </w:tc>
      </w:tr>
      <w:tr>
        <w:tc>
          <w:tcPr>
            <w:tcW w:type="dxa" w:w="2769"/>
          </w:tcPr>
          <w:p>
            <w:r>
              <w:t>已知 IT 缺陷（如有）及对 ICFR 意见影响</w:t>
            </w:r>
          </w:p>
        </w:tc>
        <w:tc>
          <w:tcPr>
            <w:tcW w:type="dxa" w:w="2769"/>
          </w:tcPr>
          <w:p>
            <w:r/>
          </w:p>
        </w:tc>
        <w:tc>
          <w:tcPr>
            <w:tcW w:type="dxa" w:w="2769"/>
          </w:tcPr>
          <w:p>
            <w:r/>
          </w:p>
        </w:tc>
      </w:tr>
    </w:tbl>
    <w:p>
      <w:r>
        <w:rPr>
          <w:color w:val="0000FF"/>
          <w:sz w:val="21"/>
        </w:rPr>
        <w:t>【整合审计时本表必填；可与 B60 第三章（六）勾稽。】</w:t>
      </w:r>
    </w:p>
    <w:p>
      <w:r>
        <w:t>三（补充）、缺陷评价标准对齐</w:t>
      </w:r>
    </w:p>
    <w:tbl>
      <w:tblPr>
        <w:tblStyle w:val="aa"/>
        <w:tblW w:type="auto" w:w="0"/>
        <w:tblLook w:firstColumn="1" w:firstRow="1" w:lastColumn="0" w:lastRow="0" w:noHBand="0" w:noVBand="1" w:val="04A0"/>
      </w:tblPr>
      <w:tblGrid>
        <w:gridCol w:w="2769"/>
        <w:gridCol w:w="2769"/>
        <w:gridCol w:w="2769"/>
      </w:tblGrid>
      <w:tr>
        <w:tc>
          <w:tcPr>
            <w:tcW w:type="dxa" w:w="2769"/>
          </w:tcPr>
          <w:p>
            <w:r>
              <w:t>检查项</w:t>
            </w:r>
          </w:p>
        </w:tc>
        <w:tc>
          <w:tcPr>
            <w:tcW w:type="dxa" w:w="2769"/>
          </w:tcPr>
          <w:p>
            <w:r>
              <w:t>是/否/说明</w:t>
            </w:r>
          </w:p>
        </w:tc>
        <w:tc>
          <w:tcPr>
            <w:tcW w:type="dxa" w:w="2769"/>
          </w:tcPr>
          <w:p>
            <w:r>
              <w:t>索引</w:t>
            </w:r>
          </w:p>
        </w:tc>
      </w:tr>
      <w:tr>
        <w:tc>
          <w:tcPr>
            <w:tcW w:type="dxa" w:w="2769"/>
          </w:tcPr>
          <w:p>
            <w:r>
              <w:t>已获取管理层内部控制自我评价报告</w:t>
            </w:r>
          </w:p>
        </w:tc>
        <w:tc>
          <w:tcPr>
            <w:tcW w:type="dxa" w:w="2769"/>
          </w:tcPr>
          <w:p>
            <w:r/>
          </w:p>
        </w:tc>
        <w:tc>
          <w:tcPr>
            <w:tcW w:type="dxa" w:w="2769"/>
          </w:tcPr>
          <w:p>
            <w:r/>
          </w:p>
        </w:tc>
      </w:tr>
      <w:tr>
        <w:tc>
          <w:tcPr>
            <w:tcW w:type="dxa" w:w="2769"/>
          </w:tcPr>
          <w:p>
            <w:r>
              <w:t>评价报告要素完整（按评价指引）</w:t>
            </w:r>
          </w:p>
        </w:tc>
        <w:tc>
          <w:tcPr>
            <w:tcW w:type="dxa" w:w="2769"/>
          </w:tcPr>
          <w:p>
            <w:r/>
          </w:p>
        </w:tc>
        <w:tc>
          <w:tcPr>
            <w:tcW w:type="dxa" w:w="2769"/>
          </w:tcPr>
          <w:p>
            <w:r/>
          </w:p>
        </w:tc>
      </w:tr>
      <w:tr>
        <w:tc>
          <w:tcPr>
            <w:tcW w:type="dxa" w:w="2769"/>
          </w:tcPr>
          <w:p>
            <w:r>
              <w:t>董事会缺陷评价标准符合《企业内部控制评价指引》</w:t>
            </w:r>
          </w:p>
        </w:tc>
        <w:tc>
          <w:tcPr>
            <w:tcW w:type="dxa" w:w="2769"/>
          </w:tcPr>
          <w:p>
            <w:r/>
          </w:p>
        </w:tc>
        <w:tc>
          <w:tcPr>
            <w:tcW w:type="dxa" w:w="2769"/>
          </w:tcPr>
          <w:p>
            <w:r/>
          </w:p>
        </w:tc>
      </w:tr>
      <w:tr>
        <w:tc>
          <w:tcPr>
            <w:tcW w:type="dxa" w:w="2769"/>
          </w:tcPr>
          <w:p>
            <w:r>
              <w:t>企审双方对重大缺陷结论是否一致</w:t>
            </w:r>
          </w:p>
        </w:tc>
        <w:tc>
          <w:tcPr>
            <w:tcW w:type="dxa" w:w="2769"/>
          </w:tcPr>
          <w:p>
            <w:r/>
          </w:p>
        </w:tc>
        <w:tc>
          <w:tcPr>
            <w:tcW w:type="dxa" w:w="2769"/>
          </w:tcPr>
          <w:p>
            <w:r/>
          </w:p>
        </w:tc>
      </w:tr>
      <w:tr>
        <w:tc>
          <w:tcPr>
            <w:tcW w:type="dxa" w:w="2769"/>
          </w:tcPr>
          <w:p>
            <w:r>
              <w:t>不一致时对内控审计意见类型/报告内容的影响</w:t>
            </w:r>
          </w:p>
        </w:tc>
        <w:tc>
          <w:tcPr>
            <w:tcW w:type="dxa" w:w="2769"/>
          </w:tcPr>
          <w:p>
            <w:r/>
          </w:p>
        </w:tc>
        <w:tc>
          <w:tcPr>
            <w:tcW w:type="dxa" w:w="2769"/>
          </w:tcPr>
          <w:p>
            <w:r/>
          </w:p>
        </w:tc>
      </w:tr>
    </w:tbl>
    <w:p>
      <w:r>
        <w:t>三（补充）、重要账户/披露与业务层面控制范围</w:t>
      </w:r>
    </w:p>
    <w:tbl>
      <w:tblPr>
        <w:tblStyle w:val="aa"/>
        <w:tblW w:type="auto" w:w="0"/>
        <w:tblLook w:firstColumn="1" w:firstRow="1" w:lastColumn="0" w:lastRow="0" w:noHBand="0" w:noVBand="1" w:val="04A0"/>
      </w:tblPr>
      <w:tblGrid>
        <w:gridCol w:w="1661"/>
        <w:gridCol w:w="1661"/>
        <w:gridCol w:w="1661"/>
        <w:gridCol w:w="1661"/>
        <w:gridCol w:w="1661"/>
      </w:tblGrid>
      <w:tr>
        <w:tc>
          <w:tcPr>
            <w:tcW w:type="dxa" w:w="1661"/>
          </w:tcPr>
          <w:p>
            <w:r>
              <w:t>重要账户或披露</w:t>
            </w:r>
          </w:p>
        </w:tc>
        <w:tc>
          <w:tcPr>
            <w:tcW w:type="dxa" w:w="1661"/>
          </w:tcPr>
          <w:p>
            <w:r>
              <w:t>相关认定</w:t>
            </w:r>
          </w:p>
        </w:tc>
        <w:tc>
          <w:tcPr>
            <w:tcW w:type="dxa" w:w="1661"/>
          </w:tcPr>
          <w:p>
            <w:r>
              <w:t>拟测试的关键控制（简述）</w:t>
            </w:r>
          </w:p>
        </w:tc>
        <w:tc>
          <w:tcPr>
            <w:tcW w:type="dxa" w:w="1661"/>
          </w:tcPr>
          <w:p>
            <w:r>
              <w:t>底稿索引</w:t>
            </w:r>
          </w:p>
        </w:tc>
        <w:tc>
          <w:tcPr>
            <w:tcW w:type="dxa" w:w="1661"/>
          </w:tcPr>
          <w:p>
            <w:r>
              <w:t>备注</w:t>
            </w:r>
          </w:p>
        </w:tc>
      </w:tr>
      <w:tr>
        <w:tc>
          <w:tcPr>
            <w:tcW w:type="dxa" w:w="1661"/>
          </w:tcPr>
          <w:p>
            <w:r/>
          </w:p>
        </w:tc>
        <w:tc>
          <w:tcPr>
            <w:tcW w:type="dxa" w:w="1661"/>
          </w:tcPr>
          <w:p>
            <w:r/>
          </w:p>
        </w:tc>
        <w:tc>
          <w:tcPr>
            <w:tcW w:type="dxa" w:w="1661"/>
          </w:tcPr>
          <w:p>
            <w:r/>
          </w:p>
        </w:tc>
        <w:tc>
          <w:tcPr>
            <w:tcW w:type="dxa" w:w="1661"/>
          </w:tcPr>
          <w:p>
            <w:r/>
          </w:p>
        </w:tc>
        <w:tc>
          <w:tcPr>
            <w:tcW w:type="dxa" w:w="1661"/>
          </w:tcPr>
          <w:p>
            <w:r/>
          </w:p>
        </w:tc>
      </w:tr>
      <w:tr>
        <w:tc>
          <w:tcPr>
            <w:tcW w:type="dxa" w:w="1661"/>
          </w:tcPr>
          <w:p>
            <w:r/>
          </w:p>
        </w:tc>
        <w:tc>
          <w:tcPr>
            <w:tcW w:type="dxa" w:w="1661"/>
          </w:tcPr>
          <w:p>
            <w:r/>
          </w:p>
        </w:tc>
        <w:tc>
          <w:tcPr>
            <w:tcW w:type="dxa" w:w="1661"/>
          </w:tcPr>
          <w:p>
            <w:r/>
          </w:p>
        </w:tc>
        <w:tc>
          <w:tcPr>
            <w:tcW w:type="dxa" w:w="1661"/>
          </w:tcPr>
          <w:p>
            <w:r/>
          </w:p>
        </w:tc>
        <w:tc>
          <w:tcPr>
            <w:tcW w:type="dxa" w:w="1661"/>
          </w:tcPr>
          <w:p>
            <w:r/>
          </w:p>
        </w:tc>
      </w:tr>
      <w:tr>
        <w:tc>
          <w:tcPr>
            <w:tcW w:type="dxa" w:w="1661"/>
          </w:tcPr>
          <w:p>
            <w:r/>
          </w:p>
        </w:tc>
        <w:tc>
          <w:tcPr>
            <w:tcW w:type="dxa" w:w="1661"/>
          </w:tcPr>
          <w:p>
            <w:r/>
          </w:p>
        </w:tc>
        <w:tc>
          <w:tcPr>
            <w:tcW w:type="dxa" w:w="1661"/>
          </w:tcPr>
          <w:p>
            <w:r/>
          </w:p>
        </w:tc>
        <w:tc>
          <w:tcPr>
            <w:tcW w:type="dxa" w:w="1661"/>
          </w:tcPr>
          <w:p>
            <w:r/>
          </w:p>
        </w:tc>
        <w:tc>
          <w:tcPr>
            <w:tcW w:type="dxa" w:w="1661"/>
          </w:tcPr>
          <w:p>
            <w:r/>
          </w:p>
        </w:tc>
      </w:tr>
    </w:tbl>
    <w:p>
      <w:r>
        <w:rPr>
          <w:color w:val="0000FF"/>
          <w:sz w:val="21"/>
        </w:rPr>
        <w:t>【可与 B50 SCOT+/仅重大及 C 循环程序表勾稽。】</w:t>
      </w:r>
    </w:p>
    <w:p>
      <w:r>
        <w:t>三（补充）、与财务报表审计范围的差异</w:t>
      </w:r>
    </w:p>
    <w:tbl>
      <w:tblPr>
        <w:tblStyle w:val="aa"/>
        <w:tblW w:type="auto" w:w="0"/>
        <w:tblLook w:firstColumn="1" w:firstRow="1" w:lastColumn="0" w:lastRow="0" w:noHBand="0" w:noVBand="1" w:val="04A0"/>
      </w:tblPr>
      <w:tblGrid>
        <w:gridCol w:w="2076"/>
        <w:gridCol w:w="2076"/>
        <w:gridCol w:w="2076"/>
        <w:gridCol w:w="2076"/>
      </w:tblGrid>
      <w:tr>
        <w:tc>
          <w:tcPr>
            <w:tcW w:type="dxa" w:w="2076"/>
          </w:tcPr>
          <w:p>
            <w:r>
              <w:t>事项</w:t>
            </w:r>
          </w:p>
        </w:tc>
        <w:tc>
          <w:tcPr>
            <w:tcW w:type="dxa" w:w="2076"/>
          </w:tcPr>
          <w:p>
            <w:r>
              <w:t>是否存在差异</w:t>
            </w:r>
          </w:p>
        </w:tc>
        <w:tc>
          <w:tcPr>
            <w:tcW w:type="dxa" w:w="2076"/>
          </w:tcPr>
          <w:p>
            <w:r>
              <w:t>差异说明</w:t>
            </w:r>
          </w:p>
        </w:tc>
        <w:tc>
          <w:tcPr>
            <w:tcW w:type="dxa" w:w="2076"/>
          </w:tcPr>
          <w:p>
            <w:r>
              <w:t>对程序/证据的影响</w:t>
            </w:r>
          </w:p>
        </w:tc>
      </w:tr>
      <w:tr>
        <w:tc>
          <w:tcPr>
            <w:tcW w:type="dxa" w:w="2076"/>
          </w:tcPr>
          <w:p>
            <w:r>
              <w:t>重要账户与披露范围</w:t>
            </w:r>
          </w:p>
        </w:tc>
        <w:tc>
          <w:tcPr>
            <w:tcW w:type="dxa" w:w="2076"/>
          </w:tcPr>
          <w:p>
            <w:r/>
          </w:p>
        </w:tc>
        <w:tc>
          <w:tcPr>
            <w:tcW w:type="dxa" w:w="2076"/>
          </w:tcPr>
          <w:p>
            <w:r/>
          </w:p>
        </w:tc>
        <w:tc>
          <w:tcPr>
            <w:tcW w:type="dxa" w:w="2076"/>
          </w:tcPr>
          <w:p>
            <w:r/>
          </w:p>
        </w:tc>
      </w:tr>
      <w:tr>
        <w:tc>
          <w:tcPr>
            <w:tcW w:type="dxa" w:w="2076"/>
          </w:tcPr>
          <w:p>
            <w:r>
              <w:t>业务层面控制测试范围</w:t>
            </w:r>
          </w:p>
        </w:tc>
        <w:tc>
          <w:tcPr>
            <w:tcW w:type="dxa" w:w="2076"/>
          </w:tcPr>
          <w:p>
            <w:r/>
          </w:p>
        </w:tc>
        <w:tc>
          <w:tcPr>
            <w:tcW w:type="dxa" w:w="2076"/>
          </w:tcPr>
          <w:p>
            <w:r/>
          </w:p>
        </w:tc>
        <w:tc>
          <w:tcPr>
            <w:tcW w:type="dxa" w:w="2076"/>
          </w:tcPr>
          <w:p>
            <w:r/>
          </w:p>
        </w:tc>
      </w:tr>
      <w:tr>
        <w:tc>
          <w:tcPr>
            <w:tcW w:type="dxa" w:w="2076"/>
          </w:tcPr>
          <w:p>
            <w:r>
              <w:t>IT 一般控制/应用控制范围</w:t>
            </w:r>
          </w:p>
        </w:tc>
        <w:tc>
          <w:tcPr>
            <w:tcW w:type="dxa" w:w="2076"/>
          </w:tcPr>
          <w:p>
            <w:r/>
          </w:p>
        </w:tc>
        <w:tc>
          <w:tcPr>
            <w:tcW w:type="dxa" w:w="2076"/>
          </w:tcPr>
          <w:p>
            <w:r/>
          </w:p>
        </w:tc>
        <w:tc>
          <w:tcPr>
            <w:tcW w:type="dxa" w:w="2076"/>
          </w:tcPr>
          <w:p>
            <w:r/>
          </w:p>
        </w:tc>
      </w:tr>
      <w:tr>
        <w:tc>
          <w:tcPr>
            <w:tcW w:type="dxa" w:w="2076"/>
          </w:tcPr>
          <w:p>
            <w:r>
              <w:t>基准日与报告涵盖期间</w:t>
            </w:r>
          </w:p>
        </w:tc>
        <w:tc>
          <w:tcPr>
            <w:tcW w:type="dxa" w:w="2076"/>
          </w:tcPr>
          <w:p>
            <w:r/>
          </w:p>
        </w:tc>
        <w:tc>
          <w:tcPr>
            <w:tcW w:type="dxa" w:w="2076"/>
          </w:tcPr>
          <w:p>
            <w:r/>
          </w:p>
        </w:tc>
        <w:tc>
          <w:tcPr>
            <w:tcW w:type="dxa" w:w="2076"/>
          </w:tcPr>
          <w:p>
            <w:r/>
          </w:p>
        </w:tc>
      </w:tr>
      <w:tr>
        <w:tc>
          <w:tcPr>
            <w:tcW w:type="dxa" w:w="2076"/>
          </w:tcPr>
          <w:p>
            <w:r>
              <w:t>其他</w:t>
            </w:r>
          </w:p>
        </w:tc>
        <w:tc>
          <w:tcPr>
            <w:tcW w:type="dxa" w:w="2076"/>
          </w:tcPr>
          <w:p>
            <w:r/>
          </w:p>
        </w:tc>
        <w:tc>
          <w:tcPr>
            <w:tcW w:type="dxa" w:w="2076"/>
          </w:tcPr>
          <w:p>
            <w:r/>
          </w:p>
        </w:tc>
        <w:tc>
          <w:tcPr>
            <w:tcW w:type="dxa" w:w="2076"/>
          </w:tcPr>
          <w:p>
            <w:r/>
          </w:p>
        </w:tc>
      </w:tr>
    </w:tbl>
    <w:p>
      <w:r>
        <w:rPr>
          <w:color w:val="0000FF"/>
          <w:sz w:val="21"/>
        </w:rPr>
        <w:t>【无差异时在「是否存在差异」列填「否」。】</w:t>
      </w:r>
    </w:p>
    <w:p w14:paraId="016FE2AC" w14:textId="77777777" w:rsidR="00F11D71" w:rsidRPr="00E16455" w:rsidRDefault="00F11D71" w:rsidP="00E16455">
      <w:pPr>
        <w:pStyle w:val="ab"/>
        <w:framePr w:wrap="auto" w:vAnchor="margin" w:yAlign="inline"/>
        <w:widowControl w:val="0"/>
        <w:spacing w:before="240" w:after="60"/>
        <w:contextualSpacing w:val="0"/>
        <w:outlineLvl w:val="0"/>
        <w:rPr>
          <w:rFonts w:ascii="仿宋" w:eastAsia="仿宋" w:hAnsi="仿宋" w:hint="eastAsia"/>
          <w:b/>
          <w:color w:val="auto"/>
          <w:sz w:val="24"/>
          <w:szCs w:val="24"/>
        </w:rPr>
      </w:pPr>
      <w:r w:rsidRPr="00E16455">
        <w:rPr>
          <w:rFonts w:ascii="仿宋" w:eastAsia="仿宋" w:hAnsi="仿宋" w:hint="eastAsia"/>
          <w:b/>
          <w:color w:val="auto"/>
          <w:sz w:val="24"/>
          <w:szCs w:val="24"/>
        </w:rPr>
        <w:t>四、被审计单位的内部控制自我评价情况</w:t>
      </w:r>
    </w:p>
    <w:p w14:paraId="3C579A1B" w14:textId="77777777" w:rsidR="00F11D71" w:rsidRDefault="00F11D71" w:rsidP="00F11D71">
      <w:pPr>
        <w:pStyle w:val="ac"/>
        <w:spacing w:after="240" w:line="240" w:lineRule="auto"/>
        <w:ind w:left="460"/>
        <w:jc w:val="left"/>
        <w:rPr>
          <w:rFonts w:ascii="Arial Narrow" w:eastAsia="仿宋_GB2312" w:hAnsi="Arial Narrow"/>
          <w:color w:val="FF0000"/>
          <w:sz w:val="24"/>
          <w:szCs w:val="24"/>
        </w:rPr>
      </w:pPr>
      <w:r w:rsidRPr="00F11D71">
        <w:rPr>
          <w:rFonts w:ascii="Arial Narrow" w:eastAsia="仿宋_GB2312" w:hAnsi="Arial Narrow" w:hint="eastAsia"/>
          <w:color w:val="FF0000"/>
          <w:sz w:val="24"/>
          <w:szCs w:val="24"/>
        </w:rPr>
        <w:t>……</w:t>
      </w:r>
    </w:p>
    <w:p w14:paraId="6027C2F4" w14:textId="1742A128" w:rsidR="00E16455" w:rsidRPr="00E16455" w:rsidRDefault="00E16455" w:rsidP="00E16455">
      <w:pPr>
        <w:rPr>
          <w:rFonts w:hint="eastAsia"/>
        </w:rPr>
      </w:pPr>
      <w:r w:rsidRPr="00F11D71">
        <w:rPr>
          <w:rFonts w:ascii="Arial Narrow" w:eastAsia="仿宋_GB2312" w:hAnsi="Arial Narrow"/>
          <w:iCs/>
          <w:color w:val="0000FF"/>
          <w:sz w:val="24"/>
          <w:szCs w:val="24"/>
        </w:rPr>
        <w:t>【</w:t>
      </w:r>
      <w:r w:rsidRPr="00F11D71">
        <w:rPr>
          <w:rFonts w:ascii="Arial Narrow" w:eastAsia="仿宋_GB2312" w:hAnsi="Arial Narrow"/>
          <w:b/>
          <w:bCs/>
          <w:iCs/>
          <w:color w:val="0000FF"/>
          <w:sz w:val="24"/>
          <w:szCs w:val="24"/>
        </w:rPr>
        <w:t>提示：</w:t>
      </w:r>
      <w:r w:rsidR="000F4750">
        <w:rPr>
          <w:rFonts w:ascii="Arial Narrow" w:eastAsia="仿宋_GB2312" w:hAnsi="Arial Narrow" w:hint="eastAsia"/>
          <w:iCs/>
          <w:color w:val="0000FF"/>
          <w:sz w:val="24"/>
          <w:szCs w:val="24"/>
        </w:rPr>
        <w:t>注册会计师应当获取被审计单位的内部控制自我评价报告，复核其内容、要素是否完整，判断董事会制订的内部控制缺陷评价标准是否符合</w:t>
      </w:r>
      <w:r w:rsidR="000F4750" w:rsidRPr="000F4750">
        <w:rPr>
          <w:rFonts w:ascii="Arial Narrow" w:eastAsia="仿宋_GB2312" w:hAnsi="Arial Narrow" w:hint="eastAsia"/>
          <w:iCs/>
          <w:color w:val="0000FF"/>
          <w:sz w:val="24"/>
          <w:szCs w:val="24"/>
        </w:rPr>
        <w:t>《企业内部控制评价指引》</w:t>
      </w:r>
      <w:r w:rsidR="000F4750">
        <w:rPr>
          <w:rFonts w:ascii="Arial Narrow" w:eastAsia="仿宋_GB2312" w:hAnsi="Arial Narrow" w:hint="eastAsia"/>
          <w:iCs/>
          <w:color w:val="0000FF"/>
          <w:sz w:val="24"/>
          <w:szCs w:val="24"/>
        </w:rPr>
        <w:t>（包括</w:t>
      </w:r>
      <w:r w:rsidR="000F4750" w:rsidRPr="000F4750">
        <w:rPr>
          <w:rFonts w:ascii="Arial Narrow" w:eastAsia="仿宋_GB2312" w:hAnsi="Arial Narrow" w:hint="eastAsia"/>
          <w:iCs/>
          <w:color w:val="0000FF"/>
          <w:sz w:val="24"/>
          <w:szCs w:val="24"/>
        </w:rPr>
        <w:t>讲解</w:t>
      </w:r>
      <w:r w:rsidR="000F4750">
        <w:rPr>
          <w:rFonts w:ascii="Arial Narrow" w:eastAsia="仿宋_GB2312" w:hAnsi="Arial Narrow" w:hint="eastAsia"/>
          <w:iCs/>
          <w:color w:val="0000FF"/>
          <w:sz w:val="24"/>
          <w:szCs w:val="24"/>
        </w:rPr>
        <w:t>）的有关内容。如果</w:t>
      </w:r>
      <w:r w:rsidR="000F4750" w:rsidRPr="000F4750">
        <w:rPr>
          <w:rFonts w:ascii="Arial Narrow" w:eastAsia="仿宋_GB2312" w:hAnsi="Arial Narrow" w:hint="eastAsia"/>
          <w:iCs/>
          <w:color w:val="0000FF"/>
          <w:sz w:val="24"/>
          <w:szCs w:val="24"/>
        </w:rPr>
        <w:t>企业内部控制评价报告对要素的列报不完整或不恰当</w:t>
      </w:r>
      <w:r w:rsidR="000F4750">
        <w:rPr>
          <w:rFonts w:ascii="Arial Narrow" w:eastAsia="仿宋_GB2312" w:hAnsi="Arial Narrow" w:hint="eastAsia"/>
          <w:iCs/>
          <w:color w:val="0000FF"/>
          <w:sz w:val="24"/>
          <w:szCs w:val="24"/>
        </w:rPr>
        <w:t>，或者企审双方对内部控制重大缺陷评价结论不一致，应考虑对内部控制审计意见类型及内控审计报告内容的影响程度。</w:t>
      </w:r>
      <w:r w:rsidRPr="00F11D71">
        <w:rPr>
          <w:rFonts w:ascii="Arial Narrow" w:eastAsia="仿宋_GB2312" w:hAnsi="Arial Narrow" w:hint="eastAsia"/>
          <w:iCs/>
          <w:color w:val="0000FF"/>
          <w:sz w:val="24"/>
          <w:szCs w:val="24"/>
        </w:rPr>
        <w:t>】</w:t>
      </w:r>
    </w:p>
    <w:sectPr w:rsidR="00E16455" w:rsidRPr="00E16455" w:rsidSect="00F2733A">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240517" w14:textId="77777777" w:rsidR="00FA542E" w:rsidRDefault="00FA542E" w:rsidP="000C00EC">
      <w:pPr>
        <w:spacing w:before="0" w:after="0" w:line="240" w:lineRule="auto"/>
      </w:pPr>
      <w:r>
        <w:separator/>
      </w:r>
    </w:p>
  </w:endnote>
  <w:endnote w:type="continuationSeparator" w:id="0">
    <w:p w14:paraId="0A179597" w14:textId="77777777" w:rsidR="00FA542E" w:rsidRDefault="00FA542E" w:rsidP="000C00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3" w:usb1="080E0000" w:usb2="00000010"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1694939"/>
      <w:docPartObj>
        <w:docPartGallery w:val="Page Numbers (Bottom of Page)"/>
        <w:docPartUnique/>
      </w:docPartObj>
    </w:sdtPr>
    <w:sdtContent>
      <w:p w14:paraId="182D0308" w14:textId="77777777" w:rsidR="00CB2AFC" w:rsidRDefault="00CB2AFC">
        <w:pPr>
          <w:pStyle w:val="a5"/>
          <w:jc w:val="center"/>
        </w:pPr>
        <w:r>
          <w:fldChar w:fldCharType="begin"/>
        </w:r>
        <w:r>
          <w:instrText>PAGE   \* MERGEFORMAT</w:instrText>
        </w:r>
        <w:r>
          <w:fldChar w:fldCharType="separate"/>
        </w:r>
        <w:r w:rsidR="00CD4EB8" w:rsidRPr="00CD4EB8">
          <w:rPr>
            <w:noProof/>
            <w:lang w:val="zh-CN"/>
          </w:rPr>
          <w:t>1</w:t>
        </w:r>
        <w:r>
          <w:fldChar w:fldCharType="end"/>
        </w:r>
      </w:p>
    </w:sdtContent>
  </w:sdt>
  <w:p w14:paraId="11DA0E52" w14:textId="77777777" w:rsidR="00CB2AFC" w:rsidRDefault="00CB2AF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889E70" w14:textId="77777777" w:rsidR="00FA542E" w:rsidRDefault="00FA542E" w:rsidP="000C00EC">
      <w:pPr>
        <w:spacing w:before="0" w:after="0" w:line="240" w:lineRule="auto"/>
      </w:pPr>
      <w:r>
        <w:separator/>
      </w:r>
    </w:p>
  </w:footnote>
  <w:footnote w:type="continuationSeparator" w:id="0">
    <w:p w14:paraId="217684C1" w14:textId="77777777" w:rsidR="00FA542E" w:rsidRDefault="00FA542E" w:rsidP="000C00E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48546B" w14:textId="77777777" w:rsidR="000C00EC" w:rsidRDefault="000C00EC" w:rsidP="000C00EC">
    <w:pPr>
      <w:pStyle w:val="a3"/>
      <w:jc w:val="left"/>
    </w:pPr>
    <w:r w:rsidRPr="000C00EC">
      <w:rPr>
        <w:noProof/>
      </w:rPr>
      <w:drawing>
        <wp:inline distT="0" distB="0" distL="0" distR="0" wp14:anchorId="56888C6A" wp14:editId="4F7F9AF8">
          <wp:extent cx="1323975" cy="381057"/>
          <wp:effectExtent l="19050" t="0" r="9525" b="0"/>
          <wp:docPr id="2" name="图片 2" descr="说明: D:\User Data\Desktop\审计报告用-GT China logo-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D:\User Data\Desktop\审计报告用-GT China logo-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6373" cy="381747"/>
                  </a:xfrm>
                  <a:prstGeom prst="rect">
                    <a:avLst/>
                  </a:prstGeom>
                  <a:noFill/>
                  <a:ln>
                    <a:noFill/>
                  </a:ln>
                </pic:spPr>
              </pic:pic>
            </a:graphicData>
          </a:graphic>
        </wp:inline>
      </w:drawing>
    </w:r>
  </w:p>
  <w:p w14:paraId="05DB5568" w14:textId="77777777" w:rsidR="000C00EC" w:rsidRDefault="000C00EC" w:rsidP="000C00EC">
    <w:pPr>
      <w:pStyle w:val="a3"/>
      <w:jc w:val="right"/>
    </w:pPr>
    <w:r>
      <w:rPr>
        <w:rFonts w:hint="eastAsia"/>
      </w:rPr>
      <w:t>索引号：</w:t>
    </w:r>
    <w:r>
      <w:rPr>
        <w:rFonts w:hint="eastAsia"/>
      </w:rPr>
      <w:t>B6</w:t>
    </w:r>
    <w:r w:rsidR="00B53B41">
      <w:t>0</w:t>
    </w:r>
    <w:r w:rsidR="002E7E3D">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905E9"/>
    <w:multiLevelType w:val="hybridMultilevel"/>
    <w:tmpl w:val="EB1AD5E8"/>
    <w:lvl w:ilvl="0" w:tplc="70FCDFA8">
      <w:start w:val="1"/>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E2E037D"/>
    <w:multiLevelType w:val="hybridMultilevel"/>
    <w:tmpl w:val="97F04902"/>
    <w:lvl w:ilvl="0" w:tplc="D3A61B9E">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EE77C4"/>
    <w:multiLevelType w:val="hybridMultilevel"/>
    <w:tmpl w:val="33AE06A4"/>
    <w:lvl w:ilvl="0" w:tplc="D6E6D530">
      <w:start w:val="2"/>
      <w:numFmt w:val="japaneseCounting"/>
      <w:lvlText w:val="（%1）"/>
      <w:lvlJc w:val="left"/>
      <w:pPr>
        <w:ind w:left="1160" w:hanging="72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3" w15:restartNumberingAfterBreak="0">
    <w:nsid w:val="257B120A"/>
    <w:multiLevelType w:val="hybridMultilevel"/>
    <w:tmpl w:val="51046DA6"/>
    <w:lvl w:ilvl="0" w:tplc="82DCD93A">
      <w:start w:val="1"/>
      <w:numFmt w:val="japaneseCounting"/>
      <w:lvlText w:val="%1、"/>
      <w:lvlJc w:val="left"/>
      <w:pPr>
        <w:ind w:left="460" w:hanging="460"/>
      </w:pPr>
      <w:rPr>
        <w:rFonts w:hint="default"/>
      </w:rPr>
    </w:lvl>
    <w:lvl w:ilvl="1" w:tplc="E69EEB90">
      <w:start w:val="1"/>
      <w:numFmt w:val="japaneseCounting"/>
      <w:lvlText w:val="（%2）"/>
      <w:lvlJc w:val="left"/>
      <w:pPr>
        <w:ind w:left="1429"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88107E1"/>
    <w:multiLevelType w:val="hybridMultilevel"/>
    <w:tmpl w:val="A85E8D42"/>
    <w:lvl w:ilvl="0" w:tplc="1984210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C32675B"/>
    <w:multiLevelType w:val="hybridMultilevel"/>
    <w:tmpl w:val="D0C4998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64EA2B58"/>
    <w:multiLevelType w:val="hybridMultilevel"/>
    <w:tmpl w:val="F7062980"/>
    <w:lvl w:ilvl="0" w:tplc="B240E758">
      <w:start w:val="2"/>
      <w:numFmt w:val="decimal"/>
      <w:lvlText w:val="(%1)"/>
      <w:lvlJc w:val="left"/>
      <w:pPr>
        <w:ind w:left="1004"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9424B4"/>
    <w:multiLevelType w:val="hybridMultilevel"/>
    <w:tmpl w:val="9386FA36"/>
    <w:lvl w:ilvl="0" w:tplc="D90AE14E">
      <w:start w:val="1"/>
      <w:numFmt w:val="decimal"/>
      <w:lvlText w:val="(%1)"/>
      <w:lvlJc w:val="left"/>
      <w:pPr>
        <w:ind w:left="1004"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1570622">
    <w:abstractNumId w:val="1"/>
  </w:num>
  <w:num w:numId="2" w16cid:durableId="1078408592">
    <w:abstractNumId w:val="7"/>
  </w:num>
  <w:num w:numId="3" w16cid:durableId="1366635476">
    <w:abstractNumId w:val="6"/>
  </w:num>
  <w:num w:numId="4" w16cid:durableId="859205467">
    <w:abstractNumId w:val="5"/>
  </w:num>
  <w:num w:numId="5" w16cid:durableId="1396124180">
    <w:abstractNumId w:val="3"/>
  </w:num>
  <w:num w:numId="6" w16cid:durableId="1980761429">
    <w:abstractNumId w:val="2"/>
  </w:num>
  <w:num w:numId="7" w16cid:durableId="897857822">
    <w:abstractNumId w:val="4"/>
  </w:num>
  <w:num w:numId="8" w16cid:durableId="2129200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0EC"/>
    <w:rsid w:val="000C00EC"/>
    <w:rsid w:val="000D3E57"/>
    <w:rsid w:val="000E4AFC"/>
    <w:rsid w:val="000F4750"/>
    <w:rsid w:val="00143C8A"/>
    <w:rsid w:val="00163943"/>
    <w:rsid w:val="002E7E3D"/>
    <w:rsid w:val="00360E30"/>
    <w:rsid w:val="00382E00"/>
    <w:rsid w:val="003A7946"/>
    <w:rsid w:val="00404EE5"/>
    <w:rsid w:val="00420940"/>
    <w:rsid w:val="00430022"/>
    <w:rsid w:val="00462D50"/>
    <w:rsid w:val="00476ABE"/>
    <w:rsid w:val="00480C81"/>
    <w:rsid w:val="004868F3"/>
    <w:rsid w:val="004E34FE"/>
    <w:rsid w:val="00557C7D"/>
    <w:rsid w:val="0059666D"/>
    <w:rsid w:val="005F549F"/>
    <w:rsid w:val="006708B4"/>
    <w:rsid w:val="00682E1F"/>
    <w:rsid w:val="006B06A1"/>
    <w:rsid w:val="006B2312"/>
    <w:rsid w:val="00700F58"/>
    <w:rsid w:val="00712490"/>
    <w:rsid w:val="007430FB"/>
    <w:rsid w:val="007B78B9"/>
    <w:rsid w:val="007F560A"/>
    <w:rsid w:val="009674C9"/>
    <w:rsid w:val="009A5A5F"/>
    <w:rsid w:val="009E1926"/>
    <w:rsid w:val="009F49E6"/>
    <w:rsid w:val="00A05380"/>
    <w:rsid w:val="00A830F6"/>
    <w:rsid w:val="00AC2584"/>
    <w:rsid w:val="00AE2EFF"/>
    <w:rsid w:val="00AF58C2"/>
    <w:rsid w:val="00B53B41"/>
    <w:rsid w:val="00B54C74"/>
    <w:rsid w:val="00B84757"/>
    <w:rsid w:val="00C04CC0"/>
    <w:rsid w:val="00C132E4"/>
    <w:rsid w:val="00C43D3E"/>
    <w:rsid w:val="00CB2AFC"/>
    <w:rsid w:val="00CD4EB8"/>
    <w:rsid w:val="00D24DD1"/>
    <w:rsid w:val="00D56556"/>
    <w:rsid w:val="00D91399"/>
    <w:rsid w:val="00DB0EF9"/>
    <w:rsid w:val="00DD4330"/>
    <w:rsid w:val="00E16455"/>
    <w:rsid w:val="00ED3C01"/>
    <w:rsid w:val="00F11D71"/>
    <w:rsid w:val="00F16AF7"/>
    <w:rsid w:val="00F2733A"/>
    <w:rsid w:val="00F62A88"/>
    <w:rsid w:val="00F84D75"/>
    <w:rsid w:val="00FA542E"/>
    <w:rsid w:val="00FC3C89"/>
    <w:rsid w:val="00FE58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459EC"/>
  <w15:docId w15:val="{5AF5AD5F-A476-441B-9831-3534DC0F4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before="100" w:beforeAutospacing="1" w:after="100" w:afterAutospacing="1"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733A"/>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C00E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C00EC"/>
    <w:rPr>
      <w:sz w:val="18"/>
      <w:szCs w:val="18"/>
    </w:rPr>
  </w:style>
  <w:style w:type="paragraph" w:styleId="a5">
    <w:name w:val="footer"/>
    <w:basedOn w:val="a"/>
    <w:link w:val="a6"/>
    <w:uiPriority w:val="99"/>
    <w:unhideWhenUsed/>
    <w:rsid w:val="000C00EC"/>
    <w:pPr>
      <w:tabs>
        <w:tab w:val="center" w:pos="4153"/>
        <w:tab w:val="right" w:pos="8306"/>
      </w:tabs>
      <w:snapToGrid w:val="0"/>
      <w:jc w:val="left"/>
    </w:pPr>
    <w:rPr>
      <w:sz w:val="18"/>
      <w:szCs w:val="18"/>
    </w:rPr>
  </w:style>
  <w:style w:type="character" w:customStyle="1" w:styleId="a6">
    <w:name w:val="页脚 字符"/>
    <w:basedOn w:val="a0"/>
    <w:link w:val="a5"/>
    <w:uiPriority w:val="99"/>
    <w:rsid w:val="000C00EC"/>
    <w:rPr>
      <w:sz w:val="18"/>
      <w:szCs w:val="18"/>
    </w:rPr>
  </w:style>
  <w:style w:type="paragraph" w:styleId="a7">
    <w:name w:val="Balloon Text"/>
    <w:basedOn w:val="a"/>
    <w:link w:val="a8"/>
    <w:uiPriority w:val="99"/>
    <w:semiHidden/>
    <w:unhideWhenUsed/>
    <w:rsid w:val="000C00EC"/>
    <w:pPr>
      <w:spacing w:before="0" w:after="0" w:line="240" w:lineRule="auto"/>
    </w:pPr>
    <w:rPr>
      <w:sz w:val="18"/>
      <w:szCs w:val="18"/>
    </w:rPr>
  </w:style>
  <w:style w:type="character" w:customStyle="1" w:styleId="a8">
    <w:name w:val="批注框文本 字符"/>
    <w:basedOn w:val="a0"/>
    <w:link w:val="a7"/>
    <w:uiPriority w:val="99"/>
    <w:semiHidden/>
    <w:rsid w:val="000C00EC"/>
    <w:rPr>
      <w:sz w:val="18"/>
      <w:szCs w:val="18"/>
    </w:rPr>
  </w:style>
  <w:style w:type="paragraph" w:styleId="a9">
    <w:name w:val="List Paragraph"/>
    <w:basedOn w:val="a"/>
    <w:uiPriority w:val="34"/>
    <w:qFormat/>
    <w:rsid w:val="006708B4"/>
    <w:pPr>
      <w:ind w:firstLineChars="200" w:firstLine="420"/>
    </w:pPr>
  </w:style>
  <w:style w:type="paragraph" w:styleId="2">
    <w:name w:val="Body Text Indent 2"/>
    <w:basedOn w:val="a"/>
    <w:link w:val="20"/>
    <w:uiPriority w:val="99"/>
    <w:rsid w:val="006708B4"/>
    <w:pPr>
      <w:spacing w:before="0" w:beforeAutospacing="0" w:after="0" w:afterAutospacing="0" w:line="360" w:lineRule="auto"/>
      <w:ind w:firstLineChars="200" w:firstLine="480"/>
    </w:pPr>
    <w:rPr>
      <w:rFonts w:ascii="宋体" w:eastAsia="宋体" w:hAnsi="宋体" w:cs="宋体"/>
      <w:sz w:val="24"/>
      <w:szCs w:val="24"/>
    </w:rPr>
  </w:style>
  <w:style w:type="character" w:customStyle="1" w:styleId="20">
    <w:name w:val="正文文本缩进 2 字符"/>
    <w:basedOn w:val="a0"/>
    <w:link w:val="2"/>
    <w:uiPriority w:val="99"/>
    <w:rsid w:val="006708B4"/>
    <w:rPr>
      <w:rFonts w:ascii="宋体" w:eastAsia="宋体" w:hAnsi="宋体" w:cs="宋体"/>
      <w:sz w:val="24"/>
      <w:szCs w:val="24"/>
    </w:rPr>
  </w:style>
  <w:style w:type="table" w:styleId="aa">
    <w:name w:val="Table Grid"/>
    <w:basedOn w:val="a1"/>
    <w:uiPriority w:val="99"/>
    <w:rsid w:val="0042094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itle"/>
    <w:next w:val="ac"/>
    <w:link w:val="ad"/>
    <w:uiPriority w:val="10"/>
    <w:qFormat/>
    <w:rsid w:val="002E7E3D"/>
    <w:pPr>
      <w:framePr w:wrap="notBeside" w:vAnchor="text" w:hAnchor="text" w:y="1"/>
      <w:spacing w:before="1200" w:beforeAutospacing="0" w:after="240" w:afterAutospacing="0" w:line="240" w:lineRule="auto"/>
      <w:contextualSpacing/>
    </w:pPr>
    <w:rPr>
      <w:rFonts w:asciiTheme="majorHAnsi" w:eastAsiaTheme="majorEastAsia" w:hAnsiTheme="majorHAnsi" w:cstheme="majorBidi"/>
      <w:bCs/>
      <w:color w:val="1F497D" w:themeColor="text2"/>
      <w:kern w:val="0"/>
      <w:sz w:val="72"/>
      <w:szCs w:val="28"/>
    </w:rPr>
  </w:style>
  <w:style w:type="character" w:customStyle="1" w:styleId="ad">
    <w:name w:val="标题 字符"/>
    <w:basedOn w:val="a0"/>
    <w:link w:val="ab"/>
    <w:uiPriority w:val="10"/>
    <w:rsid w:val="002E7E3D"/>
    <w:rPr>
      <w:rFonts w:asciiTheme="majorHAnsi" w:eastAsiaTheme="majorEastAsia" w:hAnsiTheme="majorHAnsi" w:cstheme="majorBidi"/>
      <w:bCs/>
      <w:color w:val="1F497D" w:themeColor="text2"/>
      <w:kern w:val="0"/>
      <w:sz w:val="72"/>
      <w:szCs w:val="28"/>
    </w:rPr>
  </w:style>
  <w:style w:type="paragraph" w:styleId="ac">
    <w:name w:val="Subtitle"/>
    <w:basedOn w:val="a"/>
    <w:next w:val="a"/>
    <w:link w:val="ae"/>
    <w:uiPriority w:val="11"/>
    <w:qFormat/>
    <w:rsid w:val="002E7E3D"/>
    <w:pPr>
      <w:spacing w:before="240" w:after="60" w:line="312" w:lineRule="atLeast"/>
      <w:jc w:val="center"/>
      <w:outlineLvl w:val="1"/>
    </w:pPr>
    <w:rPr>
      <w:b/>
      <w:bCs/>
      <w:kern w:val="28"/>
      <w:sz w:val="32"/>
      <w:szCs w:val="32"/>
    </w:rPr>
  </w:style>
  <w:style w:type="character" w:customStyle="1" w:styleId="ae">
    <w:name w:val="副标题 字符"/>
    <w:basedOn w:val="a0"/>
    <w:link w:val="ac"/>
    <w:uiPriority w:val="11"/>
    <w:rsid w:val="002E7E3D"/>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Pages>
  <Words>146</Words>
  <Characters>835</Characters>
  <Application>Microsoft Office Word</Application>
  <DocSecurity>0</DocSecurity>
  <Lines>6</Lines>
  <Paragraphs>1</Paragraphs>
  <ScaleCrop>false</ScaleCrop>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Sidney Wan</dc:creator>
  <cp:keywords/>
  <dc:description/>
  <cp:lastModifiedBy>Sidney Wan</cp:lastModifiedBy>
  <cp:revision>20</cp:revision>
  <dcterms:created xsi:type="dcterms:W3CDTF">2020-09-07T03:32:00Z</dcterms:created>
  <dcterms:modified xsi:type="dcterms:W3CDTF">2024-10-12T08:29:00Z</dcterms:modified>
</cp:coreProperties>
</file>