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05C11">
      <w:pPr>
        <w:jc w:val="center"/>
        <w:rPr>
          <w:rFonts w:ascii="Arial Narrow" w:hAnsi="Arial Narrow" w:eastAsia="仿宋_GB2312"/>
          <w:sz w:val="24"/>
          <w:szCs w:val="24"/>
          <w:lang w:eastAsia="zh-CN"/>
        </w:rPr>
      </w:pPr>
    </w:p>
    <w:p w14:paraId="3E1368FD">
      <w:pPr>
        <w:jc w:val="center"/>
        <w:rPr>
          <w:rFonts w:ascii="Arial Narrow" w:hAnsi="Arial Narrow" w:eastAsia="仿宋_GB2312"/>
          <w:sz w:val="24"/>
        </w:rPr>
      </w:pPr>
    </w:p>
    <w:p w14:paraId="1B8193BF">
      <w:pPr>
        <w:jc w:val="center"/>
        <w:rPr>
          <w:rFonts w:ascii="Arial Narrow" w:hAnsi="Arial Narrow" w:eastAsia="仿宋_GB2312"/>
          <w:sz w:val="24"/>
        </w:rPr>
      </w:pPr>
    </w:p>
    <w:p w14:paraId="312E0911">
      <w:pPr>
        <w:jc w:val="center"/>
        <w:rPr>
          <w:rFonts w:ascii="Arial Narrow" w:hAnsi="Arial Narrow" w:eastAsia="仿宋_GB2312"/>
          <w:sz w:val="24"/>
        </w:rPr>
      </w:pPr>
    </w:p>
    <w:p w14:paraId="6B9566A9">
      <w:pPr>
        <w:jc w:val="center"/>
        <w:rPr>
          <w:rFonts w:ascii="Arial Narrow" w:hAnsi="Arial Narrow" w:eastAsia="仿宋_GB2312"/>
          <w:sz w:val="24"/>
          <w:lang w:eastAsia="zh-CN"/>
        </w:rPr>
      </w:pPr>
    </w:p>
    <w:p w14:paraId="756FBDC9">
      <w:pPr>
        <w:jc w:val="center"/>
        <w:rPr>
          <w:rFonts w:ascii="Arial Narrow" w:hAnsi="Arial Narrow" w:eastAsia="仿宋_GB2312"/>
          <w:sz w:val="24"/>
          <w:lang w:eastAsia="zh-CN"/>
        </w:rPr>
      </w:pPr>
    </w:p>
    <w:p w14:paraId="24512164">
      <w:pPr>
        <w:spacing w:line="360" w:lineRule="auto"/>
        <w:ind w:firstLine="420"/>
        <w:jc w:val="center"/>
        <w:outlineLvl w:val="0"/>
        <w:rPr>
          <w:rFonts w:ascii="黑体" w:hAnsi="Arial Narrow" w:eastAsia="黑体"/>
          <w:b/>
          <w:color w:val="auto"/>
          <w:sz w:val="48"/>
          <w:szCs w:val="48"/>
          <w:lang w:eastAsia="zh-CN"/>
        </w:rPr>
      </w:pPr>
      <w:r>
        <w:rPr>
          <w:rFonts w:hint="eastAsia" w:ascii="Times New Roman" w:hAnsi="Times New Roman" w:eastAsia="仿宋_GB2312"/>
          <w:b/>
          <w:color w:val="auto"/>
          <w:sz w:val="24"/>
          <w:szCs w:val="48"/>
          <w:lang w:eastAsia="zh-CN"/>
        </w:rPr>
        <w:t>{{company_full_name}}</w:t>
      </w:r>
    </w:p>
    <w:p w14:paraId="751AB1C2">
      <w:pPr>
        <w:spacing w:line="360" w:lineRule="auto"/>
        <w:ind w:firstLine="420"/>
        <w:jc w:val="center"/>
        <w:outlineLvl w:val="0"/>
        <w:rPr>
          <w:rFonts w:ascii="黑体" w:hAnsi="Arial Narrow" w:eastAsia="黑体"/>
          <w:b/>
          <w:color w:val="auto"/>
          <w:sz w:val="48"/>
          <w:szCs w:val="48"/>
          <w:lang w:eastAsia="zh-CN"/>
        </w:rPr>
      </w:pPr>
      <w:r>
        <w:rPr>
          <w:rFonts w:hint="eastAsia" w:ascii="Times New Roman" w:hAnsi="Times New Roman" w:eastAsia="仿宋_GB2312"/>
          <w:b/>
          <w:color w:val="auto"/>
          <w:sz w:val="24"/>
          <w:szCs w:val="48"/>
          <w:lang w:eastAsia="zh-CN"/>
        </w:rPr>
        <w:t>{{audit_year}}年度</w:t>
      </w:r>
    </w:p>
    <w:p w14:paraId="47BEEBD3">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5B6ECAE3">
      <w:pPr>
        <w:jc w:val="center"/>
        <w:rPr>
          <w:rFonts w:ascii="Arial Narrow" w:hAnsi="Arial Narrow" w:eastAsia="仿宋_GB2312"/>
          <w:b/>
          <w:sz w:val="44"/>
          <w:szCs w:val="44"/>
          <w:lang w:eastAsia="zh-CN"/>
        </w:rPr>
      </w:pPr>
    </w:p>
    <w:p w14:paraId="556589EF">
      <w:pPr>
        <w:jc w:val="center"/>
        <w:rPr>
          <w:rFonts w:ascii="Arial Narrow" w:hAnsi="Arial Narrow" w:eastAsia="仿宋_GB2312"/>
          <w:b/>
          <w:sz w:val="44"/>
          <w:szCs w:val="44"/>
          <w:lang w:eastAsia="zh-CN"/>
        </w:rPr>
      </w:pPr>
    </w:p>
    <w:p w14:paraId="32201F53">
      <w:pPr>
        <w:jc w:val="center"/>
        <w:rPr>
          <w:rFonts w:ascii="Arial Narrow" w:hAnsi="Arial Narrow" w:eastAsia="仿宋_GB2312"/>
          <w:b/>
          <w:sz w:val="44"/>
          <w:szCs w:val="44"/>
          <w:lang w:eastAsia="zh-CN"/>
        </w:rPr>
      </w:pPr>
    </w:p>
    <w:p w14:paraId="5388FAAC">
      <w:pPr>
        <w:jc w:val="center"/>
        <w:rPr>
          <w:rFonts w:ascii="Arial Narrow" w:hAnsi="Arial Narrow" w:eastAsia="仿宋_GB2312"/>
          <w:b/>
          <w:sz w:val="44"/>
          <w:szCs w:val="44"/>
          <w:lang w:eastAsia="zh-CN"/>
        </w:rPr>
      </w:pPr>
    </w:p>
    <w:p w14:paraId="0BBFAA91">
      <w:pPr>
        <w:jc w:val="center"/>
        <w:rPr>
          <w:rFonts w:ascii="Arial Narrow" w:hAnsi="Arial Narrow" w:eastAsia="仿宋_GB2312"/>
          <w:b/>
          <w:sz w:val="44"/>
          <w:szCs w:val="44"/>
          <w:lang w:eastAsia="zh-CN"/>
        </w:rPr>
      </w:pPr>
    </w:p>
    <w:p w14:paraId="6EB84FF9">
      <w:pPr>
        <w:jc w:val="center"/>
        <w:rPr>
          <w:rFonts w:ascii="Arial Narrow" w:hAnsi="Arial Narrow" w:eastAsia="仿宋_GB2312"/>
          <w:b/>
          <w:sz w:val="44"/>
          <w:szCs w:val="44"/>
          <w:lang w:eastAsia="zh-CN"/>
        </w:rPr>
      </w:pPr>
    </w:p>
    <w:p w14:paraId="17F1002D">
      <w:pPr>
        <w:jc w:val="center"/>
        <w:rPr>
          <w:rFonts w:ascii="Arial Narrow" w:hAnsi="Arial Narrow" w:eastAsia="仿宋_GB2312"/>
          <w:b/>
          <w:sz w:val="44"/>
          <w:szCs w:val="44"/>
          <w:lang w:eastAsia="zh-CN"/>
        </w:rPr>
      </w:pPr>
    </w:p>
    <w:p w14:paraId="4DED4F70">
      <w:pPr>
        <w:jc w:val="center"/>
        <w:rPr>
          <w:rFonts w:ascii="Arial Narrow" w:hAnsi="Arial Narrow" w:eastAsia="仿宋_GB2312"/>
          <w:b/>
          <w:sz w:val="44"/>
          <w:szCs w:val="44"/>
          <w:lang w:eastAsia="zh-CN"/>
        </w:rPr>
      </w:pPr>
    </w:p>
    <w:p w14:paraId="220A59E1">
      <w:pPr>
        <w:jc w:val="center"/>
        <w:rPr>
          <w:rFonts w:ascii="Arial Narrow" w:hAnsi="Arial Narrow" w:eastAsia="仿宋_GB2312"/>
          <w:b/>
          <w:sz w:val="44"/>
          <w:szCs w:val="44"/>
          <w:lang w:eastAsia="zh-CN"/>
        </w:rPr>
      </w:pPr>
    </w:p>
    <w:p w14:paraId="4108F0B9">
      <w:pPr>
        <w:jc w:val="center"/>
        <w:rPr>
          <w:rFonts w:ascii="Arial Narrow" w:hAnsi="Arial Narrow" w:eastAsia="仿宋_GB2312"/>
          <w:b/>
          <w:sz w:val="44"/>
          <w:szCs w:val="44"/>
          <w:lang w:eastAsia="zh-CN"/>
        </w:rPr>
      </w:pPr>
    </w:p>
    <w:p w14:paraId="53724A4F">
      <w:pPr>
        <w:jc w:val="center"/>
        <w:rPr>
          <w:rFonts w:ascii="Arial Narrow" w:hAnsi="Arial Narrow" w:eastAsia="仿宋_GB2312"/>
          <w:b/>
          <w:sz w:val="44"/>
          <w:szCs w:val="44"/>
          <w:lang w:eastAsia="zh-CN"/>
        </w:rPr>
      </w:pPr>
    </w:p>
    <w:p w14:paraId="76609BF9">
      <w:pPr>
        <w:jc w:val="center"/>
        <w:rPr>
          <w:rFonts w:ascii="Arial Narrow" w:hAnsi="Arial Narrow" w:eastAsia="仿宋_GB2312"/>
          <w:b/>
          <w:sz w:val="44"/>
          <w:szCs w:val="44"/>
          <w:lang w:eastAsia="zh-CN"/>
        </w:rPr>
      </w:pPr>
    </w:p>
    <w:p w14:paraId="3CC39FFD">
      <w:pPr>
        <w:jc w:val="center"/>
        <w:rPr>
          <w:rFonts w:ascii="Arial Narrow" w:hAnsi="Arial Narrow" w:eastAsia="仿宋_GB2312"/>
          <w:b/>
          <w:sz w:val="44"/>
          <w:szCs w:val="44"/>
          <w:lang w:eastAsia="zh-CN"/>
        </w:rPr>
      </w:pPr>
    </w:p>
    <w:p w14:paraId="73C57C0D">
      <w:pPr>
        <w:spacing w:line="2400" w:lineRule="auto"/>
        <w:jc w:val="center"/>
        <w:rPr>
          <w:rFonts w:ascii="黑体" w:hAnsi="Arial Narrow" w:eastAsia="黑体"/>
          <w:b/>
          <w:color w:val="824BB0"/>
          <w:sz w:val="44"/>
          <w:szCs w:val="44"/>
          <w:lang w:eastAsia="zh-CN"/>
        </w:rPr>
      </w:pPr>
      <w:r>
        <w:rPr>
          <w:rFonts w:hint="eastAsia" w:ascii="黑体" w:hAnsi="Arial Narrow" w:eastAsia="黑体"/>
          <w:b/>
          <w:color w:val="824BB0"/>
          <w:sz w:val="44"/>
          <w:szCs w:val="44"/>
          <w:lang w:eastAsia="zh-CN"/>
        </w:rPr>
        <w:t>{{firm_name}}</w:t>
      </w:r>
    </w:p>
    <w:p w14:paraId="7BFF3586">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1" w:footer="851" w:gutter="0"/>
          <w:cols w:space="720" w:num="1"/>
          <w:docGrid w:linePitch="272" w:charSpace="0"/>
        </w:sectPr>
      </w:pPr>
    </w:p>
    <w:p w14:paraId="076101FF">
      <w:pPr>
        <w:jc w:val="center"/>
        <w:rPr>
          <w:rFonts w:ascii="Arial Narrow" w:hAnsi="Arial Narrow" w:eastAsia="仿宋_GB2312"/>
          <w:b/>
          <w:sz w:val="24"/>
          <w:szCs w:val="32"/>
          <w:lang w:eastAsia="zh-CN"/>
        </w:rPr>
      </w:pPr>
    </w:p>
    <w:p w14:paraId="749798E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7C851F36">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2401DB03">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rPr>
              <w:t>审计报告</w:t>
            </w:r>
          </w:p>
        </w:tc>
        <w:tc>
          <w:tcPr>
            <w:tcW w:w="1524" w:type="dxa"/>
            <w:tcBorders>
              <w:top w:val="nil"/>
              <w:left w:val="nil"/>
              <w:bottom w:val="nil"/>
              <w:right w:val="nil"/>
            </w:tcBorders>
            <w:shd w:val="clear" w:color="auto" w:fill="auto"/>
            <w:vAlign w:val="center"/>
          </w:tcPr>
          <w:p w14:paraId="141FBCB3">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20F87098">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ADCC18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合并及公司资产负债表</w:t>
            </w:r>
          </w:p>
        </w:tc>
        <w:tc>
          <w:tcPr>
            <w:tcW w:w="1524" w:type="dxa"/>
            <w:tcBorders>
              <w:top w:val="nil"/>
              <w:left w:val="nil"/>
              <w:bottom w:val="nil"/>
              <w:right w:val="nil"/>
            </w:tcBorders>
            <w:shd w:val="clear" w:color="auto" w:fill="auto"/>
            <w:vAlign w:val="center"/>
          </w:tcPr>
          <w:p w14:paraId="0D58C79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D5BA3FB">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C250280">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合并及公司利润表</w:t>
            </w:r>
          </w:p>
        </w:tc>
        <w:tc>
          <w:tcPr>
            <w:tcW w:w="1524" w:type="dxa"/>
            <w:tcBorders>
              <w:top w:val="nil"/>
              <w:left w:val="nil"/>
              <w:bottom w:val="nil"/>
              <w:right w:val="nil"/>
            </w:tcBorders>
            <w:shd w:val="clear" w:color="auto" w:fill="auto"/>
            <w:vAlign w:val="center"/>
          </w:tcPr>
          <w:p w14:paraId="6305326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11DBF28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4ECF73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合并及公司现金流量表</w:t>
            </w:r>
          </w:p>
        </w:tc>
        <w:tc>
          <w:tcPr>
            <w:tcW w:w="1524" w:type="dxa"/>
            <w:tcBorders>
              <w:top w:val="nil"/>
              <w:left w:val="nil"/>
              <w:bottom w:val="nil"/>
              <w:right w:val="nil"/>
            </w:tcBorders>
            <w:shd w:val="clear" w:color="auto" w:fill="auto"/>
            <w:vAlign w:val="center"/>
          </w:tcPr>
          <w:p w14:paraId="6A4D531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4E42128E">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3A66E28">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合并及公司股东权益变动表</w:t>
            </w:r>
          </w:p>
        </w:tc>
        <w:tc>
          <w:tcPr>
            <w:tcW w:w="1524" w:type="dxa"/>
            <w:tcBorders>
              <w:top w:val="nil"/>
              <w:left w:val="nil"/>
              <w:bottom w:val="nil"/>
              <w:right w:val="nil"/>
            </w:tcBorders>
            <w:shd w:val="clear" w:color="auto" w:fill="auto"/>
            <w:vAlign w:val="center"/>
          </w:tcPr>
          <w:p w14:paraId="54586F48">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793A3463">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FB855CA">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lang w:eastAsia="zh-CN"/>
              </w:rPr>
              <w:t>财务报表附注</w:t>
            </w:r>
          </w:p>
        </w:tc>
        <w:tc>
          <w:tcPr>
            <w:tcW w:w="1524" w:type="dxa"/>
            <w:tcBorders>
              <w:top w:val="nil"/>
              <w:left w:val="nil"/>
              <w:bottom w:val="nil"/>
              <w:right w:val="nil"/>
            </w:tcBorders>
            <w:shd w:val="clear" w:color="auto" w:fill="auto"/>
            <w:vAlign w:val="center"/>
          </w:tcPr>
          <w:p w14:paraId="7CA1AFA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0EC3CAF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42EB004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4280CB31">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1p5yMgYCAAAUBAAADgAAAAAAAAABACAAAAAn&#10;AQAAZHJzL2Uyb0RvYy54bWxQSwUGAAAAAAYABgBZAQAAnwUAAAAA&#10;">
                <v:fill on="f" focussize="0,0"/>
                <v:stroke on="f"/>
                <v:imagedata o:title=""/>
                <o:lock v:ext="edit" aspectratio="f"/>
                <v:textbo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v:textbox>
              </v:shape>
            </w:pict>
          </mc:Fallback>
        </mc:AlternateContent>
      </w:r>
    </w:p>
    <w:p w14:paraId="04F31CF8">
      <w:pPr>
        <w:rPr>
          <w:rFonts w:ascii="Arial Narrow" w:hAnsi="Arial Narrow" w:eastAsia="仿宋_GB2312"/>
          <w:sz w:val="24"/>
          <w:szCs w:val="24"/>
          <w:lang w:eastAsia="zh-CN"/>
        </w:rPr>
      </w:pPr>
    </w:p>
    <w:p w14:paraId="37E609E7">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6D082CBA">
      <w:pPr>
        <w:spacing w:line="340" w:lineRule="atLeast"/>
        <w:jc w:val="both"/>
        <w:rPr>
          <w:rFonts w:ascii="Arial Narrow" w:hAnsi="Arial Narrow" w:eastAsia="仿宋_GB2312"/>
          <w:b/>
          <w:snapToGrid w:val="0"/>
          <w:color w:val="0000FF"/>
          <w:sz w:val="24"/>
          <w:szCs w:val="24"/>
          <w:lang w:eastAsia="zh-CN"/>
        </w:rPr>
      </w:pPr>
    </w:p>
    <w:p w14:paraId="71F71E4C">
      <w:pPr>
        <w:spacing w:line="340" w:lineRule="atLeast"/>
        <w:ind w:firstLine="420"/>
        <w:jc w:val="right"/>
        <w:rPr>
          <w:rFonts w:ascii="Arial Narrow" w:hAnsi="Arial Narrow" w:eastAsia="仿宋_GB2312"/>
          <w:snapToGrid w:val="0"/>
          <w:sz w:val="24"/>
          <w:szCs w:val="24"/>
          <w:lang w:eastAsia="zh-CN"/>
        </w:rPr>
      </w:pPr>
      <w:r>
        <w:rPr>
          <w:rFonts w:hint="eastAsia" w:ascii="Times New Roman" w:hAnsi="Times New Roman" w:eastAsia="仿宋_GB2312"/>
          <w:spacing w:val="4"/>
          <w:sz w:val="24"/>
          <w:lang w:eastAsia="zh-CN"/>
        </w:rPr>
        <w:t>{{report_number}}</w:t>
      </w:r>
    </w:p>
    <w:p w14:paraId="011BD10B">
      <w:pPr>
        <w:spacing w:line="340" w:lineRule="atLeast"/>
        <w:rPr>
          <w:rFonts w:ascii="Arial Narrow" w:hAnsi="Arial Narrow" w:eastAsia="仿宋_GB2312"/>
          <w:snapToGrid w:val="0"/>
          <w:color w:val="FF0000"/>
          <w:sz w:val="24"/>
          <w:szCs w:val="24"/>
          <w:lang w:eastAsia="zh-CN"/>
        </w:rPr>
      </w:pPr>
    </w:p>
    <w:p w14:paraId="3681190B">
      <w:pPr>
        <w:spacing w:before="120" w:beforeLines="50" w:line="300" w:lineRule="auto"/>
        <w:ind w:firstLine="420"/>
        <w:outlineLvl w:val="0"/>
        <w:rPr>
          <w:rFonts w:ascii="Arial Narrow" w:hAnsi="Arial Narrow" w:eastAsia="仿宋_GB2312"/>
          <w:b/>
          <w:snapToGrid w:val="0"/>
          <w:color w:val="auto"/>
          <w:sz w:val="24"/>
          <w:szCs w:val="24"/>
          <w:lang w:eastAsia="zh-CN"/>
        </w:rPr>
      </w:pPr>
      <w:r>
        <w:rPr>
          <w:rFonts w:ascii="Times New Roman" w:hAnsi="Times New Roman" w:eastAsia="仿宋_GB2312"/>
          <w:b/>
          <w:color w:val="auto"/>
          <w:spacing w:val="4"/>
          <w:sz w:val="24"/>
          <w:szCs w:val="24"/>
          <w:lang w:eastAsia="zh-CN"/>
        </w:rPr>
        <w:t>{{company_full_name}}全体股东：</w:t>
      </w:r>
    </w:p>
    <w:p w14:paraId="2EF45DF1">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p>
    <w:p w14:paraId="5ABBFE33">
      <w:pPr>
        <w:spacing w:before="120" w:beforeLines="50" w:line="300" w:lineRule="auto"/>
        <w:ind w:firstLineChars="200" w:firstLine="42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25A43F7E">
      <w:pPr>
        <w:spacing w:before="120" w:beforeLines="50" w:line="300" w:lineRule="auto"/>
        <w:ind w:firstLineChars="200" w:firstLine="42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07474BB0">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4253EBA9">
      <w:pPr>
        <w:spacing w:before="120" w:beforeLines="50" w:line="300" w:lineRule="auto"/>
        <w:ind w:firstLineChars="200" w:firstLine="420"/>
        <w:jc w:val="both"/>
        <w:rPr>
          <w:rFonts w:ascii="Arial Narrow" w:hAnsi="宋体" w:eastAsia="仿宋_GB2312"/>
          <w:color w:val="auto"/>
          <w:spacing w:val="4"/>
          <w:sz w:val="24"/>
          <w:szCs w:val="24"/>
          <w:lang w:eastAsia="zh-CN"/>
        </w:rPr>
      </w:pPr>
      <w:r>
        <w:rPr>
          <w:rFonts w:hint="eastAsia" w:ascii="Times New Roman" w:hAnsi="Times New Roman"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w:t>
      </w:r>
      <w:r>
        <w:rPr>
          <w:rFonts w:hint="eastAsia" w:ascii="Times New Roman" w:hAnsi="Times New Roman" w:eastAsia="仿宋_GB2312"/>
          <w:color w:val="auto"/>
          <w:spacing w:val="4"/>
          <w:sz w:val="24"/>
          <w:szCs w:val="24"/>
          <w:lang w:eastAsia="zh-CN"/>
        </w:rPr>
        <w:t>当的，为发表审计意见提供了基础。</w:t>
      </w:r>
    </w:p>
    <w:p w14:paraId="262F9BD7">
      <w:pPr>
        <w:spacing w:before="120" w:beforeLines="50" w:after="120" w:afterLines="50" w:line="300" w:lineRule="auto"/>
        <w:ind w:firstLineChars="200" w:firstLine="420"/>
        <w:jc w:val="both"/>
        <w:outlineLvl w:val="0"/>
        <w:rPr>
          <w:rFonts w:ascii="Arial Narrow" w:hAnsi="Arial Narrow" w:eastAsia="仿宋_GB2312"/>
          <w:b/>
          <w:bCs/>
          <w:color w:val="auto"/>
          <w:sz w:val="24"/>
          <w:szCs w:val="24"/>
          <w:lang w:eastAsia="zh-CN"/>
        </w:rPr>
      </w:pPr>
      <w:r>
        <w:rPr>
          <w:rFonts w:ascii="Times New Roman" w:hAnsi="Times New Roman" w:eastAsia="仿宋_GB2312"/>
          <w:b/>
          <w:bCs/>
          <w:color w:val="auto"/>
          <w:sz w:val="24"/>
          <w:szCs w:val="24"/>
          <w:lang w:eastAsia="zh-CN"/>
        </w:rPr>
        <w:t>X、与持续经营相关的重大不确定性</w:t>
      </w:r>
    </w:p>
    <w:p w14:paraId="1B71A8BE">
      <w:pPr>
        <w:spacing w:before="120" w:beforeLines="50" w:line="300" w:lineRule="auto"/>
        <w:ind w:firstLineChars="200" w:firstLine="420"/>
        <w:jc w:val="both"/>
        <w:rPr>
          <w:rFonts w:ascii="Arial Narrow" w:hAnsi="Arial Narrow" w:eastAsia="仿宋_GB2312"/>
          <w:color w:val="auto"/>
          <w:spacing w:val="4"/>
          <w:sz w:val="24"/>
          <w:szCs w:val="24"/>
          <w:lang w:eastAsia="zh-CN"/>
        </w:rPr>
      </w:pPr>
      <w:r>
        <w:rPr>
          <w:rFonts w:hint="eastAsia" w:ascii="Times New Roman" w:hAnsi="Times New Roman" w:eastAsia="仿宋_GB2312"/>
          <w:color w:val="auto"/>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5B930C84">
      <w:pPr>
        <w:spacing w:before="120" w:beforeLines="50" w:after="120" w:afterLines="50" w:line="300" w:lineRule="auto"/>
        <w:ind w:firstLine="482" w:firstLineChars="200"/>
        <w:jc w:val="both"/>
        <w:outlineLvl w:val="0"/>
        <w:rPr>
          <w:rFonts w:ascii="Arial Narrow" w:hAnsi="Arial Narrow" w:eastAsia="仿宋_GB2312"/>
          <w:b/>
          <w:bCs/>
          <w:i/>
          <w:color w:val="auto"/>
          <w:sz w:val="24"/>
          <w:szCs w:val="24"/>
          <w:lang w:eastAsia="zh-CN"/>
        </w:rPr>
      </w:pPr>
      <w:r>
        <w:rPr>
          <w:rFonts w:ascii="Arial Narrow" w:hAnsi="Arial Narrow" w:eastAsia="仿宋_GB2312"/>
          <w:b/>
          <w:bCs/>
          <w:color w:val="auto"/>
          <w:sz w:val="24"/>
          <w:szCs w:val="24"/>
          <w:lang w:eastAsia="zh-CN"/>
        </w:rPr>
        <w:t>X、强调事项</w:t>
      </w:r>
    </w:p>
    <w:p w14:paraId="13989EB2">
      <w:pPr>
        <w:spacing w:before="120" w:beforeLines="50" w:line="300" w:lineRule="auto"/>
        <w:ind w:firstLineChars="200" w:firstLine="420"/>
        <w:jc w:val="both"/>
        <w:rPr>
          <w:rFonts w:ascii="Arial Narrow" w:hAnsi="Arial Narrow" w:eastAsia="仿宋_GB2312"/>
          <w:snapToGrid w:val="0"/>
          <w:color w:val="auto"/>
          <w:sz w:val="24"/>
          <w:szCs w:val="24"/>
          <w:lang w:eastAsia="zh-CN"/>
        </w:rPr>
      </w:pPr>
      <w:r>
        <w:rPr>
          <w:rFonts w:hint="eastAsia" w:ascii="Times New Roman" w:hAnsi="Times New Roman" w:eastAsia="仿宋_GB2312"/>
          <w:snapToGrid w:val="0"/>
          <w:color w:val="auto"/>
          <w:sz w:val="24"/>
          <w:szCs w:val="24"/>
          <w:lang w:eastAsia="zh-CN"/>
        </w:rPr>
        <w:t>我们提醒财务报表使用者关注，财务报表</w:t>
      </w:r>
      <w:r>
        <w:rPr>
          <w:rFonts w:hint="eastAsia" w:ascii="Times New Roman" w:hAnsi="Times New Roman" w:eastAsia="仿宋_GB2312"/>
          <w:snapToGrid w:val="0"/>
          <w:color w:val="auto"/>
          <w:sz w:val="24"/>
          <w:szCs w:val="24"/>
          <w:highlight w:val="yellow"/>
          <w:lang w:eastAsia="zh-CN"/>
        </w:rPr>
        <w:t>附注</w:t>
      </w:r>
      <w:r>
        <w:rPr>
          <w:rFonts w:ascii="Times New Roman" w:hAnsi="Times New Roman" w:eastAsia="仿宋_GB2312"/>
          <w:snapToGrid w:val="0"/>
          <w:color w:val="auto"/>
          <w:sz w:val="24"/>
          <w:szCs w:val="24"/>
          <w:highlight w:val="yellow"/>
          <w:lang w:eastAsia="zh-CN"/>
        </w:rPr>
        <w:t>×</w:t>
      </w:r>
      <w:r>
        <w:rPr>
          <w:rFonts w:hint="eastAsia" w:ascii="Times New Roman" w:hAnsi="Times New Roman" w:eastAsia="仿宋_GB2312"/>
          <w:snapToGrid w:val="0"/>
          <w:color w:val="auto"/>
          <w:sz w:val="24"/>
          <w:szCs w:val="24"/>
          <w:highlight w:val="yellow"/>
          <w:lang w:eastAsia="zh-CN"/>
        </w:rPr>
        <w:t>描述了</w:t>
      </w:r>
      <w:r>
        <w:rPr>
          <w:rFonts w:ascii="Times New Roman" w:hAnsi="Times New Roman" w:eastAsia="仿宋_GB2312"/>
          <w:snapToGrid w:val="0"/>
          <w:color w:val="auto"/>
          <w:sz w:val="24"/>
          <w:szCs w:val="24"/>
          <w:highlight w:val="yellow"/>
          <w:lang w:eastAsia="zh-CN"/>
        </w:rPr>
        <w:t>×</w:t>
      </w:r>
      <w:r>
        <w:rPr>
          <w:rFonts w:hint="eastAsia" w:ascii="Times New Roman" w:hAnsi="Times New Roman" w:eastAsia="仿宋_GB2312"/>
          <w:snapToGrid w:val="0"/>
          <w:color w:val="auto"/>
          <w:sz w:val="24"/>
          <w:szCs w:val="24"/>
          <w:highlight w:val="yellow"/>
          <w:lang w:eastAsia="zh-CN"/>
        </w:rPr>
        <w:t>影响</w:t>
      </w:r>
      <w:r>
        <w:rPr>
          <w:rFonts w:hint="eastAsia" w:ascii="Times New Roman" w:hAnsi="Times New Roman" w:eastAsia="仿宋_GB2312"/>
          <w:snapToGrid w:val="0"/>
          <w:color w:val="auto"/>
          <w:sz w:val="24"/>
          <w:szCs w:val="24"/>
          <w:lang w:eastAsia="zh-CN"/>
        </w:rPr>
        <w:t>。本段内容不影响已发表的审计意见。</w:t>
      </w:r>
    </w:p>
    <w:p w14:paraId="5F784020">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X、其他信息</w:t>
      </w:r>
    </w:p>
    <w:p w14:paraId="7DEEEB4C">
      <w:pPr>
        <w:spacing w:before="120" w:beforeLines="50" w:line="300" w:lineRule="auto"/>
        <w:ind w:firstLineChars="200" w:firstLine="42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{{company_short_name}}管理层对其他信息负责。其他信息包括{{company_short_name}}{{audit_year}}年年度报告中涵盖的信息，但不包括财务报表和我们的审计报告。</w:t>
      </w:r>
    </w:p>
    <w:p w14:paraId="6EEA9176">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5A14602D">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3E70C2B4">
      <w:pPr>
        <w:spacing w:before="120" w:beforeLines="50" w:line="300" w:lineRule="auto"/>
        <w:ind w:firstLineChars="200" w:firstLine="420"/>
        <w:jc w:val="both"/>
        <w:rPr>
          <w:rFonts w:ascii="Arial Narrow" w:hAnsi="Arial Narrow" w:eastAsia="仿宋_GB2312"/>
          <w:i/>
          <w:color w:val="0000FF"/>
          <w:spacing w:val="4"/>
          <w:sz w:val="24"/>
          <w:szCs w:val="24"/>
          <w:lang w:eastAsia="zh-CN"/>
        </w:rPr>
      </w:pPr>
      <w:r>
        <w:rPr>
          <w:rFonts w:hint="eastAsia" w:ascii="Times New Roman" w:hAnsi="Times New Roman" w:eastAsia="仿宋_GB2312"/>
          <w:spacing w:val="4"/>
          <w:sz w:val="24"/>
          <w:szCs w:val="24"/>
          <w:lang w:eastAsia="zh-CN"/>
        </w:rPr>
        <w:t>基于我们已执行的工作，如果我们确定其他信息存在重大错报，我们应当报告该事实。如下所述，我们确定其他信息存在重大错报。</w:t>
      </w:r>
    </w:p>
    <w:p w14:paraId="545BF222">
      <w:pPr>
        <w:spacing w:before="120" w:beforeLines="50" w:line="300" w:lineRule="auto"/>
        <w:ind w:firstLineChars="200" w:firstLine="42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EDE8097">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5111211E">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2A3F546">
      <w:pPr>
        <w:spacing w:before="120" w:beforeLines="50" w:line="300" w:lineRule="auto"/>
        <w:ind w:firstLineChars="200" w:firstLine="420"/>
        <w:jc w:val="both"/>
        <w:rPr>
          <w:rFonts w:ascii="Arial Narrow" w:hAnsi="Arial Narrow" w:eastAsia="仿宋_GB2312"/>
          <w:color w:val="0000FF"/>
          <w:spacing w:val="4"/>
          <w:sz w:val="24"/>
          <w:szCs w:val="24"/>
          <w:lang w:eastAsia="zh-CN"/>
        </w:rPr>
      </w:pPr>
      <w:r>
        <w:rPr>
          <w:rFonts w:hint="eastAsia" w:ascii="Times New Roman" w:hAnsi="Times New Roman" w:eastAsia="仿宋_GB2312"/>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6B40FAFD">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当我们阅读Y报告后，如果确定其中存在重大错报，审计准则要求我们与治理层沟通该事项并采取。</w:t>
      </w:r>
    </w:p>
    <w:p w14:paraId="78489590">
      <w:r>
        <w:t>##OPT:key_audit_matters:关键审计事项##</w:t>
      </w:r>
    </w:p>
    <w:p w14:paraId="2069BBD5">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lang w:eastAsia="zh-CN"/>
        </w:rPr>
        <w:t>三</w:t>
      </w:r>
      <w:r>
        <w:rPr>
          <w:rFonts w:hint="eastAsia" w:ascii="Arial Narrow" w:hAnsi="Arial Narrow" w:eastAsia="仿宋_GB2312"/>
          <w:b/>
          <w:bCs/>
          <w:sz w:val="24"/>
          <w:szCs w:val="24"/>
        </w:rPr>
        <w:t>、关键审计事项</w:t>
      </w:r>
    </w:p>
    <w:p w14:paraId="7B4941E6">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0D442A5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37A66C3B">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4DBD61E0">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24E0D685">
      <w:pPr>
        <w:spacing w:before="120" w:beforeLines="50" w:line="300" w:lineRule="auto"/>
        <w:ind w:firstLine="496" w:firstLineChars="200"/>
        <w:jc w:val="both"/>
        <w:rPr>
          <w:rFonts w:ascii="Arial Narrow" w:hAnsi="Arial Narrow" w:eastAsia="仿宋_GB2312"/>
          <w:spacing w:val="4"/>
          <w:sz w:val="24"/>
          <w:szCs w:val="24"/>
          <w:lang w:eastAsia="zh-CN"/>
        </w:rPr>
      </w:pPr>
    </w:p>
    <w:p w14:paraId="0A596DC4">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bookmarkStart w:id="0" w:name="_GoBack"/>
      <w:bookmarkEnd w:id="0"/>
    </w:p>
    <w:p w14:paraId="11A167D4">
      <w:pPr>
        <w:spacing w:before="120" w:beforeLines="50" w:line="300" w:lineRule="auto"/>
        <w:ind w:firstLine="496" w:firstLineChars="200"/>
        <w:jc w:val="both"/>
        <w:rPr>
          <w:rFonts w:ascii="Arial Narrow" w:hAnsi="Arial Narrow" w:eastAsia="仿宋_GB2312"/>
          <w:spacing w:val="4"/>
          <w:sz w:val="24"/>
          <w:szCs w:val="24"/>
          <w:lang w:eastAsia="zh-CN"/>
        </w:rPr>
      </w:pPr>
    </w:p>
    <w:p w14:paraId="3DC8102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72D2B874">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19EC49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6200681">
      <w:pPr>
        <w:spacing w:before="120" w:beforeLines="50" w:line="300" w:lineRule="auto"/>
        <w:ind w:firstLine="496" w:firstLineChars="200"/>
        <w:jc w:val="both"/>
        <w:rPr>
          <w:rFonts w:ascii="Arial Narrow" w:hAnsi="Arial Narrow" w:eastAsia="仿宋_GB2312"/>
          <w:spacing w:val="4"/>
          <w:sz w:val="24"/>
          <w:szCs w:val="24"/>
          <w:lang w:eastAsia="zh-CN"/>
        </w:rPr>
      </w:pPr>
    </w:p>
    <w:p w14:paraId="4583C923">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2A9D4C8">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color w:val="FF0000"/>
          <w:spacing w:val="4"/>
          <w:sz w:val="24"/>
          <w:szCs w:val="24"/>
          <w:lang w:eastAsia="zh-CN"/>
        </w:rPr>
        <w:t>除“与持续经营相关的重大不确定性”部分所描述的事项外，我们确定不存在其他需要在审计报告中沟通的关键审计事项。</w:t>
      </w:r>
      <w:r>
        <w:rPr>
          <w:rFonts w:hint="eastAsia" w:ascii="Times New Roman" w:hAnsi="Times New Roman" w:eastAsia="仿宋_GB2312"/>
          <w:color w:val="0000FF"/>
          <w:spacing w:val="4"/>
          <w:sz w:val="24"/>
          <w:szCs w:val="24"/>
          <w:lang w:eastAsia="zh-CN"/>
        </w:rPr>
        <w:t>】</w:t>
      </w:r>
    </w:p>
    <w:p w14:paraId="34FF7244">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X、其他事项</w:t>
      </w:r>
    </w:p>
    <w:p w14:paraId="0182E115">
      <w:pPr>
        <w:spacing w:before="120" w:beforeLines="50" w:line="300" w:lineRule="auto"/>
        <w:ind w:firstLineChars="200" w:firstLine="42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{{prior_period_end}}的合并及公司资产负债表，2024年度的合并及公司利润表、现金流量表、股东权益变动表以及相关财务报表附注由其他会计师事务所审计，并于{{audit_year}}年3月31日发表了无保留意见。</w:t>
      </w:r>
    </w:p>
    <w:p w14:paraId="286FCDD6">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3919479A">
      <w:pPr>
        <w:spacing w:before="120" w:beforeLines="50" w:line="300" w:lineRule="auto"/>
        <w:ind w:firstLineChars="200" w:firstLine="42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00307910">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7E041361">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1688CD9">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基于我们已执行的工作，如果我们确定其他信息存在重大错报，我们应当报告该事实。在这方面，我们无任何事项需要报告。</w:t>
      </w:r>
    </w:p>
    <w:p w14:paraId="50DE95F1">
      <w:pPr>
        <w:spacing w:before="120" w:beforeLines="50" w:line="300" w:lineRule="auto"/>
        <w:ind w:firstLineChars="200" w:firstLine="42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F9F10A5">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2E16DDBD">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060A2D9A">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1EDFE37B">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我们阅读Y报告后，如果确定其中存在重大错报，审计准则要求我们与治理层沟通该事项并采取。</w:t>
      </w:r>
    </w:p>
    <w:p w14:paraId="68141E3F">
      <w:pPr>
        <w:spacing w:before="120" w:beforeLines="50" w:line="300" w:lineRule="auto"/>
        <w:ind w:firstLineChars="200" w:firstLine="42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6C58F23F">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3EAD2749">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46FC51D4">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当我们阅读X报告后，如果确定其中存在重大错报，审计准则要求我们与治理层沟通该事项并采取。</w:t>
      </w:r>
    </w:p>
    <w:p w14:paraId="69077CB1">
      <w:r>
        <w:t>##/OPT:other_information##</w:t>
      </w:r>
    </w:p>
    <w:p w14:paraId="69F75E6A">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五、管理层和治理层对财务报表的责任</w:t>
      </w:r>
    </w:p>
    <w:p w14:paraId="26012648">
      <w:pPr>
        <w:spacing w:before="120" w:beforeLines="50" w:line="300" w:lineRule="auto"/>
        <w:ind w:firstLineChars="200" w:firstLine="42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58FB3A5">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5AF5A00">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治理层负责监督{{company_short_name}}的财务报告过程。</w:t>
      </w:r>
    </w:p>
    <w:p w14:paraId="6AC251C5">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六、注册会计师对财务报表审计的责任</w:t>
      </w:r>
    </w:p>
    <w:p w14:paraId="4360CD54">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10E0D73">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在按照审计准则执行审计工作的过程中，我们运用职业判断，并保持职业怀疑。同时，我们也执行以下工作：</w:t>
      </w:r>
    </w:p>
    <w:p w14:paraId="44A33680">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3D3C8773">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（2）了解与审计相关的内部控制，以设计恰当的审计程序，但目的并非对内部控制的有效性发表意见。</w:t>
      </w:r>
    </w:p>
    <w:p w14:paraId="55DFF09D">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（3）评价管理层选用会计政策的恰当性和作出会计估计及相关披露的合理性。</w:t>
      </w:r>
    </w:p>
    <w:p w14:paraId="76884EC6">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2D6E0138">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（5）评价财务报表的总体列报、结构和内容（包括披露），并评价财务报表是否公允反映相关交易和事项。</w:t>
      </w:r>
    </w:p>
    <w:p w14:paraId="2BD3B951">
      <w:pPr>
        <w:spacing w:before="120" w:beforeLines="50" w:line="300" w:lineRule="auto"/>
        <w:ind w:firstLineChars="200" w:firstLine="420"/>
        <w:jc w:val="both"/>
        <w:rPr>
          <w:rFonts w:ascii="Arial Narrow" w:hAnsi="Arial Narrow" w:eastAsia="仿宋_GB2312"/>
          <w:color w:val="0000FF"/>
          <w:spacing w:val="4"/>
          <w:sz w:val="24"/>
          <w:szCs w:val="24"/>
          <w:lang w:eastAsia="zh-CN"/>
        </w:rPr>
      </w:pPr>
      <w:r>
        <w:rPr>
          <w:rFonts w:hint="eastAsia" w:ascii="Times New Roman" w:hAnsi="Times New Roman" w:eastAsia="仿宋_GB2312"/>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0B7C1975">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104431F8">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07BADF">
      <w:pPr>
        <w:spacing w:before="120" w:beforeLines="50" w:line="300" w:lineRule="auto"/>
        <w:ind w:firstLineChars="200" w:firstLine="42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05A71E2C">
      <w:pPr>
        <w:spacing w:before="120" w:beforeLines="50" w:line="300" w:lineRule="auto"/>
        <w:ind w:firstLine="482" w:firstLineChars="200"/>
        <w:jc w:val="both"/>
        <w:outlineLvl w:val="0"/>
        <w:rPr>
          <w:rFonts w:ascii="Arial Narrow" w:hAnsi="Arial Narrow" w:eastAsia="仿宋_GB2312"/>
          <w:b/>
          <w:bCs/>
          <w:i/>
          <w:sz w:val="24"/>
          <w:szCs w:val="24"/>
          <w:lang w:eastAsia="zh-CN"/>
        </w:rPr>
      </w:pPr>
      <w:r>
        <w:rPr>
          <w:rFonts w:hint="eastAsia" w:ascii="Arial Narrow" w:hAnsi="Arial Narrow" w:eastAsia="仿宋_GB2312"/>
          <w:b/>
          <w:bCs/>
          <w:i/>
          <w:sz w:val="24"/>
          <w:szCs w:val="24"/>
          <w:lang w:eastAsia="zh-CN"/>
        </w:rPr>
        <w:t>二、按照相关法律法规的要求报告的事项</w:t>
      </w:r>
    </w:p>
    <w:p w14:paraId="370304AB">
      <w:pPr>
        <w:spacing w:before="120" w:beforeLines="50" w:line="300" w:lineRule="auto"/>
        <w:ind w:firstLine="496" w:firstLineChars="200"/>
        <w:jc w:val="both"/>
        <w:rPr>
          <w:rFonts w:ascii="Arial Narrow" w:hAnsi="Arial Narrow" w:eastAsia="仿宋_GB2312"/>
          <w:spacing w:val="4"/>
          <w:sz w:val="24"/>
          <w:szCs w:val="24"/>
          <w:lang w:eastAsia="zh-CN"/>
        </w:rPr>
      </w:pPr>
    </w:p>
    <w:p w14:paraId="625B27E8">
      <w:pPr>
        <w:spacing w:before="120" w:beforeLines="50" w:line="300" w:lineRule="auto"/>
        <w:ind w:firstLine="496" w:firstLineChars="200"/>
        <w:jc w:val="both"/>
        <w:rPr>
          <w:rFonts w:ascii="Arial Narrow" w:hAnsi="Arial Narrow" w:eastAsia="仿宋_GB2312"/>
          <w:spacing w:val="4"/>
          <w:sz w:val="24"/>
          <w:szCs w:val="24"/>
          <w:lang w:eastAsia="zh-CN"/>
        </w:rPr>
      </w:pPr>
    </w:p>
    <w:p w14:paraId="6B20F577">
      <w:pPr>
        <w:spacing w:before="120" w:beforeLines="50" w:line="300" w:lineRule="auto"/>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 xml:space="preserve"> </w:t>
      </w:r>
      <w:r>
        <w:rPr>
          <w:rFonts w:ascii="Arial Narrow" w:hAnsi="Arial Narrow" w:eastAsia="仿宋_GB2312"/>
          <w:spacing w:val="4"/>
          <w:sz w:val="24"/>
          <w:szCs w:val="24"/>
          <w:lang w:eastAsia="zh-CN"/>
        </w:rPr>
        <w:t xml:space="preserve">       </w:t>
      </w:r>
    </w:p>
    <w:p w14:paraId="550D0BBE">
      <w:pPr>
        <w:spacing w:before="120" w:beforeLines="50" w:line="300" w:lineRule="auto"/>
        <w:jc w:val="both"/>
        <w:rPr>
          <w:rFonts w:ascii="Arial Narrow" w:hAnsi="Arial Narrow" w:eastAsia="仿宋_GB2312"/>
          <w:color w:val="0000FF"/>
          <w:sz w:val="24"/>
          <w:szCs w:val="24"/>
          <w:lang w:eastAsia="zh-CN"/>
        </w:rPr>
      </w:pPr>
      <w:r>
        <w:rPr>
          <w:rFonts w:ascii="Arial Narrow" w:hAnsi="Arial Narrow" w:eastAsia="仿宋_GB2312"/>
          <w:spacing w:val="4"/>
          <w:sz w:val="24"/>
          <w:szCs w:val="24"/>
          <w:lang w:eastAsia="zh-CN"/>
        </w:rPr>
        <w:t xml:space="preserve">        </w:t>
      </w: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0F7AEED7">
        <w:tblPrEx>
          <w:tblCellMar>
            <w:top w:w="0" w:type="dxa"/>
            <w:left w:w="108" w:type="dxa"/>
            <w:bottom w:w="0" w:type="dxa"/>
            <w:right w:w="108" w:type="dxa"/>
          </w:tblCellMar>
        </w:tblPrEx>
        <w:trPr>
          <w:trHeight w:val="1305" w:hRule="atLeast"/>
        </w:trPr>
        <w:tc>
          <w:tcPr>
            <w:tcW w:w="3108" w:type="dxa"/>
          </w:tcPr>
          <w:p w14:paraId="43BAE75F">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40A16230">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070E647C">
            <w:pPr>
              <w:spacing w:line="340" w:lineRule="atLeast"/>
              <w:rPr>
                <w:rFonts w:ascii="Arial Narrow" w:hAnsi="Arial Narrow" w:eastAsia="仿宋_GB2312"/>
                <w:snapToGrid w:val="0"/>
                <w:color w:val="FF0000"/>
                <w:sz w:val="24"/>
                <w:szCs w:val="24"/>
                <w:highlight w:val="cyan"/>
                <w:lang w:val="en-AU" w:eastAsia="zh-CN"/>
              </w:rPr>
            </w:pPr>
          </w:p>
          <w:p w14:paraId="53A53AC4">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72C86B9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7CFCE093">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18382180">
            <w:pPr>
              <w:spacing w:line="340" w:lineRule="atLeast"/>
              <w:jc w:val="right"/>
              <w:rPr>
                <w:rFonts w:ascii="Arial Narrow" w:hAnsi="Arial Narrow" w:eastAsia="仿宋_GB2312"/>
                <w:snapToGrid w:val="0"/>
                <w:sz w:val="24"/>
                <w:szCs w:val="24"/>
                <w:lang w:eastAsia="zh-CN"/>
              </w:rPr>
            </w:pPr>
          </w:p>
          <w:p w14:paraId="21D6A8BB">
            <w:pPr>
              <w:spacing w:line="340" w:lineRule="atLeast"/>
              <w:jc w:val="right"/>
              <w:rPr>
                <w:rFonts w:ascii="Arial Narrow" w:hAnsi="Arial Narrow" w:eastAsia="仿宋_GB2312"/>
                <w:snapToGrid w:val="0"/>
                <w:sz w:val="24"/>
                <w:szCs w:val="24"/>
                <w:lang w:val="en-AU" w:eastAsia="zh-CN"/>
              </w:rPr>
            </w:pPr>
          </w:p>
          <w:p w14:paraId="40ECEE4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820E28C">
            <w:pPr>
              <w:spacing w:line="340" w:lineRule="atLeast"/>
              <w:jc w:val="right"/>
              <w:rPr>
                <w:rFonts w:ascii="Arial Narrow" w:hAnsi="Arial Narrow" w:eastAsia="仿宋_GB2312"/>
                <w:snapToGrid w:val="0"/>
                <w:color w:val="0000FF"/>
                <w:sz w:val="24"/>
                <w:szCs w:val="24"/>
                <w:lang w:eastAsia="zh-CN"/>
              </w:rPr>
            </w:pPr>
          </w:p>
          <w:p w14:paraId="5B29014A">
            <w:pPr>
              <w:spacing w:line="340" w:lineRule="atLeast"/>
              <w:jc w:val="right"/>
              <w:rPr>
                <w:rFonts w:ascii="Arial Narrow" w:hAnsi="Arial Narrow" w:eastAsia="仿宋_GB2312"/>
                <w:snapToGrid w:val="0"/>
                <w:color w:val="0000FF"/>
                <w:sz w:val="24"/>
                <w:szCs w:val="24"/>
                <w:lang w:eastAsia="zh-CN"/>
              </w:rPr>
            </w:pPr>
          </w:p>
          <w:p w14:paraId="357FED0B">
            <w:pPr>
              <w:spacing w:line="340" w:lineRule="atLeast"/>
              <w:jc w:val="right"/>
              <w:rPr>
                <w:rFonts w:ascii="Arial Narrow" w:hAnsi="Arial Narrow" w:eastAsia="仿宋_GB2312"/>
                <w:snapToGrid w:val="0"/>
                <w:color w:val="0000FF"/>
                <w:sz w:val="24"/>
                <w:szCs w:val="24"/>
                <w:lang w:eastAsia="zh-CN"/>
              </w:rPr>
            </w:pPr>
          </w:p>
        </w:tc>
        <w:tc>
          <w:tcPr>
            <w:tcW w:w="2204" w:type="dxa"/>
          </w:tcPr>
          <w:p w14:paraId="3111D361">
            <w:pPr>
              <w:spacing w:line="340" w:lineRule="atLeast"/>
              <w:rPr>
                <w:rFonts w:ascii="Arial Narrow" w:hAnsi="Arial Narrow" w:eastAsia="仿宋_GB2312"/>
                <w:snapToGrid w:val="0"/>
                <w:color w:val="FF0000"/>
                <w:sz w:val="24"/>
                <w:szCs w:val="24"/>
                <w:lang w:eastAsia="zh-CN"/>
              </w:rPr>
            </w:pPr>
          </w:p>
          <w:p w14:paraId="564432A5">
            <w:pPr>
              <w:spacing w:line="200" w:lineRule="atLeast"/>
              <w:rPr>
                <w:rFonts w:ascii="Arial Narrow" w:hAnsi="Arial Narrow" w:eastAsia="仿宋_GB2312"/>
                <w:snapToGrid w:val="0"/>
                <w:sz w:val="24"/>
                <w:szCs w:val="24"/>
                <w:lang w:eastAsia="zh-CN"/>
              </w:rPr>
            </w:pPr>
          </w:p>
          <w:p w14:paraId="5D62055D">
            <w:pPr>
              <w:spacing w:line="200" w:lineRule="atLeast"/>
              <w:rPr>
                <w:rFonts w:ascii="Arial Narrow" w:hAnsi="Arial Narrow" w:eastAsia="仿宋_GB2312"/>
                <w:snapToGrid w:val="0"/>
                <w:sz w:val="24"/>
                <w:szCs w:val="24"/>
                <w:lang w:eastAsia="zh-CN"/>
              </w:rPr>
            </w:pPr>
          </w:p>
          <w:p w14:paraId="0C87F14A">
            <w:pPr>
              <w:spacing w:line="200" w:lineRule="atLeast"/>
              <w:rPr>
                <w:rFonts w:ascii="Arial Narrow" w:hAnsi="Arial Narrow" w:eastAsia="仿宋_GB2312"/>
                <w:snapToGrid w:val="0"/>
                <w:sz w:val="24"/>
                <w:szCs w:val="24"/>
                <w:lang w:eastAsia="zh-CN"/>
              </w:rPr>
            </w:pPr>
          </w:p>
          <w:p w14:paraId="5A6B1FB5">
            <w:pPr>
              <w:spacing w:line="200" w:lineRule="atLeast"/>
              <w:rPr>
                <w:rFonts w:ascii="Arial Narrow" w:hAnsi="Arial Narrow" w:eastAsia="仿宋_GB2312"/>
                <w:snapToGrid w:val="0"/>
                <w:color w:val="FF0000"/>
                <w:sz w:val="24"/>
                <w:szCs w:val="24"/>
                <w:lang w:eastAsia="zh-CN"/>
              </w:rPr>
            </w:pPr>
          </w:p>
        </w:tc>
      </w:tr>
      <w:tr w14:paraId="660FCA80">
        <w:tblPrEx>
          <w:tblCellMar>
            <w:top w:w="0" w:type="dxa"/>
            <w:left w:w="108" w:type="dxa"/>
            <w:bottom w:w="0" w:type="dxa"/>
            <w:right w:w="108" w:type="dxa"/>
          </w:tblCellMar>
        </w:tblPrEx>
        <w:trPr>
          <w:trHeight w:val="507" w:hRule="atLeast"/>
        </w:trPr>
        <w:tc>
          <w:tcPr>
            <w:tcW w:w="3108" w:type="dxa"/>
          </w:tcPr>
          <w:p w14:paraId="5C27B79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1562E83">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7443BA85">
      <w:pPr>
        <w:rPr>
          <w:rFonts w:ascii="Arial Narrow" w:hAnsi="Arial Narrow" w:eastAsia="仿宋_GB2312"/>
          <w:lang w:eastAsia="zh-CN"/>
        </w:rPr>
      </w:pPr>
    </w:p>
    <w:sectPr>
      <w:headerReference r:id="rId6" w:type="default"/>
      <w:footerReference r:id="rId7" w:type="default"/>
      <w:pgSz w:w="11907" w:h="16840"/>
      <w:pgMar w:top="2835" w:right="1803" w:bottom="1440" w:left="1985" w:header="850" w:footer="850"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KSOF4F86F2D2">
    <w:panose1 w:val="02020500000000000000"/>
    <w:charset w:val="00"/>
    <w:family w:val="auto"/>
    <w:pitch w:val="default"/>
    <w:sig w:usb0="00000001"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5072B">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1C8B7E71">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9</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8EB7E">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E972A">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EE2B2">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20439"/>
    <w:rsid w:val="00024A0E"/>
    <w:rsid w:val="00026A99"/>
    <w:rsid w:val="00030F4E"/>
    <w:rsid w:val="00031AA6"/>
    <w:rsid w:val="00036911"/>
    <w:rsid w:val="000449DB"/>
    <w:rsid w:val="00046DC8"/>
    <w:rsid w:val="000549F8"/>
    <w:rsid w:val="00057697"/>
    <w:rsid w:val="000778DA"/>
    <w:rsid w:val="000805EE"/>
    <w:rsid w:val="00086FA8"/>
    <w:rsid w:val="00091127"/>
    <w:rsid w:val="00091FBD"/>
    <w:rsid w:val="000937F1"/>
    <w:rsid w:val="000961C9"/>
    <w:rsid w:val="000A1E95"/>
    <w:rsid w:val="000A3A47"/>
    <w:rsid w:val="000B5119"/>
    <w:rsid w:val="000B5EA4"/>
    <w:rsid w:val="000C1006"/>
    <w:rsid w:val="000C559F"/>
    <w:rsid w:val="000D09C9"/>
    <w:rsid w:val="000D2390"/>
    <w:rsid w:val="000D3B03"/>
    <w:rsid w:val="000D7E25"/>
    <w:rsid w:val="000E63C3"/>
    <w:rsid w:val="000F5985"/>
    <w:rsid w:val="000F5E80"/>
    <w:rsid w:val="000F74E6"/>
    <w:rsid w:val="00100F85"/>
    <w:rsid w:val="0010413A"/>
    <w:rsid w:val="00110313"/>
    <w:rsid w:val="00113BEE"/>
    <w:rsid w:val="0012170D"/>
    <w:rsid w:val="00126416"/>
    <w:rsid w:val="0012663A"/>
    <w:rsid w:val="00137545"/>
    <w:rsid w:val="001428C9"/>
    <w:rsid w:val="001476A8"/>
    <w:rsid w:val="001477DA"/>
    <w:rsid w:val="00153B6D"/>
    <w:rsid w:val="001545E9"/>
    <w:rsid w:val="0015511A"/>
    <w:rsid w:val="00166B78"/>
    <w:rsid w:val="0017454A"/>
    <w:rsid w:val="00182620"/>
    <w:rsid w:val="0018529D"/>
    <w:rsid w:val="00185613"/>
    <w:rsid w:val="0018779B"/>
    <w:rsid w:val="00187D45"/>
    <w:rsid w:val="001926AA"/>
    <w:rsid w:val="001A03F5"/>
    <w:rsid w:val="001A0FFB"/>
    <w:rsid w:val="001A246E"/>
    <w:rsid w:val="001A46A2"/>
    <w:rsid w:val="001B0E06"/>
    <w:rsid w:val="001B3256"/>
    <w:rsid w:val="001B4D39"/>
    <w:rsid w:val="001B5930"/>
    <w:rsid w:val="001C5126"/>
    <w:rsid w:val="001C52D0"/>
    <w:rsid w:val="001D33CC"/>
    <w:rsid w:val="001D621D"/>
    <w:rsid w:val="001D641F"/>
    <w:rsid w:val="001E17BE"/>
    <w:rsid w:val="001E357B"/>
    <w:rsid w:val="00203F01"/>
    <w:rsid w:val="0021474C"/>
    <w:rsid w:val="002167F5"/>
    <w:rsid w:val="00216AFE"/>
    <w:rsid w:val="00226E19"/>
    <w:rsid w:val="00234944"/>
    <w:rsid w:val="00236FE9"/>
    <w:rsid w:val="002400C8"/>
    <w:rsid w:val="00240402"/>
    <w:rsid w:val="0024080B"/>
    <w:rsid w:val="00241D7C"/>
    <w:rsid w:val="00243766"/>
    <w:rsid w:val="00244A2C"/>
    <w:rsid w:val="00245D5B"/>
    <w:rsid w:val="00246D10"/>
    <w:rsid w:val="002523F8"/>
    <w:rsid w:val="00252EBB"/>
    <w:rsid w:val="00253F3B"/>
    <w:rsid w:val="00257419"/>
    <w:rsid w:val="00265225"/>
    <w:rsid w:val="0026540D"/>
    <w:rsid w:val="0027109B"/>
    <w:rsid w:val="002760B2"/>
    <w:rsid w:val="00282D65"/>
    <w:rsid w:val="00283E99"/>
    <w:rsid w:val="00284DB8"/>
    <w:rsid w:val="00286498"/>
    <w:rsid w:val="00292D56"/>
    <w:rsid w:val="00297E1A"/>
    <w:rsid w:val="002A1F96"/>
    <w:rsid w:val="002A4392"/>
    <w:rsid w:val="002A6540"/>
    <w:rsid w:val="002C472B"/>
    <w:rsid w:val="002C54D8"/>
    <w:rsid w:val="002D5743"/>
    <w:rsid w:val="002D73E0"/>
    <w:rsid w:val="002F2199"/>
    <w:rsid w:val="002F247C"/>
    <w:rsid w:val="002F5DF6"/>
    <w:rsid w:val="002F7152"/>
    <w:rsid w:val="0030017E"/>
    <w:rsid w:val="003024C6"/>
    <w:rsid w:val="00303171"/>
    <w:rsid w:val="003040D3"/>
    <w:rsid w:val="00304B8E"/>
    <w:rsid w:val="00305EEE"/>
    <w:rsid w:val="00311739"/>
    <w:rsid w:val="00312DB8"/>
    <w:rsid w:val="00314286"/>
    <w:rsid w:val="003145FF"/>
    <w:rsid w:val="0032037E"/>
    <w:rsid w:val="00325419"/>
    <w:rsid w:val="00330A3C"/>
    <w:rsid w:val="0033196D"/>
    <w:rsid w:val="003426E7"/>
    <w:rsid w:val="003442CC"/>
    <w:rsid w:val="0035776C"/>
    <w:rsid w:val="003636C8"/>
    <w:rsid w:val="0036593B"/>
    <w:rsid w:val="003679C8"/>
    <w:rsid w:val="0037642D"/>
    <w:rsid w:val="003810B2"/>
    <w:rsid w:val="00386A32"/>
    <w:rsid w:val="003949A4"/>
    <w:rsid w:val="003977BB"/>
    <w:rsid w:val="003A6A8F"/>
    <w:rsid w:val="003B3D20"/>
    <w:rsid w:val="003B4FA2"/>
    <w:rsid w:val="003C6E74"/>
    <w:rsid w:val="003C7000"/>
    <w:rsid w:val="003C7810"/>
    <w:rsid w:val="003D398C"/>
    <w:rsid w:val="003E1882"/>
    <w:rsid w:val="003E29AF"/>
    <w:rsid w:val="003F2339"/>
    <w:rsid w:val="003F3710"/>
    <w:rsid w:val="003F709D"/>
    <w:rsid w:val="0040222C"/>
    <w:rsid w:val="00407364"/>
    <w:rsid w:val="00410491"/>
    <w:rsid w:val="00412658"/>
    <w:rsid w:val="004157D1"/>
    <w:rsid w:val="00421D6C"/>
    <w:rsid w:val="00421E7F"/>
    <w:rsid w:val="004401CB"/>
    <w:rsid w:val="00446800"/>
    <w:rsid w:val="00450C66"/>
    <w:rsid w:val="00457EC2"/>
    <w:rsid w:val="0046091D"/>
    <w:rsid w:val="00471E3A"/>
    <w:rsid w:val="0047313D"/>
    <w:rsid w:val="0047433B"/>
    <w:rsid w:val="00474518"/>
    <w:rsid w:val="00476C23"/>
    <w:rsid w:val="004777FD"/>
    <w:rsid w:val="004825D8"/>
    <w:rsid w:val="004852E0"/>
    <w:rsid w:val="0048756E"/>
    <w:rsid w:val="004902B6"/>
    <w:rsid w:val="00493806"/>
    <w:rsid w:val="00493CAD"/>
    <w:rsid w:val="00493D91"/>
    <w:rsid w:val="0049479A"/>
    <w:rsid w:val="00497DCD"/>
    <w:rsid w:val="004A25D2"/>
    <w:rsid w:val="004B2622"/>
    <w:rsid w:val="004B355B"/>
    <w:rsid w:val="004B3895"/>
    <w:rsid w:val="004C0A68"/>
    <w:rsid w:val="004C40E3"/>
    <w:rsid w:val="004D0463"/>
    <w:rsid w:val="004D1C25"/>
    <w:rsid w:val="004D1D9B"/>
    <w:rsid w:val="004D6277"/>
    <w:rsid w:val="004E2FB1"/>
    <w:rsid w:val="004E4B3B"/>
    <w:rsid w:val="004F1AEA"/>
    <w:rsid w:val="004F1F2F"/>
    <w:rsid w:val="004F6ADF"/>
    <w:rsid w:val="0050169C"/>
    <w:rsid w:val="00502DD4"/>
    <w:rsid w:val="005060DA"/>
    <w:rsid w:val="00507831"/>
    <w:rsid w:val="00511211"/>
    <w:rsid w:val="00521BBB"/>
    <w:rsid w:val="00524BB5"/>
    <w:rsid w:val="00526771"/>
    <w:rsid w:val="005313AC"/>
    <w:rsid w:val="00534199"/>
    <w:rsid w:val="00545FA5"/>
    <w:rsid w:val="00547E22"/>
    <w:rsid w:val="00552AD3"/>
    <w:rsid w:val="00553838"/>
    <w:rsid w:val="0055404B"/>
    <w:rsid w:val="00554DEC"/>
    <w:rsid w:val="0056363A"/>
    <w:rsid w:val="00563B54"/>
    <w:rsid w:val="005650E6"/>
    <w:rsid w:val="00565ECE"/>
    <w:rsid w:val="00573CD3"/>
    <w:rsid w:val="00580B2E"/>
    <w:rsid w:val="0058112E"/>
    <w:rsid w:val="0058290D"/>
    <w:rsid w:val="005838D1"/>
    <w:rsid w:val="00585649"/>
    <w:rsid w:val="00585CF5"/>
    <w:rsid w:val="00586EE0"/>
    <w:rsid w:val="00597AC8"/>
    <w:rsid w:val="005A1C35"/>
    <w:rsid w:val="005A1DED"/>
    <w:rsid w:val="005A2E17"/>
    <w:rsid w:val="005A3946"/>
    <w:rsid w:val="005A75E9"/>
    <w:rsid w:val="005B208D"/>
    <w:rsid w:val="005B4DA9"/>
    <w:rsid w:val="005B54DC"/>
    <w:rsid w:val="005C0ED6"/>
    <w:rsid w:val="005C1B49"/>
    <w:rsid w:val="005D0CCA"/>
    <w:rsid w:val="005D5A9A"/>
    <w:rsid w:val="005E0AFA"/>
    <w:rsid w:val="005E452F"/>
    <w:rsid w:val="005E509C"/>
    <w:rsid w:val="005E530D"/>
    <w:rsid w:val="005E646C"/>
    <w:rsid w:val="005F1C76"/>
    <w:rsid w:val="005F4A63"/>
    <w:rsid w:val="005F75E0"/>
    <w:rsid w:val="005F7E5E"/>
    <w:rsid w:val="006023D6"/>
    <w:rsid w:val="00604BE4"/>
    <w:rsid w:val="006055A4"/>
    <w:rsid w:val="006101D9"/>
    <w:rsid w:val="00616DA5"/>
    <w:rsid w:val="00617549"/>
    <w:rsid w:val="00617C95"/>
    <w:rsid w:val="006210AD"/>
    <w:rsid w:val="006235F4"/>
    <w:rsid w:val="00624628"/>
    <w:rsid w:val="006262BA"/>
    <w:rsid w:val="00632FFA"/>
    <w:rsid w:val="006332D4"/>
    <w:rsid w:val="00637417"/>
    <w:rsid w:val="00640583"/>
    <w:rsid w:val="00641578"/>
    <w:rsid w:val="0064299B"/>
    <w:rsid w:val="00643180"/>
    <w:rsid w:val="00647B51"/>
    <w:rsid w:val="00655AF4"/>
    <w:rsid w:val="006605BC"/>
    <w:rsid w:val="00661A27"/>
    <w:rsid w:val="0066670E"/>
    <w:rsid w:val="0066712B"/>
    <w:rsid w:val="006737DF"/>
    <w:rsid w:val="00674E50"/>
    <w:rsid w:val="00676C27"/>
    <w:rsid w:val="0068208C"/>
    <w:rsid w:val="006855A6"/>
    <w:rsid w:val="00690330"/>
    <w:rsid w:val="006A0A10"/>
    <w:rsid w:val="006A0FFE"/>
    <w:rsid w:val="006A2C79"/>
    <w:rsid w:val="006A3F9B"/>
    <w:rsid w:val="006A5636"/>
    <w:rsid w:val="006B23C3"/>
    <w:rsid w:val="006B3E11"/>
    <w:rsid w:val="006B5E3A"/>
    <w:rsid w:val="006B69E7"/>
    <w:rsid w:val="006B7509"/>
    <w:rsid w:val="006C431C"/>
    <w:rsid w:val="006D0B6F"/>
    <w:rsid w:val="006D2184"/>
    <w:rsid w:val="006D3424"/>
    <w:rsid w:val="006E5335"/>
    <w:rsid w:val="006F0F39"/>
    <w:rsid w:val="006F1B6C"/>
    <w:rsid w:val="00703E0A"/>
    <w:rsid w:val="00705FC1"/>
    <w:rsid w:val="0070731B"/>
    <w:rsid w:val="007076FA"/>
    <w:rsid w:val="00707A87"/>
    <w:rsid w:val="00711B60"/>
    <w:rsid w:val="007153FD"/>
    <w:rsid w:val="00717918"/>
    <w:rsid w:val="00731A82"/>
    <w:rsid w:val="00732EB5"/>
    <w:rsid w:val="00740545"/>
    <w:rsid w:val="0074215F"/>
    <w:rsid w:val="0074309D"/>
    <w:rsid w:val="00746A24"/>
    <w:rsid w:val="00753CDE"/>
    <w:rsid w:val="0075539D"/>
    <w:rsid w:val="007577BF"/>
    <w:rsid w:val="00760923"/>
    <w:rsid w:val="00763A40"/>
    <w:rsid w:val="00766E34"/>
    <w:rsid w:val="00767537"/>
    <w:rsid w:val="00767578"/>
    <w:rsid w:val="00775573"/>
    <w:rsid w:val="0078077C"/>
    <w:rsid w:val="00783B23"/>
    <w:rsid w:val="0079250E"/>
    <w:rsid w:val="00793FCD"/>
    <w:rsid w:val="00795BBC"/>
    <w:rsid w:val="00795E03"/>
    <w:rsid w:val="007A011A"/>
    <w:rsid w:val="007A3455"/>
    <w:rsid w:val="007A4E55"/>
    <w:rsid w:val="007A5992"/>
    <w:rsid w:val="007B0A11"/>
    <w:rsid w:val="007B6AB7"/>
    <w:rsid w:val="007B7BB5"/>
    <w:rsid w:val="007C7BEF"/>
    <w:rsid w:val="007D1A76"/>
    <w:rsid w:val="007D2117"/>
    <w:rsid w:val="007D4772"/>
    <w:rsid w:val="007F2003"/>
    <w:rsid w:val="008024DE"/>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526AC"/>
    <w:rsid w:val="008531F8"/>
    <w:rsid w:val="008621F6"/>
    <w:rsid w:val="00862D6D"/>
    <w:rsid w:val="00865996"/>
    <w:rsid w:val="00865B97"/>
    <w:rsid w:val="00866423"/>
    <w:rsid w:val="00872F6E"/>
    <w:rsid w:val="00874A4B"/>
    <w:rsid w:val="00884E84"/>
    <w:rsid w:val="0089208E"/>
    <w:rsid w:val="00895389"/>
    <w:rsid w:val="00897651"/>
    <w:rsid w:val="008A20B2"/>
    <w:rsid w:val="008B6486"/>
    <w:rsid w:val="008B6D16"/>
    <w:rsid w:val="008C035F"/>
    <w:rsid w:val="008C6AB4"/>
    <w:rsid w:val="008D0B4E"/>
    <w:rsid w:val="008D23C4"/>
    <w:rsid w:val="008D3EB2"/>
    <w:rsid w:val="008E0F0C"/>
    <w:rsid w:val="008E2A23"/>
    <w:rsid w:val="008E49D4"/>
    <w:rsid w:val="008E6B2D"/>
    <w:rsid w:val="008F4A19"/>
    <w:rsid w:val="008F7B02"/>
    <w:rsid w:val="00901CA6"/>
    <w:rsid w:val="0091040F"/>
    <w:rsid w:val="0091153E"/>
    <w:rsid w:val="00930320"/>
    <w:rsid w:val="00935B4C"/>
    <w:rsid w:val="00946000"/>
    <w:rsid w:val="009547A0"/>
    <w:rsid w:val="00957747"/>
    <w:rsid w:val="009577BE"/>
    <w:rsid w:val="00957E7A"/>
    <w:rsid w:val="00960F0C"/>
    <w:rsid w:val="00967CEE"/>
    <w:rsid w:val="009718F1"/>
    <w:rsid w:val="00977E80"/>
    <w:rsid w:val="00980B52"/>
    <w:rsid w:val="0098204A"/>
    <w:rsid w:val="0098237D"/>
    <w:rsid w:val="00990DF9"/>
    <w:rsid w:val="009956BE"/>
    <w:rsid w:val="00997EF2"/>
    <w:rsid w:val="009B24E2"/>
    <w:rsid w:val="009B5F1F"/>
    <w:rsid w:val="009C011F"/>
    <w:rsid w:val="009C11F3"/>
    <w:rsid w:val="009C195F"/>
    <w:rsid w:val="009C1A48"/>
    <w:rsid w:val="009C30D5"/>
    <w:rsid w:val="009C5181"/>
    <w:rsid w:val="009D3321"/>
    <w:rsid w:val="009D59C7"/>
    <w:rsid w:val="009E0C58"/>
    <w:rsid w:val="009E2CEA"/>
    <w:rsid w:val="009E35A8"/>
    <w:rsid w:val="009E563D"/>
    <w:rsid w:val="009F3814"/>
    <w:rsid w:val="009F6D5C"/>
    <w:rsid w:val="00A031CE"/>
    <w:rsid w:val="00A04C3C"/>
    <w:rsid w:val="00A114A9"/>
    <w:rsid w:val="00A13920"/>
    <w:rsid w:val="00A25575"/>
    <w:rsid w:val="00A260F2"/>
    <w:rsid w:val="00A32AAD"/>
    <w:rsid w:val="00A361F7"/>
    <w:rsid w:val="00A43EB3"/>
    <w:rsid w:val="00A4721B"/>
    <w:rsid w:val="00A52050"/>
    <w:rsid w:val="00A538AB"/>
    <w:rsid w:val="00A539EC"/>
    <w:rsid w:val="00A54EA2"/>
    <w:rsid w:val="00A60A09"/>
    <w:rsid w:val="00A60E61"/>
    <w:rsid w:val="00A61532"/>
    <w:rsid w:val="00A628CE"/>
    <w:rsid w:val="00A64B22"/>
    <w:rsid w:val="00A65945"/>
    <w:rsid w:val="00A6708C"/>
    <w:rsid w:val="00A7524F"/>
    <w:rsid w:val="00A77B60"/>
    <w:rsid w:val="00A81E6C"/>
    <w:rsid w:val="00A92103"/>
    <w:rsid w:val="00A92532"/>
    <w:rsid w:val="00AA25A7"/>
    <w:rsid w:val="00AA772C"/>
    <w:rsid w:val="00AB59D6"/>
    <w:rsid w:val="00AB5CDA"/>
    <w:rsid w:val="00AB5E90"/>
    <w:rsid w:val="00AC13FD"/>
    <w:rsid w:val="00AC46E1"/>
    <w:rsid w:val="00AC5DFA"/>
    <w:rsid w:val="00AC5F87"/>
    <w:rsid w:val="00AD09AA"/>
    <w:rsid w:val="00AD1BED"/>
    <w:rsid w:val="00AE3034"/>
    <w:rsid w:val="00AE697B"/>
    <w:rsid w:val="00AF13E3"/>
    <w:rsid w:val="00B01936"/>
    <w:rsid w:val="00B01A9B"/>
    <w:rsid w:val="00B0306A"/>
    <w:rsid w:val="00B034B8"/>
    <w:rsid w:val="00B05337"/>
    <w:rsid w:val="00B10D35"/>
    <w:rsid w:val="00B111DB"/>
    <w:rsid w:val="00B1639B"/>
    <w:rsid w:val="00B21D40"/>
    <w:rsid w:val="00B34E41"/>
    <w:rsid w:val="00B40DFD"/>
    <w:rsid w:val="00B4249C"/>
    <w:rsid w:val="00B44976"/>
    <w:rsid w:val="00B464A0"/>
    <w:rsid w:val="00B50AF4"/>
    <w:rsid w:val="00B516F8"/>
    <w:rsid w:val="00B52843"/>
    <w:rsid w:val="00B536A3"/>
    <w:rsid w:val="00B556C9"/>
    <w:rsid w:val="00B61432"/>
    <w:rsid w:val="00B6369A"/>
    <w:rsid w:val="00B641D9"/>
    <w:rsid w:val="00B64EF1"/>
    <w:rsid w:val="00B66045"/>
    <w:rsid w:val="00B710D5"/>
    <w:rsid w:val="00B7191B"/>
    <w:rsid w:val="00B7741B"/>
    <w:rsid w:val="00B83C22"/>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E4369"/>
    <w:rsid w:val="00BF470B"/>
    <w:rsid w:val="00BF5BDE"/>
    <w:rsid w:val="00BF724E"/>
    <w:rsid w:val="00C00BEB"/>
    <w:rsid w:val="00C0414D"/>
    <w:rsid w:val="00C14B29"/>
    <w:rsid w:val="00C1571B"/>
    <w:rsid w:val="00C21673"/>
    <w:rsid w:val="00C33488"/>
    <w:rsid w:val="00C348D0"/>
    <w:rsid w:val="00C34F2A"/>
    <w:rsid w:val="00C43DF7"/>
    <w:rsid w:val="00C469A8"/>
    <w:rsid w:val="00C479C4"/>
    <w:rsid w:val="00C5504D"/>
    <w:rsid w:val="00C636AC"/>
    <w:rsid w:val="00C64990"/>
    <w:rsid w:val="00C65600"/>
    <w:rsid w:val="00C667F3"/>
    <w:rsid w:val="00C74FEB"/>
    <w:rsid w:val="00C7624C"/>
    <w:rsid w:val="00C82183"/>
    <w:rsid w:val="00C826A8"/>
    <w:rsid w:val="00C840D8"/>
    <w:rsid w:val="00C863F2"/>
    <w:rsid w:val="00C87543"/>
    <w:rsid w:val="00C94892"/>
    <w:rsid w:val="00CA69DC"/>
    <w:rsid w:val="00CA75B1"/>
    <w:rsid w:val="00CB6370"/>
    <w:rsid w:val="00CC2C8D"/>
    <w:rsid w:val="00CD0C4D"/>
    <w:rsid w:val="00CD264B"/>
    <w:rsid w:val="00CD3255"/>
    <w:rsid w:val="00CD3DE8"/>
    <w:rsid w:val="00CD7097"/>
    <w:rsid w:val="00CF1419"/>
    <w:rsid w:val="00CF6273"/>
    <w:rsid w:val="00CF651B"/>
    <w:rsid w:val="00D051AF"/>
    <w:rsid w:val="00D111D1"/>
    <w:rsid w:val="00D14FFB"/>
    <w:rsid w:val="00D164EE"/>
    <w:rsid w:val="00D24B57"/>
    <w:rsid w:val="00D37C8B"/>
    <w:rsid w:val="00D43DA4"/>
    <w:rsid w:val="00D50822"/>
    <w:rsid w:val="00D51AB1"/>
    <w:rsid w:val="00D616CD"/>
    <w:rsid w:val="00D632C2"/>
    <w:rsid w:val="00D6649C"/>
    <w:rsid w:val="00D715C2"/>
    <w:rsid w:val="00D72CB5"/>
    <w:rsid w:val="00D730D3"/>
    <w:rsid w:val="00D73E14"/>
    <w:rsid w:val="00D82140"/>
    <w:rsid w:val="00D90D84"/>
    <w:rsid w:val="00D92B10"/>
    <w:rsid w:val="00D92E0D"/>
    <w:rsid w:val="00D94230"/>
    <w:rsid w:val="00D95F93"/>
    <w:rsid w:val="00D9631F"/>
    <w:rsid w:val="00D967FC"/>
    <w:rsid w:val="00DA2173"/>
    <w:rsid w:val="00DA45B0"/>
    <w:rsid w:val="00DA4828"/>
    <w:rsid w:val="00DB176C"/>
    <w:rsid w:val="00DB6B1A"/>
    <w:rsid w:val="00DB7049"/>
    <w:rsid w:val="00DC4B72"/>
    <w:rsid w:val="00DD0D30"/>
    <w:rsid w:val="00DD2C87"/>
    <w:rsid w:val="00DE0445"/>
    <w:rsid w:val="00DE0690"/>
    <w:rsid w:val="00DE105A"/>
    <w:rsid w:val="00DE28BA"/>
    <w:rsid w:val="00DE2EB6"/>
    <w:rsid w:val="00DE3414"/>
    <w:rsid w:val="00DF1C05"/>
    <w:rsid w:val="00DF65C6"/>
    <w:rsid w:val="00E00D3E"/>
    <w:rsid w:val="00E012B2"/>
    <w:rsid w:val="00E1673C"/>
    <w:rsid w:val="00E3384C"/>
    <w:rsid w:val="00E3431A"/>
    <w:rsid w:val="00E55229"/>
    <w:rsid w:val="00E552E0"/>
    <w:rsid w:val="00E56036"/>
    <w:rsid w:val="00E62097"/>
    <w:rsid w:val="00E62537"/>
    <w:rsid w:val="00E7000B"/>
    <w:rsid w:val="00E72893"/>
    <w:rsid w:val="00E82C2C"/>
    <w:rsid w:val="00E8586B"/>
    <w:rsid w:val="00E8614E"/>
    <w:rsid w:val="00E90B4C"/>
    <w:rsid w:val="00E92745"/>
    <w:rsid w:val="00E9569F"/>
    <w:rsid w:val="00E969C3"/>
    <w:rsid w:val="00EA1EB7"/>
    <w:rsid w:val="00EA6616"/>
    <w:rsid w:val="00EB5CA0"/>
    <w:rsid w:val="00EC0C58"/>
    <w:rsid w:val="00EC38F4"/>
    <w:rsid w:val="00ED66B5"/>
    <w:rsid w:val="00EF282A"/>
    <w:rsid w:val="00EF3EFD"/>
    <w:rsid w:val="00F01473"/>
    <w:rsid w:val="00F0656E"/>
    <w:rsid w:val="00F11924"/>
    <w:rsid w:val="00F12267"/>
    <w:rsid w:val="00F122DA"/>
    <w:rsid w:val="00F14997"/>
    <w:rsid w:val="00F17ED9"/>
    <w:rsid w:val="00F215D7"/>
    <w:rsid w:val="00F27411"/>
    <w:rsid w:val="00F31631"/>
    <w:rsid w:val="00F51556"/>
    <w:rsid w:val="00F54B85"/>
    <w:rsid w:val="00F6099F"/>
    <w:rsid w:val="00F6114A"/>
    <w:rsid w:val="00F6520E"/>
    <w:rsid w:val="00F66C77"/>
    <w:rsid w:val="00F74C2E"/>
    <w:rsid w:val="00F7696F"/>
    <w:rsid w:val="00F77C4F"/>
    <w:rsid w:val="00F77C9F"/>
    <w:rsid w:val="00F82DB7"/>
    <w:rsid w:val="00F8509A"/>
    <w:rsid w:val="00F86200"/>
    <w:rsid w:val="00F90BD3"/>
    <w:rsid w:val="00F97CFB"/>
    <w:rsid w:val="00FA0FC3"/>
    <w:rsid w:val="00FA23C1"/>
    <w:rsid w:val="00FA7E88"/>
    <w:rsid w:val="00FB6068"/>
    <w:rsid w:val="00FC16D9"/>
    <w:rsid w:val="00FC3E42"/>
    <w:rsid w:val="00FD212B"/>
    <w:rsid w:val="00FD5621"/>
    <w:rsid w:val="00FD6ECE"/>
    <w:rsid w:val="00FE176B"/>
    <w:rsid w:val="00FE60A4"/>
    <w:rsid w:val="00FE730A"/>
    <w:rsid w:val="00FF7F3C"/>
    <w:rsid w:val="1DC6423F"/>
    <w:rsid w:val="47A41395"/>
    <w:rsid w:val="74A9739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qFormat="1"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qFormat="1"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qFormat/>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qFormat/>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qFormat/>
    <w:uiPriority w:val="0"/>
    <w:rPr>
      <w:rFonts w:ascii="宋体" w:eastAsia="宋体"/>
      <w:sz w:val="18"/>
      <w:szCs w:val="18"/>
    </w:rPr>
  </w:style>
  <w:style w:type="paragraph" w:styleId="5">
    <w:name w:val="annotation text"/>
    <w:basedOn w:val="1"/>
    <w:semiHidden/>
    <w:qFormat/>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qFormat/>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qFormat/>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qFormat/>
    <w:uiPriority w:val="0"/>
    <w:rPr>
      <w:rFonts w:ascii="宋体" w:eastAsia="宋体"/>
      <w:sz w:val="18"/>
      <w:szCs w:val="18"/>
      <w:lang w:eastAsia="zh-TW"/>
    </w:rPr>
  </w:style>
  <w:style w:type="character" w:customStyle="1" w:styleId="27">
    <w:name w:val="页脚 字符"/>
    <w:basedOn w:val="16"/>
    <w:link w:val="11"/>
    <w:qFormat/>
    <w:uiPriority w:val="99"/>
    <w:rPr>
      <w:lang w:eastAsia="zh-TW"/>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BD4E52B-E083-4B41-9C7E-19985C23F8BF}">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9</Pages>
  <Words>3564</Words>
  <Characters>4311</Characters>
  <Lines>58</Lines>
  <Paragraphs>16</Paragraphs>
  <TotalTime>46</TotalTime>
  <ScaleCrop>false</ScaleCrop>
  <LinksUpToDate>false</LinksUpToDate>
  <CharactersWithSpaces>4331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2021-01-15T08:27:00Z</dcterms:created>
  <dc:creator>SW</dc:creator>
  <cp:lastModifiedBy>杨志</cp:lastModifiedBy>
  <cp:lastPrinted>2017-03-15T03:59:00Z</cp:lastPrinted>
  <dcterms:modified xsi:type="dcterms:W3CDTF">2026-06-09T15:17:13Z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1427AA1E21D9402B8858E144BAC351C9_12</vt:lpwstr>
  </property>
</Properties>
</file>