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A51D6D">
      <w:pPr>
        <w:jc w:val="center"/>
        <w:rPr>
          <w:rFonts w:ascii="Arial Narrow" w:hAnsi="Arial Narrow" w:eastAsia="仿宋_GB2312" w:cs="Arial Narrow"/>
          <w:sz w:val="24"/>
          <w:szCs w:val="24"/>
          <w:lang w:eastAsia="zh-CN"/>
        </w:rPr>
      </w:pPr>
    </w:p>
    <w:p w14:paraId="6AF1535E">
      <w:pPr>
        <w:jc w:val="center"/>
        <w:rPr>
          <w:rFonts w:ascii="Arial Narrow" w:hAnsi="Arial Narrow" w:eastAsia="仿宋_GB2312" w:cs="Arial Narrow"/>
          <w:sz w:val="24"/>
          <w:szCs w:val="24"/>
          <w:lang w:eastAsia="zh-CN"/>
        </w:rPr>
      </w:pPr>
    </w:p>
    <w:p w14:paraId="6DC7D501">
      <w:pPr>
        <w:jc w:val="center"/>
        <w:rPr>
          <w:rFonts w:ascii="Arial Narrow" w:hAnsi="Arial Narrow" w:eastAsia="仿宋_GB2312" w:cs="Arial Narrow"/>
          <w:sz w:val="24"/>
          <w:szCs w:val="24"/>
          <w:lang w:eastAsia="zh-CN"/>
        </w:rPr>
      </w:pPr>
    </w:p>
    <w:p w14:paraId="28840803">
      <w:pPr>
        <w:jc w:val="center"/>
        <w:rPr>
          <w:rFonts w:ascii="Arial Narrow" w:hAnsi="Arial Narrow" w:eastAsia="仿宋_GB2312" w:cs="Arial Narrow"/>
          <w:sz w:val="24"/>
          <w:szCs w:val="24"/>
          <w:lang w:eastAsia="zh-CN"/>
        </w:rPr>
      </w:pPr>
    </w:p>
    <w:p w14:paraId="4E5CC0D8">
      <w:pPr>
        <w:jc w:val="center"/>
        <w:rPr>
          <w:rFonts w:ascii="Arial Narrow" w:hAnsi="Arial Narrow" w:eastAsia="仿宋_GB2312" w:cs="Arial Narrow"/>
          <w:sz w:val="24"/>
        </w:rPr>
      </w:pPr>
    </w:p>
    <w:p w14:paraId="0A6AE5AC">
      <w:pPr>
        <w:jc w:val="center"/>
        <w:rPr>
          <w:rFonts w:ascii="Arial Narrow" w:hAnsi="Arial Narrow" w:eastAsia="仿宋_GB2312" w:cs="Arial Narrow"/>
          <w:sz w:val="24"/>
        </w:rPr>
      </w:pPr>
    </w:p>
    <w:p w14:paraId="298C8B58">
      <w:pPr>
        <w:jc w:val="center"/>
        <w:rPr>
          <w:rFonts w:ascii="Arial Narrow" w:hAnsi="Arial Narrow" w:eastAsia="仿宋_GB2312" w:cs="Arial Narrow"/>
          <w:sz w:val="24"/>
          <w:lang w:eastAsia="zh-CN"/>
        </w:rPr>
      </w:pPr>
    </w:p>
    <w:p w14:paraId="74A27479">
      <w:pPr>
        <w:jc w:val="center"/>
        <w:rPr>
          <w:rFonts w:ascii="Arial Narrow" w:hAnsi="Arial Narrow" w:eastAsia="仿宋_GB2312" w:cs="Arial Narrow"/>
          <w:sz w:val="24"/>
          <w:lang w:eastAsia="zh-CN"/>
        </w:rPr>
      </w:pPr>
    </w:p>
    <w:p w14:paraId="78D10EB7">
      <w:pPr>
        <w:numPr>
          <w:ilvl w:val="0"/>
          <w:numId w:val="0"/>
        </w:numPr>
        <w:spacing w:line="360" w:lineRule="auto"/>
        <w:ind w:firstLine="420"/>
        <w:jc w:val="center"/>
        <w:outlineLvl w:val="0"/>
        <w:rPr>
          <w:rFonts w:ascii="黑体;SimHei" w:hAnsi="黑体;SimHei" w:eastAsia="黑体;SimHei" w:cs="Arial Narrow"/>
          <w:b/>
          <w:sz w:val="48"/>
          <w:szCs w:val="48"/>
          <w:lang w:eastAsia="zh-CN"/>
        </w:rPr>
      </w:pPr>
      <w:r>
        <w:rPr>
          <w:rFonts w:hint="eastAsia" w:ascii="Times New Roman" w:hAnsi="Times New Roman" w:eastAsia="仿宋_GB2312" w:cs="Arial Narrow"/>
          <w:b/>
          <w:color w:val="auto"/>
          <w:sz w:val="24"/>
          <w:szCs w:val="48"/>
          <w:lang w:eastAsia="zh-CN"/>
        </w:rPr>
        <w:t>{{company_full_name}}</w:t>
      </w:r>
    </w:p>
    <w:p w14:paraId="35DEE4B8">
      <w:pPr>
        <w:numPr>
          <w:ilvl w:val="0"/>
          <w:numId w:val="0"/>
        </w:numPr>
        <w:spacing w:line="360" w:lineRule="auto"/>
        <w:ind w:firstLine="420"/>
        <w:jc w:val="center"/>
        <w:outlineLvl w:val="0"/>
        <w:rPr>
          <w:rFonts w:ascii="黑体;SimHei" w:hAnsi="黑体;SimHei" w:eastAsia="黑体;SimHei" w:cs="Arial Narrow"/>
          <w:b/>
          <w:color w:val="auto"/>
          <w:sz w:val="48"/>
          <w:szCs w:val="48"/>
          <w:lang w:eastAsia="zh-CN"/>
        </w:rPr>
      </w:pPr>
      <w:r>
        <w:rPr>
          <w:rFonts w:hint="eastAsia" w:ascii="Times New Roman" w:hAnsi="Times New Roman" w:eastAsia="仿宋_GB2312" w:cs="Arial Narrow"/>
          <w:b/>
          <w:color w:val="auto"/>
          <w:sz w:val="24"/>
          <w:szCs w:val="48"/>
          <w:lang w:eastAsia="zh-CN"/>
        </w:rPr>
        <w:t>{{audit_year}}年度</w:t>
      </w:r>
    </w:p>
    <w:p w14:paraId="1FB74DF1">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2B65BDF5">
      <w:pPr>
        <w:jc w:val="center"/>
        <w:rPr>
          <w:rFonts w:ascii="Arial Narrow" w:hAnsi="Arial Narrow" w:eastAsia="仿宋_GB2312" w:cs="Arial Narrow"/>
          <w:b/>
          <w:sz w:val="44"/>
          <w:szCs w:val="44"/>
          <w:lang w:eastAsia="zh-CN"/>
        </w:rPr>
      </w:pPr>
    </w:p>
    <w:p w14:paraId="775F7F6D">
      <w:pPr>
        <w:jc w:val="center"/>
        <w:rPr>
          <w:rFonts w:ascii="Arial Narrow" w:hAnsi="Arial Narrow" w:eastAsia="仿宋_GB2312" w:cs="Arial Narrow"/>
          <w:b/>
          <w:sz w:val="44"/>
          <w:szCs w:val="44"/>
          <w:lang w:eastAsia="zh-CN"/>
        </w:rPr>
      </w:pPr>
    </w:p>
    <w:p w14:paraId="7572CE9C">
      <w:pPr>
        <w:jc w:val="center"/>
        <w:rPr>
          <w:rFonts w:ascii="Arial Narrow" w:hAnsi="Arial Narrow" w:eastAsia="仿宋_GB2312" w:cs="Arial Narrow"/>
          <w:b/>
          <w:sz w:val="44"/>
          <w:szCs w:val="44"/>
          <w:lang w:eastAsia="zh-CN"/>
        </w:rPr>
      </w:pPr>
    </w:p>
    <w:p w14:paraId="069E01CE">
      <w:pPr>
        <w:jc w:val="center"/>
        <w:rPr>
          <w:rFonts w:ascii="Arial Narrow" w:hAnsi="Arial Narrow" w:eastAsia="仿宋_GB2312" w:cs="Arial Narrow"/>
          <w:b/>
          <w:sz w:val="44"/>
          <w:szCs w:val="44"/>
          <w:lang w:eastAsia="zh-CN"/>
        </w:rPr>
      </w:pPr>
    </w:p>
    <w:p w14:paraId="1B17E344">
      <w:pPr>
        <w:jc w:val="center"/>
        <w:rPr>
          <w:rFonts w:ascii="Arial Narrow" w:hAnsi="Arial Narrow" w:eastAsia="仿宋_GB2312" w:cs="Arial Narrow"/>
          <w:b/>
          <w:sz w:val="44"/>
          <w:szCs w:val="44"/>
          <w:lang w:eastAsia="zh-CN"/>
        </w:rPr>
      </w:pPr>
    </w:p>
    <w:p w14:paraId="37B474D5">
      <w:pPr>
        <w:jc w:val="center"/>
        <w:rPr>
          <w:rFonts w:ascii="Arial Narrow" w:hAnsi="Arial Narrow" w:eastAsia="仿宋_GB2312" w:cs="Arial Narrow"/>
          <w:b/>
          <w:sz w:val="44"/>
          <w:szCs w:val="44"/>
          <w:lang w:eastAsia="zh-CN"/>
        </w:rPr>
      </w:pPr>
    </w:p>
    <w:p w14:paraId="395D83B4">
      <w:pPr>
        <w:jc w:val="center"/>
        <w:rPr>
          <w:rFonts w:ascii="Arial Narrow" w:hAnsi="Arial Narrow" w:eastAsia="仿宋_GB2312" w:cs="Arial Narrow"/>
          <w:b/>
          <w:sz w:val="44"/>
          <w:szCs w:val="44"/>
          <w:lang w:eastAsia="zh-CN"/>
        </w:rPr>
      </w:pPr>
    </w:p>
    <w:p w14:paraId="1C2A49E2">
      <w:pPr>
        <w:jc w:val="center"/>
        <w:rPr>
          <w:rFonts w:ascii="Arial Narrow" w:hAnsi="Arial Narrow" w:eastAsia="仿宋_GB2312" w:cs="Arial Narrow"/>
          <w:b/>
          <w:sz w:val="44"/>
          <w:szCs w:val="44"/>
          <w:lang w:eastAsia="zh-CN"/>
        </w:rPr>
      </w:pPr>
    </w:p>
    <w:p w14:paraId="45E26543">
      <w:pPr>
        <w:jc w:val="center"/>
        <w:rPr>
          <w:rFonts w:ascii="Arial Narrow" w:hAnsi="Arial Narrow" w:eastAsia="仿宋_GB2312" w:cs="Arial Narrow"/>
          <w:b/>
          <w:sz w:val="44"/>
          <w:szCs w:val="44"/>
          <w:lang w:eastAsia="zh-CN"/>
        </w:rPr>
      </w:pPr>
    </w:p>
    <w:p w14:paraId="531471C2">
      <w:pPr>
        <w:jc w:val="center"/>
        <w:rPr>
          <w:rFonts w:ascii="Arial Narrow" w:hAnsi="Arial Narrow" w:eastAsia="仿宋_GB2312" w:cs="Arial Narrow"/>
          <w:b/>
          <w:sz w:val="44"/>
          <w:szCs w:val="44"/>
          <w:lang w:eastAsia="zh-CN"/>
        </w:rPr>
      </w:pPr>
    </w:p>
    <w:p w14:paraId="2DB395D9">
      <w:pPr>
        <w:jc w:val="center"/>
        <w:rPr>
          <w:rFonts w:ascii="Arial Narrow" w:hAnsi="Arial Narrow" w:eastAsia="仿宋_GB2312" w:cs="Arial Narrow"/>
          <w:b/>
          <w:sz w:val="44"/>
          <w:szCs w:val="44"/>
          <w:lang w:eastAsia="zh-CN"/>
        </w:rPr>
      </w:pPr>
    </w:p>
    <w:p w14:paraId="52722091">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2F97879B">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12D08E6D">
      <w:pPr>
        <w:jc w:val="center"/>
        <w:rPr>
          <w:rFonts w:hint="eastAsia" w:ascii="Arial Narrow" w:hAnsi="Arial Narrow" w:eastAsia="仿宋_GB2312" w:cs="Arial Narrow"/>
          <w:b/>
          <w:bCs/>
          <w:color w:val="0000FF"/>
          <w:sz w:val="24"/>
          <w:szCs w:val="44"/>
          <w:lang w:eastAsia="zh-CN"/>
        </w:rPr>
      </w:pPr>
    </w:p>
    <w:p w14:paraId="5D20EA3E">
      <w:pPr>
        <w:jc w:val="center"/>
        <w:rPr>
          <w:rFonts w:ascii="Arial Narrow" w:hAnsi="Arial Narrow" w:eastAsia="仿宋_GB2312" w:cs="Arial Narrow"/>
          <w:b/>
          <w:sz w:val="24"/>
          <w:szCs w:val="32"/>
          <w:lang w:eastAsia="zh-CN"/>
        </w:rPr>
      </w:pPr>
    </w:p>
    <w:p w14:paraId="18D1449C">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7DF9B2B4">
        <w:tblPrEx>
          <w:tblCellMar>
            <w:top w:w="0" w:type="dxa"/>
            <w:left w:w="108" w:type="dxa"/>
            <w:bottom w:w="0" w:type="dxa"/>
            <w:right w:w="108" w:type="dxa"/>
          </w:tblCellMar>
        </w:tblPrEx>
        <w:trPr>
          <w:trHeight w:val="851" w:hRule="exact"/>
        </w:trPr>
        <w:tc>
          <w:tcPr>
            <w:tcW w:w="6687" w:type="dxa"/>
            <w:vAlign w:val="center"/>
          </w:tcPr>
          <w:p w14:paraId="07246C82">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4B9C0A48">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2FEEB256">
        <w:tblPrEx>
          <w:tblCellMar>
            <w:top w:w="0" w:type="dxa"/>
            <w:left w:w="108" w:type="dxa"/>
            <w:bottom w:w="0" w:type="dxa"/>
            <w:right w:w="108" w:type="dxa"/>
          </w:tblCellMar>
        </w:tblPrEx>
        <w:trPr>
          <w:trHeight w:val="851" w:hRule="exact"/>
        </w:trPr>
        <w:tc>
          <w:tcPr>
            <w:tcW w:w="6687" w:type="dxa"/>
            <w:vAlign w:val="center"/>
          </w:tcPr>
          <w:p w14:paraId="5F768EE5">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36234B33">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39C12C3F">
        <w:tblPrEx>
          <w:tblCellMar>
            <w:top w:w="0" w:type="dxa"/>
            <w:left w:w="108" w:type="dxa"/>
            <w:bottom w:w="0" w:type="dxa"/>
            <w:right w:w="108" w:type="dxa"/>
          </w:tblCellMar>
        </w:tblPrEx>
        <w:trPr>
          <w:trHeight w:val="851" w:hRule="exact"/>
        </w:trPr>
        <w:tc>
          <w:tcPr>
            <w:tcW w:w="6687" w:type="dxa"/>
            <w:vAlign w:val="center"/>
          </w:tcPr>
          <w:p w14:paraId="6F76FB04">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5ACDD236">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69E0432B">
        <w:tblPrEx>
          <w:tblCellMar>
            <w:top w:w="0" w:type="dxa"/>
            <w:left w:w="108" w:type="dxa"/>
            <w:bottom w:w="0" w:type="dxa"/>
            <w:right w:w="108" w:type="dxa"/>
          </w:tblCellMar>
        </w:tblPrEx>
        <w:trPr>
          <w:trHeight w:val="851" w:hRule="exact"/>
        </w:trPr>
        <w:tc>
          <w:tcPr>
            <w:tcW w:w="6687" w:type="dxa"/>
            <w:vAlign w:val="center"/>
          </w:tcPr>
          <w:p w14:paraId="5BB12A3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1DACFF0B">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3E8BF6F1">
        <w:tblPrEx>
          <w:tblCellMar>
            <w:top w:w="0" w:type="dxa"/>
            <w:left w:w="108" w:type="dxa"/>
            <w:bottom w:w="0" w:type="dxa"/>
            <w:right w:w="108" w:type="dxa"/>
          </w:tblCellMar>
        </w:tblPrEx>
        <w:trPr>
          <w:trHeight w:val="851" w:hRule="exact"/>
        </w:trPr>
        <w:tc>
          <w:tcPr>
            <w:tcW w:w="6687" w:type="dxa"/>
            <w:vAlign w:val="center"/>
          </w:tcPr>
          <w:p w14:paraId="1430A0B1">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033B87B5">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1D2E84DB">
        <w:tblPrEx>
          <w:tblCellMar>
            <w:top w:w="0" w:type="dxa"/>
            <w:left w:w="108" w:type="dxa"/>
            <w:bottom w:w="0" w:type="dxa"/>
            <w:right w:w="108" w:type="dxa"/>
          </w:tblCellMar>
        </w:tblPrEx>
        <w:trPr>
          <w:trHeight w:val="851" w:hRule="exact"/>
        </w:trPr>
        <w:tc>
          <w:tcPr>
            <w:tcW w:w="6687" w:type="dxa"/>
            <w:vAlign w:val="center"/>
          </w:tcPr>
          <w:p w14:paraId="1ABB0120">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373DECCB">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096698A9">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51E2BCC5">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5DE64AC7">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55F59857">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54B8C6D2">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5B760A0">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869647A">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4BD42A52">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3164E25F">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5886EEC">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55F59857">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54B8C6D2">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5B760A0">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869647A">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4BD42A52">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3164E25F">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5886EEC">
                      <w:pPr>
                        <w:rPr>
                          <w:rFonts w:ascii="Arial Narrow" w:hAnsi="Arial Narrow" w:eastAsia="黑体;SimHei" w:cs="Arial Narrow"/>
                          <w:sz w:val="14"/>
                          <w:szCs w:val="14"/>
                        </w:rPr>
                      </w:pPr>
                    </w:p>
                  </w:txbxContent>
                </v:textbox>
              </v:shape>
            </w:pict>
          </mc:Fallback>
        </mc:AlternateContent>
      </w:r>
    </w:p>
    <w:p w14:paraId="446EC121">
      <w:pPr>
        <w:rPr>
          <w:rFonts w:ascii="Arial Narrow" w:hAnsi="Arial Narrow" w:eastAsia="仿宋_GB2312" w:cs="Arial Narrow"/>
          <w:sz w:val="24"/>
          <w:szCs w:val="24"/>
          <w:lang w:eastAsia="zh-CN"/>
        </w:rPr>
      </w:pPr>
    </w:p>
    <w:p w14:paraId="7CF359A0">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62B593A6">
      <w:pPr>
        <w:spacing w:line="340" w:lineRule="atLeast"/>
        <w:jc w:val="both"/>
        <w:rPr>
          <w:rFonts w:ascii="Arial Narrow" w:hAnsi="Arial Narrow" w:eastAsia="仿宋_GB2312" w:cs="Arial Narrow"/>
          <w:b/>
          <w:color w:val="0000FF"/>
          <w:sz w:val="24"/>
          <w:szCs w:val="24"/>
          <w:lang w:eastAsia="zh-CN"/>
        </w:rPr>
      </w:pPr>
    </w:p>
    <w:p w14:paraId="2CC2D679">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2195C663">
      <w:pPr>
        <w:spacing w:line="340" w:lineRule="atLeast"/>
        <w:rPr>
          <w:rFonts w:ascii="Arial Narrow" w:hAnsi="Arial Narrow" w:eastAsia="仿宋_GB2312" w:cs="Arial Narrow"/>
          <w:b/>
          <w:color w:val="auto"/>
          <w:sz w:val="24"/>
          <w:szCs w:val="24"/>
          <w:lang w:eastAsia="zh-CN"/>
        </w:rPr>
      </w:pPr>
    </w:p>
    <w:p w14:paraId="743A0008">
      <w:pPr>
        <w:numPr>
          <w:ilvl w:val="0"/>
          <w:numId w:val="0"/>
        </w:numPr>
        <w:spacing w:before="120" w:after="0" w:line="300" w:lineRule="auto"/>
        <w:ind w:firstLine="420"/>
        <w:outlineLvl w:val="0"/>
        <w:rPr>
          <w:rFonts w:ascii="Arial Narrow" w:hAnsi="Arial Narrow" w:eastAsia="仿宋_GB2312" w:cs="Arial Narrow"/>
          <w:b/>
          <w:color w:val="auto"/>
          <w:sz w:val="24"/>
          <w:szCs w:val="24"/>
          <w:lang w:eastAsia="zh-CN"/>
        </w:rPr>
      </w:pPr>
      <w:r>
        <w:rPr>
          <w:rFonts w:ascii="Times New Roman" w:hAnsi="Times New Roman" w:eastAsia="仿宋_GB2312" w:cs="Arial Narrow"/>
          <w:b/>
          <w:color w:val="auto"/>
          <w:spacing w:val="4"/>
          <w:sz w:val="24"/>
          <w:szCs w:val="24"/>
          <w:lang w:eastAsia="zh-CN"/>
        </w:rPr>
        <w:t>{{company_full_name}}全体股东，</w:t>
      </w:r>
    </w:p>
    <w:p w14:paraId="3482E211">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否定</w:t>
      </w:r>
      <w:r>
        <w:rPr>
          <w:rFonts w:hint="eastAsia" w:ascii="Arial Narrow" w:hAnsi="Arial Narrow" w:eastAsia="仿宋_GB2312" w:cs="Arial Narrow"/>
          <w:b/>
          <w:bCs/>
          <w:sz w:val="24"/>
          <w:szCs w:val="24"/>
        </w:rPr>
        <w:t>意见</w:t>
      </w:r>
    </w:p>
    <w:p w14:paraId="4353E992">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3A7C4A8B">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认为，由于“形成否定意见的基础”部分所述事项的重要性，后附的财务报表没有在所有重大方面按照企业会计准则的规定编制，未能公允反映{{company_short_name}}{{audit_period_end}}的合并及公司财务状况以及{{audit_year}}年度的合并及公司的经营成</w:t>
      </w:r>
      <w:bookmarkStart w:id="0" w:name="_GoBack"/>
      <w:bookmarkEnd w:id="0"/>
      <w:r>
        <w:rPr>
          <w:rFonts w:hint="eastAsia" w:ascii="Times New Roman" w:hAnsi="Times New Roman" w:eastAsia="仿宋_GB2312" w:cs="Arial Narrow"/>
          <w:sz w:val="24"/>
          <w:szCs w:val="24"/>
          <w:lang w:eastAsia="zh-CN"/>
        </w:rPr>
        <w:t>果和现金流量。</w:t>
      </w:r>
    </w:p>
    <w:p w14:paraId="19BE37DF">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二、形成否定意见的基础</w:t>
      </w:r>
    </w:p>
    <w:tbl>
      <w:tblPr>
        <w:tblStyle w:val="9"/>
        <w:tblW w:w="8335" w:type="dxa"/>
        <w:tblInd w:w="0" w:type="dxa"/>
        <w:tblLayout w:type="fixed"/>
        <w:tblCellMar>
          <w:top w:w="0" w:type="dxa"/>
          <w:left w:w="108" w:type="dxa"/>
          <w:bottom w:w="0" w:type="dxa"/>
          <w:right w:w="108" w:type="dxa"/>
        </w:tblCellMar>
      </w:tblPr>
      <w:tblGrid>
        <w:gridCol w:w="8335"/>
      </w:tblGrid>
      <w:tr w14:paraId="22B175AA">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48718D06">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bCs/>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5E392064">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w:t>
            </w:r>
          </w:p>
          <w:p w14:paraId="160186CE">
            <w:pPr>
              <w:widowControl w:val="0"/>
              <w:snapToGrid w:val="0"/>
              <w:spacing w:line="300" w:lineRule="auto"/>
              <w:jc w:val="both"/>
              <w:rPr>
                <w:rFonts w:ascii="仿宋_GB2312" w:hAnsi="仿宋_GB2312" w:eastAsia="宋体;SimSun"/>
                <w:bCs/>
                <w:color w:val="FF0000"/>
                <w:sz w:val="24"/>
                <w:szCs w:val="24"/>
                <w:lang w:val="en-GB"/>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tc>
      </w:tr>
    </w:tbl>
    <w:p w14:paraId="20B2F916">
      <w:pPr>
        <w:snapToGrid w:val="0"/>
        <w:spacing w:line="300" w:lineRule="auto"/>
        <w:ind w:left="0" w:leftChars="0" w:right="0" w:rightChars="0" w:firstLineChars="200" w:firstLine="42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如财务报表附注×所述，由于无法确定{{company_short_name}}于{{audit_year}}年度收购的子公司XYZ公司某些重要资产和负债项目在收购日的公允价值，{{company_short_name}}未将该子公司纳入合并范围。该项投资以成本计量。根据企业会计准则，{{company_short_name}}应将该子公司纳入合并范围，并以暂估金额为基础核算该项收购。如果将XYZ公司纳入合并范围，后附合并财务报表的多个项目将受到重大影响。我们尚未确定未将该公司纳入合并范围对合并财务报表的影响。</w:t>
      </w:r>
    </w:p>
    <w:p w14:paraId="118F8754">
      <w:pPr>
        <w:spacing w:before="120" w:after="0" w:line="300" w:lineRule="auto"/>
        <w:ind w:left="0" w:leftChars="0" w:right="0" w:rightChars="0" w:firstLineChars="200" w:firstLine="420"/>
        <w:jc w:val="both"/>
        <w:rPr>
          <w:rFonts w:ascii="Arial Narrow" w:hAnsi="Arial Narrow" w:eastAsia="仿宋_GB2312" w:cs="宋体;SimSun"/>
          <w:spacing w:val="4"/>
          <w:sz w:val="24"/>
          <w:szCs w:val="24"/>
          <w:lang w:eastAsia="zh-CN"/>
        </w:rPr>
      </w:pPr>
      <w:r>
        <w:rPr>
          <w:rFonts w:hint="eastAsia" w:ascii="Times New Roman" w:hAnsi="Times New Roman"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否定审计意见提供了基础。</w:t>
      </w:r>
    </w:p>
    <w:p w14:paraId="793BFB7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三、管理层和治理层对财务报表的责任</w:t>
      </w:r>
    </w:p>
    <w:p w14:paraId="58941DB5">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73EAC254">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0D779D77">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560BFE92">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四、注册会计师对财务报表审计的责任</w:t>
      </w:r>
    </w:p>
    <w:p w14:paraId="3E7B202E">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78B66E06">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6296960D">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0B3BB31C">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457C33FC">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0200EA91">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7386A186">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（5）评价财务报表的总体列报、结构和内容（包括披露），并评价财务报表是否公允反映相关交易和事项。</w:t>
      </w:r>
    </w:p>
    <w:p w14:paraId="61D4DEA0">
      <w:pPr>
        <w:spacing w:before="120" w:after="0" w:line="300" w:lineRule="auto"/>
        <w:ind w:left="0" w:leftChars="0" w:right="0" w:rightChars="0" w:firstLineChars="200" w:firstLine="420"/>
        <w:jc w:val="both"/>
        <w:rPr>
          <w:rFonts w:ascii="Arial Narrow" w:hAnsi="Arial Narrow" w:eastAsia="仿宋_GB2312" w:cs="Arial Narrow"/>
          <w:color w:val="0000FF"/>
          <w:spacing w:val="4"/>
          <w:sz w:val="24"/>
          <w:szCs w:val="24"/>
          <w:lang w:eastAsia="zh-CN"/>
        </w:rPr>
      </w:pPr>
      <w:r>
        <w:rPr>
          <w:rFonts w:hint="eastAsia" w:ascii="Times New Roman" w:hAnsi="Times New Roman"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518B7529">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738B92DC">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6995FC0F">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672CF1C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3825E65A">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1234640F">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72A8F0EC">
        <w:tblPrEx>
          <w:tblCellMar>
            <w:top w:w="0" w:type="dxa"/>
            <w:left w:w="108" w:type="dxa"/>
            <w:bottom w:w="0" w:type="dxa"/>
            <w:right w:w="108" w:type="dxa"/>
          </w:tblCellMar>
        </w:tblPrEx>
        <w:trPr>
          <w:trHeight w:val="1305" w:hRule="atLeast"/>
        </w:trPr>
        <w:tc>
          <w:tcPr>
            <w:tcW w:w="3108" w:type="dxa"/>
          </w:tcPr>
          <w:p w14:paraId="6C4AC769">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6E190E46">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5B79C104">
            <w:pPr>
              <w:spacing w:line="340" w:lineRule="atLeast"/>
              <w:rPr>
                <w:rFonts w:ascii="Arial Narrow" w:hAnsi="Arial Narrow" w:eastAsia="仿宋_GB2312" w:cs="Arial Narrow"/>
                <w:color w:val="FF0000"/>
                <w:sz w:val="24"/>
                <w:szCs w:val="24"/>
                <w:highlight w:val="cyan"/>
                <w:lang w:val="en-AU" w:eastAsia="zh-CN"/>
              </w:rPr>
            </w:pPr>
          </w:p>
          <w:p w14:paraId="2840AD80">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425ABA7D">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30A5FEA8">
            <w:pPr>
              <w:spacing w:line="340" w:lineRule="atLeast"/>
              <w:jc w:val="right"/>
              <w:rPr>
                <w:rFonts w:ascii="Arial Narrow" w:hAnsi="Arial Narrow" w:eastAsia="仿宋_GB2312" w:cs="Arial Narrow"/>
                <w:sz w:val="24"/>
                <w:szCs w:val="24"/>
                <w:lang w:eastAsia="zh-CN"/>
              </w:rPr>
            </w:pPr>
          </w:p>
          <w:p w14:paraId="7580DE32">
            <w:pPr>
              <w:spacing w:line="340" w:lineRule="atLeast"/>
              <w:jc w:val="right"/>
              <w:rPr>
                <w:rFonts w:ascii="Arial Narrow" w:hAnsi="Arial Narrow" w:eastAsia="仿宋_GB2312" w:cs="Arial Narrow"/>
                <w:sz w:val="24"/>
                <w:szCs w:val="24"/>
                <w:lang w:eastAsia="zh-CN"/>
              </w:rPr>
            </w:pPr>
          </w:p>
          <w:p w14:paraId="72159332">
            <w:pPr>
              <w:spacing w:line="340" w:lineRule="atLeast"/>
              <w:jc w:val="right"/>
              <w:rPr>
                <w:rFonts w:ascii="Arial Narrow" w:hAnsi="Arial Narrow" w:eastAsia="仿宋_GB2312" w:cs="Arial Narrow"/>
                <w:sz w:val="24"/>
                <w:szCs w:val="24"/>
                <w:lang w:val="en-AU" w:eastAsia="zh-CN"/>
              </w:rPr>
            </w:pPr>
          </w:p>
          <w:p w14:paraId="656B4E18">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18FB8791">
            <w:pPr>
              <w:spacing w:line="340" w:lineRule="atLeast"/>
              <w:jc w:val="right"/>
              <w:rPr>
                <w:rFonts w:ascii="Arial Narrow" w:hAnsi="Arial Narrow" w:eastAsia="仿宋_GB2312" w:cs="Arial Narrow"/>
                <w:color w:val="0000FF"/>
                <w:sz w:val="24"/>
                <w:szCs w:val="24"/>
                <w:lang w:eastAsia="zh-CN"/>
              </w:rPr>
            </w:pPr>
          </w:p>
          <w:p w14:paraId="71D872D6">
            <w:pPr>
              <w:spacing w:line="340" w:lineRule="atLeast"/>
              <w:jc w:val="right"/>
              <w:rPr>
                <w:rFonts w:ascii="Arial Narrow" w:hAnsi="Arial Narrow" w:eastAsia="仿宋_GB2312" w:cs="Arial Narrow"/>
                <w:color w:val="0000FF"/>
                <w:sz w:val="24"/>
                <w:szCs w:val="24"/>
                <w:lang w:eastAsia="zh-CN"/>
              </w:rPr>
            </w:pPr>
          </w:p>
        </w:tc>
        <w:tc>
          <w:tcPr>
            <w:tcW w:w="2204" w:type="dxa"/>
          </w:tcPr>
          <w:p w14:paraId="18294D33">
            <w:pPr>
              <w:snapToGrid w:val="0"/>
              <w:spacing w:line="340" w:lineRule="atLeast"/>
              <w:rPr>
                <w:rFonts w:ascii="Arial Narrow" w:hAnsi="Arial Narrow" w:eastAsia="仿宋_GB2312" w:cs="Arial Narrow"/>
                <w:color w:val="FF0000"/>
                <w:sz w:val="24"/>
                <w:szCs w:val="24"/>
                <w:lang w:eastAsia="zh-CN"/>
              </w:rPr>
            </w:pPr>
          </w:p>
          <w:p w14:paraId="0CFC4394">
            <w:pPr>
              <w:spacing w:line="200" w:lineRule="atLeast"/>
              <w:rPr>
                <w:rFonts w:ascii="Arial Narrow" w:hAnsi="Arial Narrow" w:eastAsia="仿宋_GB2312" w:cs="Arial Narrow"/>
                <w:color w:val="FF0000"/>
                <w:sz w:val="24"/>
                <w:szCs w:val="24"/>
                <w:lang w:eastAsia="zh-CN"/>
              </w:rPr>
            </w:pPr>
          </w:p>
          <w:p w14:paraId="3B02C2E5">
            <w:pPr>
              <w:spacing w:line="200" w:lineRule="atLeast"/>
              <w:rPr>
                <w:rFonts w:ascii="Arial Narrow" w:hAnsi="Arial Narrow" w:eastAsia="仿宋_GB2312" w:cs="Arial Narrow"/>
                <w:sz w:val="24"/>
                <w:szCs w:val="24"/>
                <w:lang w:eastAsia="zh-CN"/>
              </w:rPr>
            </w:pPr>
          </w:p>
          <w:p w14:paraId="4C600007">
            <w:pPr>
              <w:spacing w:line="200" w:lineRule="atLeast"/>
              <w:rPr>
                <w:rFonts w:ascii="Arial Narrow" w:hAnsi="Arial Narrow" w:eastAsia="仿宋_GB2312" w:cs="Arial Narrow"/>
                <w:sz w:val="24"/>
                <w:szCs w:val="24"/>
                <w:lang w:eastAsia="zh-CN"/>
              </w:rPr>
            </w:pPr>
          </w:p>
          <w:p w14:paraId="3D6F37E3">
            <w:pPr>
              <w:spacing w:line="200" w:lineRule="atLeast"/>
              <w:rPr>
                <w:rFonts w:ascii="Arial Narrow" w:hAnsi="Arial Narrow" w:eastAsia="仿宋_GB2312" w:cs="Arial Narrow"/>
                <w:color w:val="FF0000"/>
                <w:sz w:val="24"/>
                <w:szCs w:val="24"/>
                <w:lang w:eastAsia="zh-CN"/>
              </w:rPr>
            </w:pPr>
          </w:p>
        </w:tc>
      </w:tr>
      <w:tr w14:paraId="31E2CE67">
        <w:tblPrEx>
          <w:tblCellMar>
            <w:top w:w="0" w:type="dxa"/>
            <w:left w:w="108" w:type="dxa"/>
            <w:bottom w:w="0" w:type="dxa"/>
            <w:right w:w="108" w:type="dxa"/>
          </w:tblCellMar>
        </w:tblPrEx>
        <w:trPr>
          <w:trHeight w:val="507" w:hRule="atLeast"/>
        </w:trPr>
        <w:tc>
          <w:tcPr>
            <w:tcW w:w="3108" w:type="dxa"/>
          </w:tcPr>
          <w:p w14:paraId="5936044E">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0740C46D">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3BA61254">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Univers;Arial">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Liberation Mono">
    <w:panose1 w:val="02070409020205020404"/>
    <w:charset w:val="00"/>
    <w:family w:val="auto"/>
    <w:pitch w:val="default"/>
    <w:sig w:usb0="E0000AFF" w:usb1="400078FF" w:usb2="00000001" w:usb3="00000000" w:csb0="600001BF" w:csb1="DFF7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A94CDF">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B9F95C">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1680E1">
    <w:pPr>
      <w:pStyle w:val="6"/>
      <w:jc w:val="center"/>
    </w:pPr>
    <w:r>
      <w:fldChar w:fldCharType="begin"/>
    </w:r>
    <w:r>
      <w:instrText xml:space="preserve"> PAGE </w:instrText>
    </w:r>
    <w:r>
      <w:fldChar w:fldCharType="separate"/>
    </w:r>
    <w:r>
      <w:t>4</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7E7715"/>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2C27CA">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C7B3EC">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C8C50">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25002B"/>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768F27D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Microsoft JhengHei"/>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6</Pages>
  <Words>4358</Words>
  <Characters>4961</Characters>
  <TotalTime>27</TotalTime>
  <ScaleCrop>false</ScaleCrop>
  <LinksUpToDate>false</LinksUpToDate>
  <CharactersWithSpaces>4976</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2019-08-12T16:28:00Z</dcterms:created>
  <dc:creator>SW</dc:creator>
  <cp:lastModifiedBy>杨志</cp:lastModifiedBy>
  <cp:lastPrinted>2017-03-15T11:59:00Z</cp:lastPrinted>
  <dcterms:modified xsi:type="dcterms:W3CDTF">2026-06-09T15:11:20Z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41F7827CFC654CB18B37BC9815B351AF_12</vt:lpwstr>
  </property>
</Properties>
</file>