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211CE">
      <w:pPr>
        <w:jc w:val="center"/>
        <w:rPr>
          <w:rFonts w:ascii="Arial Narrow" w:hAnsi="Arial Narrow" w:eastAsia="仿宋_GB2312" w:cs="Arial Narrow"/>
          <w:sz w:val="24"/>
          <w:szCs w:val="24"/>
          <w:lang w:eastAsia="zh-CN"/>
        </w:rPr>
      </w:pPr>
    </w:p>
    <w:p w14:paraId="4A52D9FA">
      <w:pPr>
        <w:jc w:val="center"/>
        <w:rPr>
          <w:rFonts w:ascii="Arial Narrow" w:hAnsi="Arial Narrow" w:eastAsia="仿宋_GB2312" w:cs="Arial Narrow"/>
          <w:sz w:val="24"/>
          <w:szCs w:val="24"/>
          <w:lang w:eastAsia="zh-CN"/>
        </w:rPr>
      </w:pPr>
    </w:p>
    <w:p w14:paraId="746B9D48">
      <w:pPr>
        <w:jc w:val="center"/>
        <w:rPr>
          <w:rFonts w:ascii="Arial Narrow" w:hAnsi="Arial Narrow" w:eastAsia="仿宋_GB2312" w:cs="Arial Narrow"/>
          <w:sz w:val="24"/>
          <w:szCs w:val="24"/>
          <w:lang w:eastAsia="zh-CN"/>
        </w:rPr>
      </w:pPr>
    </w:p>
    <w:p w14:paraId="7533591F">
      <w:pPr>
        <w:jc w:val="center"/>
        <w:rPr>
          <w:rFonts w:ascii="Arial Narrow" w:hAnsi="Arial Narrow" w:eastAsia="仿宋_GB2312" w:cs="Arial Narrow"/>
          <w:sz w:val="24"/>
          <w:szCs w:val="24"/>
          <w:lang w:eastAsia="zh-CN"/>
        </w:rPr>
      </w:pPr>
    </w:p>
    <w:p w14:paraId="6BC2A92B">
      <w:pPr>
        <w:jc w:val="center"/>
        <w:rPr>
          <w:rFonts w:ascii="Arial Narrow" w:hAnsi="Arial Narrow" w:eastAsia="仿宋_GB2312" w:cs="Arial Narrow"/>
          <w:sz w:val="24"/>
        </w:rPr>
      </w:pPr>
    </w:p>
    <w:p w14:paraId="3B38F05C">
      <w:pPr>
        <w:jc w:val="center"/>
        <w:rPr>
          <w:rFonts w:ascii="Arial Narrow" w:hAnsi="Arial Narrow" w:eastAsia="仿宋_GB2312" w:cs="Arial Narrow"/>
          <w:sz w:val="24"/>
        </w:rPr>
      </w:pPr>
    </w:p>
    <w:p w14:paraId="11D9B38E">
      <w:pPr>
        <w:jc w:val="center"/>
        <w:rPr>
          <w:rFonts w:ascii="Arial Narrow" w:hAnsi="Arial Narrow" w:eastAsia="仿宋_GB2312" w:cs="Arial Narrow"/>
          <w:sz w:val="24"/>
          <w:lang w:eastAsia="zh-CN"/>
        </w:rPr>
      </w:pPr>
    </w:p>
    <w:p w14:paraId="484D1633">
      <w:pPr>
        <w:jc w:val="center"/>
        <w:rPr>
          <w:rFonts w:ascii="Arial Narrow" w:hAnsi="Arial Narrow" w:eastAsia="仿宋_GB2312" w:cs="Arial Narrow"/>
          <w:sz w:val="24"/>
          <w:lang w:eastAsia="zh-CN"/>
        </w:rPr>
      </w:pPr>
    </w:p>
    <w:p w14:paraId="435068BD">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74015ED0">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49E923F8">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22C6680E">
      <w:pPr>
        <w:jc w:val="center"/>
        <w:rPr>
          <w:rFonts w:ascii="Arial Narrow" w:hAnsi="Arial Narrow" w:eastAsia="仿宋_GB2312" w:cs="Arial Narrow"/>
          <w:b/>
          <w:sz w:val="44"/>
          <w:szCs w:val="44"/>
          <w:lang w:eastAsia="zh-CN"/>
        </w:rPr>
      </w:pPr>
    </w:p>
    <w:p w14:paraId="2C6E67C3">
      <w:pPr>
        <w:jc w:val="center"/>
        <w:rPr>
          <w:rFonts w:ascii="Arial Narrow" w:hAnsi="Arial Narrow" w:eastAsia="仿宋_GB2312" w:cs="Arial Narrow"/>
          <w:b/>
          <w:sz w:val="44"/>
          <w:szCs w:val="44"/>
          <w:lang w:eastAsia="zh-CN"/>
        </w:rPr>
      </w:pPr>
    </w:p>
    <w:p w14:paraId="3B9B3F81">
      <w:pPr>
        <w:jc w:val="center"/>
        <w:rPr>
          <w:rFonts w:ascii="Arial Narrow" w:hAnsi="Arial Narrow" w:eastAsia="仿宋_GB2312" w:cs="Arial Narrow"/>
          <w:b/>
          <w:sz w:val="44"/>
          <w:szCs w:val="44"/>
          <w:lang w:eastAsia="zh-CN"/>
        </w:rPr>
      </w:pPr>
    </w:p>
    <w:p w14:paraId="7120F161">
      <w:pPr>
        <w:jc w:val="center"/>
        <w:rPr>
          <w:rFonts w:ascii="Arial Narrow" w:hAnsi="Arial Narrow" w:eastAsia="仿宋_GB2312" w:cs="Arial Narrow"/>
          <w:b/>
          <w:sz w:val="44"/>
          <w:szCs w:val="44"/>
          <w:lang w:eastAsia="zh-CN"/>
        </w:rPr>
      </w:pPr>
    </w:p>
    <w:p w14:paraId="15D8F1AF">
      <w:pPr>
        <w:jc w:val="center"/>
        <w:rPr>
          <w:rFonts w:ascii="Arial Narrow" w:hAnsi="Arial Narrow" w:eastAsia="仿宋_GB2312" w:cs="Arial Narrow"/>
          <w:b/>
          <w:sz w:val="44"/>
          <w:szCs w:val="44"/>
          <w:lang w:eastAsia="zh-CN"/>
        </w:rPr>
      </w:pPr>
    </w:p>
    <w:p w14:paraId="570DC69C">
      <w:pPr>
        <w:jc w:val="center"/>
        <w:rPr>
          <w:rFonts w:ascii="Arial Narrow" w:hAnsi="Arial Narrow" w:eastAsia="仿宋_GB2312" w:cs="Arial Narrow"/>
          <w:b/>
          <w:sz w:val="44"/>
          <w:szCs w:val="44"/>
          <w:lang w:eastAsia="zh-CN"/>
        </w:rPr>
      </w:pPr>
    </w:p>
    <w:p w14:paraId="3E35BAA4">
      <w:pPr>
        <w:jc w:val="center"/>
        <w:rPr>
          <w:rFonts w:ascii="Arial Narrow" w:hAnsi="Arial Narrow" w:eastAsia="仿宋_GB2312" w:cs="Arial Narrow"/>
          <w:b/>
          <w:sz w:val="44"/>
          <w:szCs w:val="44"/>
          <w:lang w:eastAsia="zh-CN"/>
        </w:rPr>
      </w:pPr>
    </w:p>
    <w:p w14:paraId="5E6901E9">
      <w:pPr>
        <w:jc w:val="center"/>
        <w:rPr>
          <w:rFonts w:ascii="Arial Narrow" w:hAnsi="Arial Narrow" w:eastAsia="仿宋_GB2312" w:cs="Arial Narrow"/>
          <w:b/>
          <w:sz w:val="44"/>
          <w:szCs w:val="44"/>
          <w:lang w:eastAsia="zh-CN"/>
        </w:rPr>
      </w:pPr>
    </w:p>
    <w:p w14:paraId="20910F31">
      <w:pPr>
        <w:jc w:val="center"/>
        <w:rPr>
          <w:rFonts w:ascii="Arial Narrow" w:hAnsi="Arial Narrow" w:eastAsia="仿宋_GB2312" w:cs="Arial Narrow"/>
          <w:b/>
          <w:sz w:val="44"/>
          <w:szCs w:val="44"/>
          <w:lang w:eastAsia="zh-CN"/>
        </w:rPr>
      </w:pPr>
    </w:p>
    <w:p w14:paraId="577ECACF">
      <w:pPr>
        <w:jc w:val="center"/>
        <w:rPr>
          <w:rFonts w:ascii="Arial Narrow" w:hAnsi="Arial Narrow" w:eastAsia="仿宋_GB2312" w:cs="Arial Narrow"/>
          <w:b/>
          <w:sz w:val="44"/>
          <w:szCs w:val="44"/>
          <w:lang w:eastAsia="zh-CN"/>
        </w:rPr>
      </w:pPr>
    </w:p>
    <w:p w14:paraId="0AC80A7B">
      <w:pPr>
        <w:jc w:val="center"/>
        <w:rPr>
          <w:rFonts w:ascii="Arial Narrow" w:hAnsi="Arial Narrow" w:eastAsia="仿宋_GB2312" w:cs="Arial Narrow"/>
          <w:b/>
          <w:sz w:val="44"/>
          <w:szCs w:val="44"/>
          <w:lang w:eastAsia="zh-CN"/>
        </w:rPr>
      </w:pPr>
    </w:p>
    <w:p w14:paraId="6320F5DF">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6043BD11">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16C986AC">
      <w:pPr>
        <w:jc w:val="center"/>
        <w:rPr>
          <w:rFonts w:hint="eastAsia" w:ascii="Arial Narrow" w:hAnsi="Arial Narrow" w:eastAsia="仿宋_GB2312" w:cs="Arial Narrow"/>
          <w:b/>
          <w:bCs/>
          <w:color w:val="0000FF"/>
          <w:sz w:val="24"/>
          <w:szCs w:val="44"/>
          <w:lang w:eastAsia="zh-CN"/>
        </w:rPr>
      </w:pPr>
    </w:p>
    <w:p w14:paraId="0A1BA4F0">
      <w:pPr>
        <w:jc w:val="center"/>
        <w:rPr>
          <w:rFonts w:ascii="Arial Narrow" w:hAnsi="Arial Narrow" w:eastAsia="仿宋_GB2312" w:cs="Arial Narrow"/>
          <w:b/>
          <w:sz w:val="24"/>
          <w:szCs w:val="32"/>
          <w:lang w:eastAsia="zh-CN"/>
        </w:rPr>
      </w:pPr>
    </w:p>
    <w:p w14:paraId="452988CF">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1607B72">
        <w:tblPrEx>
          <w:tblCellMar>
            <w:top w:w="0" w:type="dxa"/>
            <w:left w:w="108" w:type="dxa"/>
            <w:bottom w:w="0" w:type="dxa"/>
            <w:right w:w="108" w:type="dxa"/>
          </w:tblCellMar>
        </w:tblPrEx>
        <w:trPr>
          <w:trHeight w:val="851" w:hRule="exact"/>
        </w:trPr>
        <w:tc>
          <w:tcPr>
            <w:tcW w:w="6687" w:type="dxa"/>
            <w:vAlign w:val="center"/>
          </w:tcPr>
          <w:p w14:paraId="72B0BDFB">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12134615">
            <w:pPr>
              <w:rPr>
                <w:rFonts w:ascii="Arial Narrow" w:hAnsi="Arial Narrow" w:cs="宋体;SimSun"/>
                <w:b/>
                <w:bCs/>
                <w:color w:val="000000"/>
                <w:sz w:val="24"/>
                <w:szCs w:val="24"/>
                <w:lang w:eastAsia="zh-CN"/>
              </w:rPr>
            </w:pPr>
            <w:r>
              <w:rPr>
                <w:rFonts w:hint="eastAsia" w:ascii="Arial Narrow" w:hAnsi="Arial Narrow" w:cs="宋体;SimSun"/>
                <w:b/>
                <w:bCs/>
                <w:color w:val="000000"/>
                <w:sz w:val="24"/>
                <w:szCs w:val="24"/>
                <w:lang w:eastAsia="zh-CN"/>
              </w:rPr>
              <w:t>1-</w:t>
            </w:r>
            <w:r>
              <w:rPr>
                <w:rFonts w:ascii="Arial Narrow" w:hAnsi="Arial Narrow" w:cs="宋体;SimSun"/>
                <w:b/>
                <w:bCs/>
                <w:color w:val="FF0000"/>
                <w:sz w:val="24"/>
                <w:szCs w:val="24"/>
                <w:lang w:eastAsia="zh-CN"/>
              </w:rPr>
              <w:t>X</w:t>
            </w:r>
          </w:p>
        </w:tc>
      </w:tr>
      <w:tr w14:paraId="523F8767">
        <w:tblPrEx>
          <w:tblCellMar>
            <w:top w:w="0" w:type="dxa"/>
            <w:left w:w="108" w:type="dxa"/>
            <w:bottom w:w="0" w:type="dxa"/>
            <w:right w:w="108" w:type="dxa"/>
          </w:tblCellMar>
        </w:tblPrEx>
        <w:trPr>
          <w:trHeight w:val="851" w:hRule="exact"/>
        </w:trPr>
        <w:tc>
          <w:tcPr>
            <w:tcW w:w="6687" w:type="dxa"/>
            <w:vAlign w:val="center"/>
          </w:tcPr>
          <w:p w14:paraId="2C3ECF3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04E24C86">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1-2</w:t>
            </w:r>
          </w:p>
        </w:tc>
      </w:tr>
      <w:tr w14:paraId="1068F8FC">
        <w:tblPrEx>
          <w:tblCellMar>
            <w:top w:w="0" w:type="dxa"/>
            <w:left w:w="108" w:type="dxa"/>
            <w:bottom w:w="0" w:type="dxa"/>
            <w:right w:w="108" w:type="dxa"/>
          </w:tblCellMar>
        </w:tblPrEx>
        <w:trPr>
          <w:trHeight w:val="851" w:hRule="exact"/>
        </w:trPr>
        <w:tc>
          <w:tcPr>
            <w:tcW w:w="6687" w:type="dxa"/>
            <w:vAlign w:val="center"/>
          </w:tcPr>
          <w:p w14:paraId="211BACB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43E5D6E0">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3</w:t>
            </w:r>
          </w:p>
        </w:tc>
      </w:tr>
      <w:tr w14:paraId="0BE1CD39">
        <w:tblPrEx>
          <w:tblCellMar>
            <w:top w:w="0" w:type="dxa"/>
            <w:left w:w="108" w:type="dxa"/>
            <w:bottom w:w="0" w:type="dxa"/>
            <w:right w:w="108" w:type="dxa"/>
          </w:tblCellMar>
        </w:tblPrEx>
        <w:trPr>
          <w:trHeight w:val="851" w:hRule="exact"/>
        </w:trPr>
        <w:tc>
          <w:tcPr>
            <w:tcW w:w="6687" w:type="dxa"/>
            <w:vAlign w:val="center"/>
          </w:tcPr>
          <w:p w14:paraId="5E87EC3A">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5F405AE1">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4</w:t>
            </w:r>
          </w:p>
        </w:tc>
      </w:tr>
      <w:tr w14:paraId="7C32FE58">
        <w:tblPrEx>
          <w:tblCellMar>
            <w:top w:w="0" w:type="dxa"/>
            <w:left w:w="108" w:type="dxa"/>
            <w:bottom w:w="0" w:type="dxa"/>
            <w:right w:w="108" w:type="dxa"/>
          </w:tblCellMar>
        </w:tblPrEx>
        <w:trPr>
          <w:trHeight w:val="851" w:hRule="exact"/>
        </w:trPr>
        <w:tc>
          <w:tcPr>
            <w:tcW w:w="6687" w:type="dxa"/>
            <w:vAlign w:val="center"/>
          </w:tcPr>
          <w:p w14:paraId="2B497270">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57022406">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5-6</w:t>
            </w:r>
          </w:p>
        </w:tc>
      </w:tr>
      <w:tr w14:paraId="1D163389">
        <w:tblPrEx>
          <w:tblCellMar>
            <w:top w:w="0" w:type="dxa"/>
            <w:left w:w="108" w:type="dxa"/>
            <w:bottom w:w="0" w:type="dxa"/>
            <w:right w:w="108" w:type="dxa"/>
          </w:tblCellMar>
        </w:tblPrEx>
        <w:trPr>
          <w:trHeight w:val="851" w:hRule="exact"/>
        </w:trPr>
        <w:tc>
          <w:tcPr>
            <w:tcW w:w="6687" w:type="dxa"/>
            <w:vAlign w:val="center"/>
          </w:tcPr>
          <w:p w14:paraId="0FF6F60A">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7A3D4EB8">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7-</w:t>
            </w:r>
            <w:r>
              <w:rPr>
                <w:rFonts w:ascii="Arial Narrow" w:hAnsi="Arial Narrow" w:cs="宋体;SimSun"/>
                <w:b/>
                <w:bCs/>
                <w:color w:val="FF0000"/>
                <w:sz w:val="24"/>
                <w:szCs w:val="24"/>
                <w:lang w:eastAsia="zh-CN"/>
              </w:rPr>
              <w:t>X</w:t>
            </w:r>
          </w:p>
        </w:tc>
      </w:tr>
    </w:tbl>
    <w:p w14:paraId="3E95012E">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5220320F">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2822AE61">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0DBD59A6">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F22DB19">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0DABB1A">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33D7D26D">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61674F73">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302FCE8">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29BEF259">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0DBD59A6">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F22DB19">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0DABB1A">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33D7D26D">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61674F73">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302FCE8">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29BEF259">
                      <w:pPr>
                        <w:rPr>
                          <w:rFonts w:ascii="Arial Narrow" w:hAnsi="Arial Narrow" w:eastAsia="黑体;SimHei" w:cs="Arial Narrow"/>
                          <w:sz w:val="14"/>
                          <w:szCs w:val="14"/>
                        </w:rPr>
                      </w:pPr>
                    </w:p>
                  </w:txbxContent>
                </v:textbox>
              </v:shape>
            </w:pict>
          </mc:Fallback>
        </mc:AlternateContent>
      </w:r>
    </w:p>
    <w:p w14:paraId="1BCEDCEC">
      <w:pPr>
        <w:rPr>
          <w:rFonts w:ascii="Arial Narrow" w:hAnsi="Arial Narrow" w:eastAsia="仿宋_GB2312" w:cs="Arial Narrow"/>
          <w:sz w:val="24"/>
          <w:szCs w:val="24"/>
          <w:lang w:eastAsia="zh-CN"/>
        </w:rPr>
      </w:pPr>
    </w:p>
    <w:p w14:paraId="04537BB2">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1C3FB29C">
      <w:pPr>
        <w:spacing w:line="340" w:lineRule="atLeast"/>
        <w:jc w:val="both"/>
        <w:rPr>
          <w:rFonts w:ascii="Arial Narrow" w:hAnsi="Arial Narrow" w:eastAsia="仿宋_GB2312" w:cs="Arial Narrow"/>
          <w:b/>
          <w:color w:val="0000FF"/>
          <w:sz w:val="24"/>
          <w:szCs w:val="24"/>
          <w:lang w:eastAsia="zh-CN"/>
        </w:rPr>
      </w:pPr>
    </w:p>
    <w:p w14:paraId="50FCCEC7">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4FDDEC6C">
      <w:pPr>
        <w:spacing w:line="340" w:lineRule="atLeast"/>
        <w:rPr>
          <w:rFonts w:ascii="Arial Narrow" w:hAnsi="Arial Narrow" w:eastAsia="仿宋_GB2312" w:cs="Arial Narrow"/>
          <w:b/>
          <w:color w:val="FF0000"/>
          <w:sz w:val="24"/>
          <w:szCs w:val="24"/>
          <w:lang w:eastAsia="zh-CN"/>
        </w:rPr>
      </w:pPr>
    </w:p>
    <w:p w14:paraId="0AA78B3B">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r>
        <w:rPr>
          <w:rFonts w:hint="eastAsia" w:ascii="Times New Roman" w:hAnsi="Times New Roman" w:eastAsia="仿宋_GB2312" w:cs="Arial Narrow"/>
          <w:b/>
          <w:color w:val="auto"/>
          <w:spacing w:val="4"/>
          <w:sz w:val="24"/>
          <w:szCs w:val="24"/>
          <w:lang w:eastAsia="zh-CN"/>
        </w:rPr>
        <w:t>：</w:t>
      </w:r>
    </w:p>
    <w:p w14:paraId="7508DCA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无法表示意见</w:t>
      </w:r>
    </w:p>
    <w:p w14:paraId="6CFFA29B">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接受委托，审计{{company_full_name}}（以下简称{{company_short_name}}）财务报表，包括{{audit_period_end}}的合并及公司资产负债表，{{audit_year}}年度的合并及公司利润表、合并及公司现金流量表、合并及公司股东权益变动表以及相关财务报表附注。</w:t>
      </w:r>
      <w:bookmarkStart w:id="0" w:name="_GoBack"/>
      <w:bookmarkEnd w:id="0"/>
    </w:p>
    <w:p w14:paraId="0A103E60">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我们不对后附的{{company_short_name}}财务报表发表审计意见。由于“形成无法表示意见的基础”部分所述事项的重要性，我们无法获取充分、适当的审计证据以作为对合并财务报表发表审计意见的基础。</w:t>
      </w:r>
    </w:p>
    <w:p w14:paraId="2B5568F2">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二、形成无法表示意见的基础</w:t>
      </w:r>
    </w:p>
    <w:tbl>
      <w:tblPr>
        <w:tblStyle w:val="9"/>
        <w:tblW w:w="8335" w:type="dxa"/>
        <w:tblInd w:w="0" w:type="dxa"/>
        <w:tblLayout w:type="fixed"/>
        <w:tblCellMar>
          <w:top w:w="0" w:type="dxa"/>
          <w:left w:w="108" w:type="dxa"/>
          <w:bottom w:w="0" w:type="dxa"/>
          <w:right w:w="108" w:type="dxa"/>
        </w:tblCellMar>
      </w:tblPr>
      <w:tblGrid>
        <w:gridCol w:w="8335"/>
      </w:tblGrid>
      <w:tr w14:paraId="405944B8">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79CADF14">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7B571EBA">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如果因无法获取充分、适当的审计证据而导致发表非无保留意见，注册会计师应当在“形成审计意见的基础”部分说明无法获取审计证据的原因。</w:t>
            </w:r>
          </w:p>
          <w:p w14:paraId="7F8C31C7">
            <w:pPr>
              <w:widowControl w:val="0"/>
              <w:snapToGrid w:val="0"/>
              <w:spacing w:before="120" w:after="0" w:line="300" w:lineRule="auto"/>
              <w:ind w:left="0" w:leftChars="0" w:right="0" w:rightChars="0" w:firstLineChars="200"/>
              <w:jc w:val="both"/>
              <w:rPr>
                <w:rFonts w:hint="eastAsia"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w:t>
            </w:r>
            <w:r>
              <w:rPr>
                <w:rFonts w:hint="eastAsia" w:ascii="Arial Narrow" w:hAnsi="Arial Narrow" w:eastAsia="仿宋_GB2312" w:cs="Arial Narrow"/>
                <w:b/>
                <w:bCs/>
                <w:color w:val="FF0000"/>
                <w:sz w:val="24"/>
                <w:szCs w:val="24"/>
                <w:lang w:eastAsia="zh-CN"/>
              </w:rPr>
              <w:t>“受限”事项未能获取的审计证据内容，即应获取何种审计证据方可解决“受限”</w:t>
            </w:r>
            <w:r>
              <w:rPr>
                <w:rFonts w:hint="eastAsia" w:ascii="Arial Narrow" w:hAnsi="Arial Narrow" w:eastAsia="仿宋_GB2312" w:cs="Arial Narrow"/>
                <w:b/>
                <w:bCs/>
                <w:color w:val="0000FF"/>
                <w:sz w:val="24"/>
                <w:szCs w:val="24"/>
                <w:lang w:eastAsia="zh-CN"/>
              </w:rPr>
              <w:t>。</w:t>
            </w:r>
          </w:p>
        </w:tc>
      </w:tr>
    </w:tbl>
    <w:p w14:paraId="0680E070">
      <w:pPr>
        <w:snapToGrid w:val="0"/>
        <w:spacing w:line="300" w:lineRule="auto"/>
        <w:ind w:left="0" w:leftChars="0" w:right="0" w:rightChars="0" w:firstLineChars="200"/>
        <w:jc w:val="both"/>
        <w:rPr>
          <w:rFonts w:ascii="Arial Narrow" w:hAnsi="Arial Narrow" w:eastAsia="仿宋_GB2312" w:cs="Arial Narrow"/>
          <w:b/>
          <w:bCs/>
          <w:color w:val="0000FF"/>
          <w:sz w:val="24"/>
          <w:szCs w:val="24"/>
          <w:lang w:eastAsia="zh-CN"/>
        </w:rPr>
      </w:pPr>
    </w:p>
    <w:p w14:paraId="36E61B7B">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company_short_name}}对共同经营XYZ公司享有的利益份额在合并资产负债表中的金额（资产扣除负债后的净影响）为×元，占{{audit_period_end}}净资产的90%以上。我们未被允许接触XYZ公司的管理层和注册会计师，包括XYZ公司注册会计师的审计工作底稿。因此，我们无法确定是否有必要对XYZ公司资产中{{company_short_name}}共同控制的比例份额、XYZ公司负债中{{company_short_name}}共同承担的比例份额、XYZ公司收入和费用中{{company_short_name}}的比例份额，以及合并现金流量表和合并股东权益变动表中的要素作出调整。</w:t>
      </w:r>
    </w:p>
    <w:p w14:paraId="0083CEB4">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我们于2022年1月接受委托审计{{company_short_name}}财务报表，因而未能对{{company_short_name}}{{audit_year}}年初金额为×元的存货和年末金额为×元的存货实施监盘程序。此外，我们也无法实施替代审计程序获取充分、适当的审计证据。并且，{{company_short_name}}于{{audit_year}}年9月采用新的应收账款电算化系统，由于存在系统缺陷导致应收账款出现大量错误。截至报告日，{{company_short_name}}管理层（以下简称管理层）仍在纠正系统缺陷并更正错误，我们也无法实施替代审计程序，以对截至{{audit_period_end}}的应收账款总额×元获取充分、适当的审计证据。因此，我们无法确定是否有必要对存货、应收账款以及财务报表其他项目作出调整，也无法确定应调整的金额。</w:t>
      </w:r>
    </w:p>
    <w:p w14:paraId="24DFF741">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lang w:eastAsia="zh-CN"/>
        </w:rPr>
        <w:t>三</w:t>
      </w:r>
      <w:r>
        <w:rPr>
          <w:rFonts w:hint="eastAsia" w:ascii="Arial Narrow" w:hAnsi="Arial Narrow" w:eastAsia="仿宋_GB2312" w:cs="Arial Narrow"/>
          <w:b/>
          <w:bCs/>
          <w:sz w:val="24"/>
          <w:szCs w:val="24"/>
        </w:rPr>
        <w:t>、管理层和治理层对财务报表的责任</w:t>
      </w:r>
    </w:p>
    <w:p w14:paraId="160C791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{{company_short_name}}管理层（以下简称管理层）负责按照企业会计准则的规定编制财务报表，使其实现公允反映，并设计、执行和维护必要的内部控制，以使财务报表不存在由于舞弊或错误导致的重大错报。</w:t>
      </w:r>
    </w:p>
    <w:p w14:paraId="192C491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37AACA3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4E805EA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lang w:eastAsia="zh-CN"/>
        </w:rPr>
        <w:t>四</w:t>
      </w:r>
      <w:r>
        <w:rPr>
          <w:rFonts w:hint="eastAsia" w:ascii="Arial Narrow" w:hAnsi="Arial Narrow" w:eastAsia="仿宋_GB2312" w:cs="Arial Narrow"/>
          <w:b/>
          <w:bCs/>
          <w:sz w:val="24"/>
          <w:szCs w:val="24"/>
        </w:rPr>
        <w:t>、注册会计师对财务报表审计的责任</w:t>
      </w:r>
    </w:p>
    <w:p w14:paraId="2B0289B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责任是按照中国注册会计师审计准则的规定，对{{company_short_name}}的合并财务报表执行审计工作，以出具审计报告。但由于“形成无法表示意见的基础”部分所述的事项，我们无法获取充分、适当的审计证据以作为发表审计意见的基础。</w:t>
      </w:r>
    </w:p>
    <w:p w14:paraId="1FC1A366">
      <w:pPr>
        <w:spacing w:before="120" w:after="0" w:line="300" w:lineRule="auto"/>
        <w:ind w:left="0" w:leftChars="0" w:right="0" w:rightChars="0" w:firstLineChars="200" w:firstLine="42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按照中国注册会计师职业道德守则和中国注册会计师独立性准则对公众利益实体审计的独立性要求（如适用）/中国注册会计师独立性准则，我们独立于{{company_short_name}}，并履行了职业道德方面的其他责任。</w:t>
      </w:r>
    </w:p>
    <w:p w14:paraId="2C392827">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17D7549B">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09D19BBA">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35B905AE">
        <w:tblPrEx>
          <w:tblCellMar>
            <w:top w:w="0" w:type="dxa"/>
            <w:left w:w="108" w:type="dxa"/>
            <w:bottom w:w="0" w:type="dxa"/>
            <w:right w:w="108" w:type="dxa"/>
          </w:tblCellMar>
        </w:tblPrEx>
        <w:trPr>
          <w:trHeight w:val="1305" w:hRule="atLeast"/>
        </w:trPr>
        <w:tc>
          <w:tcPr>
            <w:tcW w:w="3108" w:type="dxa"/>
          </w:tcPr>
          <w:p w14:paraId="6A1C52F6">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36A1B870">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78E43D86">
            <w:pPr>
              <w:spacing w:line="340" w:lineRule="atLeast"/>
              <w:rPr>
                <w:rFonts w:ascii="Arial Narrow" w:hAnsi="Arial Narrow" w:eastAsia="仿宋_GB2312" w:cs="Arial Narrow"/>
                <w:color w:val="FF0000"/>
                <w:sz w:val="24"/>
                <w:szCs w:val="24"/>
                <w:highlight w:val="cyan"/>
                <w:lang w:val="en-AU" w:eastAsia="zh-CN"/>
              </w:rPr>
            </w:pPr>
          </w:p>
          <w:p w14:paraId="5091E94E">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74559835">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118E913">
            <w:pPr>
              <w:spacing w:line="340" w:lineRule="atLeast"/>
              <w:jc w:val="right"/>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（项目合伙人）</w:t>
            </w:r>
          </w:p>
          <w:p w14:paraId="2EC2BD9E">
            <w:pPr>
              <w:spacing w:line="340" w:lineRule="atLeast"/>
              <w:jc w:val="right"/>
              <w:rPr>
                <w:rFonts w:ascii="Arial Narrow" w:hAnsi="Arial Narrow" w:eastAsia="仿宋_GB2312" w:cs="Arial Narrow"/>
                <w:color w:val="FF0000"/>
                <w:sz w:val="24"/>
                <w:szCs w:val="24"/>
                <w:lang w:eastAsia="zh-CN"/>
              </w:rPr>
            </w:pPr>
          </w:p>
          <w:p w14:paraId="2544C4BC">
            <w:pPr>
              <w:spacing w:line="340" w:lineRule="atLeast"/>
              <w:jc w:val="right"/>
              <w:rPr>
                <w:rFonts w:ascii="Arial Narrow" w:hAnsi="Arial Narrow" w:eastAsia="仿宋_GB2312" w:cs="Arial Narrow"/>
                <w:sz w:val="24"/>
                <w:szCs w:val="24"/>
                <w:lang w:val="en-AU" w:eastAsia="zh-CN"/>
              </w:rPr>
            </w:pPr>
          </w:p>
          <w:p w14:paraId="36380351">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F17C5A3">
            <w:pPr>
              <w:spacing w:line="340" w:lineRule="atLeast"/>
              <w:jc w:val="right"/>
              <w:rPr>
                <w:rFonts w:ascii="Arial Narrow" w:hAnsi="Arial Narrow" w:eastAsia="仿宋_GB2312" w:cs="Arial Narrow"/>
                <w:color w:val="0000FF"/>
                <w:sz w:val="24"/>
                <w:szCs w:val="24"/>
                <w:lang w:eastAsia="zh-CN"/>
              </w:rPr>
            </w:pPr>
          </w:p>
        </w:tc>
        <w:tc>
          <w:tcPr>
            <w:tcW w:w="2204" w:type="dxa"/>
          </w:tcPr>
          <w:p w14:paraId="161D3DFE">
            <w:pPr>
              <w:snapToGrid w:val="0"/>
              <w:spacing w:line="340" w:lineRule="atLeast"/>
              <w:rPr>
                <w:rFonts w:ascii="Arial Narrow" w:hAnsi="Arial Narrow" w:eastAsia="仿宋_GB2312" w:cs="Arial Narrow"/>
                <w:color w:val="FF0000"/>
                <w:sz w:val="24"/>
                <w:szCs w:val="24"/>
                <w:lang w:eastAsia="zh-CN"/>
              </w:rPr>
            </w:pPr>
          </w:p>
          <w:p w14:paraId="7D4D4811">
            <w:pPr>
              <w:spacing w:line="200" w:lineRule="atLeast"/>
              <w:rPr>
                <w:rFonts w:ascii="Arial Narrow" w:hAnsi="Arial Narrow" w:eastAsia="仿宋_GB2312" w:cs="Arial Narrow"/>
                <w:color w:val="0000FF"/>
                <w:sz w:val="24"/>
                <w:szCs w:val="24"/>
                <w:lang w:eastAsia="zh-CN"/>
              </w:rPr>
            </w:pPr>
            <w:r>
              <w:rPr>
                <w:rFonts w:hint="eastAsia" w:ascii="Arial Narrow" w:hAnsi="Arial Narrow" w:eastAsia="仿宋_GB2312" w:cs="Arial Narrow"/>
                <w:color w:val="0000FF"/>
                <w:sz w:val="24"/>
                <w:szCs w:val="24"/>
                <w:lang w:eastAsia="zh-CN"/>
              </w:rPr>
              <w:t>【非上市实体删除</w:t>
            </w:r>
            <w:r>
              <w:rPr>
                <w:rFonts w:hint="eastAsia" w:ascii="Arial Narrow" w:hAnsi="Arial Narrow" w:eastAsia="仿宋_GB2312" w:cs="Arial Narrow"/>
                <w:color w:val="FF0000"/>
                <w:sz w:val="24"/>
                <w:szCs w:val="24"/>
                <w:lang w:eastAsia="zh-CN"/>
              </w:rPr>
              <w:t>（项目合伙人）</w:t>
            </w:r>
            <w:r>
              <w:rPr>
                <w:rFonts w:hint="eastAsia" w:ascii="Arial Narrow" w:hAnsi="Arial Narrow" w:eastAsia="仿宋_GB2312" w:cs="Arial Narrow"/>
                <w:color w:val="0000FF"/>
                <w:sz w:val="24"/>
                <w:szCs w:val="24"/>
                <w:lang w:eastAsia="zh-CN"/>
              </w:rPr>
              <w:t>】</w:t>
            </w:r>
          </w:p>
          <w:p w14:paraId="3751293A">
            <w:pPr>
              <w:spacing w:line="200" w:lineRule="atLeast"/>
              <w:rPr>
                <w:rFonts w:ascii="Arial Narrow" w:hAnsi="Arial Narrow" w:eastAsia="仿宋_GB2312" w:cs="Arial Narrow"/>
                <w:color w:val="0000FF"/>
                <w:sz w:val="24"/>
                <w:szCs w:val="24"/>
                <w:lang w:eastAsia="zh-CN"/>
              </w:rPr>
            </w:pPr>
          </w:p>
          <w:p w14:paraId="29C19725">
            <w:pPr>
              <w:spacing w:line="200" w:lineRule="atLeast"/>
              <w:rPr>
                <w:rFonts w:ascii="Arial Narrow" w:hAnsi="Arial Narrow" w:eastAsia="仿宋_GB2312" w:cs="Arial Narrow"/>
                <w:sz w:val="24"/>
                <w:szCs w:val="24"/>
                <w:lang w:eastAsia="zh-CN"/>
              </w:rPr>
            </w:pPr>
          </w:p>
          <w:p w14:paraId="00649626">
            <w:pPr>
              <w:spacing w:line="200" w:lineRule="atLeast"/>
              <w:rPr>
                <w:rFonts w:ascii="Arial Narrow" w:hAnsi="Arial Narrow" w:eastAsia="仿宋_GB2312" w:cs="Arial Narrow"/>
                <w:color w:val="FF0000"/>
                <w:sz w:val="24"/>
                <w:szCs w:val="24"/>
                <w:lang w:eastAsia="zh-CN"/>
              </w:rPr>
            </w:pPr>
          </w:p>
        </w:tc>
      </w:tr>
      <w:tr w14:paraId="1F655D45">
        <w:tblPrEx>
          <w:tblCellMar>
            <w:top w:w="0" w:type="dxa"/>
            <w:left w:w="108" w:type="dxa"/>
            <w:bottom w:w="0" w:type="dxa"/>
            <w:right w:w="108" w:type="dxa"/>
          </w:tblCellMar>
        </w:tblPrEx>
        <w:trPr>
          <w:trHeight w:val="507" w:hRule="atLeast"/>
        </w:trPr>
        <w:tc>
          <w:tcPr>
            <w:tcW w:w="3108" w:type="dxa"/>
          </w:tcPr>
          <w:p w14:paraId="776F40D2">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5223FDE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w:t>
            </w:r>
            <w:r>
              <w:rPr>
                <w:rFonts w:hint="eastAsia" w:ascii="Arial Narrow" w:hAnsi="Arial Narrow" w:eastAsia="仿宋_GB2312" w:cs="Arial Narrow"/>
                <w:color w:val="FF0000"/>
                <w:sz w:val="28"/>
                <w:szCs w:val="28"/>
                <w:lang w:eastAsia="zh-CN"/>
              </w:rPr>
              <w:t>○二二</w:t>
            </w:r>
            <w:r>
              <w:rPr>
                <w:rFonts w:hint="eastAsia" w:ascii="Arial Narrow" w:hAnsi="Arial Narrow" w:eastAsia="仿宋_GB2312" w:cs="Arial Narrow"/>
                <w:color w:val="FF0000"/>
                <w:sz w:val="24"/>
                <w:szCs w:val="24"/>
                <w:lang w:eastAsia="zh-CN"/>
              </w:rPr>
              <w:t>年X月XX日</w:t>
            </w:r>
          </w:p>
        </w:tc>
      </w:tr>
    </w:tbl>
    <w:p w14:paraId="2EBBA627">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宋体;SimSun">
    <w:altName w:val="宋体"/>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Univers;Arial">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459B4">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E51D7">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5662D">
    <w:pPr>
      <w:pStyle w:val="6"/>
      <w:jc w:val="center"/>
    </w:pPr>
    <w:r>
      <w:fldChar w:fldCharType="begin"/>
    </w:r>
    <w:r>
      <w:instrText xml:space="preserve"> PAGE </w:instrText>
    </w:r>
    <w:r>
      <w:fldChar w:fldCharType="separate"/>
    </w:r>
    <w:r>
      <w:t>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957F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0D097">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C7F54">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79FCA">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79B3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597570E2"/>
    <w:rsid w:val="65A235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宋体;SimSu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宋体;SimSu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宋体;SimSu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1451</Words>
  <Characters>2011</Characters>
  <TotalTime>68</TotalTime>
  <ScaleCrop>false</ScaleCrop>
  <LinksUpToDate>false</LinksUpToDate>
  <CharactersWithSpaces>2013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2026-06-09T15:14:59Z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23141C87E00C4914A2434A7653ECE4D3_12</vt:lpwstr>
  </property>
</Properties>
</file>