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20948">
      <w:pPr>
        <w:jc w:val="center"/>
        <w:rPr>
          <w:rFonts w:ascii="Arial Narrow" w:hAnsi="Arial Narrow" w:eastAsia="仿宋_GB2312" w:cs="Arial Narrow"/>
          <w:sz w:val="24"/>
          <w:szCs w:val="24"/>
          <w:lang w:eastAsia="zh-CN"/>
        </w:rPr>
      </w:pPr>
    </w:p>
    <w:p w14:paraId="1D5ECEF7">
      <w:pPr>
        <w:jc w:val="center"/>
        <w:rPr>
          <w:rFonts w:ascii="Arial Narrow" w:hAnsi="Arial Narrow" w:eastAsia="仿宋_GB2312" w:cs="Arial Narrow"/>
          <w:sz w:val="24"/>
          <w:szCs w:val="24"/>
          <w:lang w:eastAsia="zh-CN"/>
        </w:rPr>
      </w:pPr>
    </w:p>
    <w:p w14:paraId="423B9485">
      <w:pPr>
        <w:jc w:val="center"/>
        <w:rPr>
          <w:rFonts w:ascii="Arial Narrow" w:hAnsi="Arial Narrow" w:eastAsia="仿宋_GB2312" w:cs="Arial Narrow"/>
          <w:sz w:val="24"/>
          <w:szCs w:val="24"/>
          <w:lang w:eastAsia="zh-CN"/>
        </w:rPr>
      </w:pPr>
    </w:p>
    <w:p w14:paraId="5619ECDD">
      <w:pPr>
        <w:jc w:val="center"/>
        <w:rPr>
          <w:rFonts w:ascii="Arial Narrow" w:hAnsi="Arial Narrow" w:eastAsia="仿宋_GB2312" w:cs="Arial Narrow"/>
          <w:sz w:val="24"/>
          <w:szCs w:val="24"/>
          <w:lang w:eastAsia="zh-CN"/>
        </w:rPr>
      </w:pPr>
    </w:p>
    <w:p w14:paraId="3CC57B74">
      <w:pPr>
        <w:jc w:val="center"/>
        <w:rPr>
          <w:rFonts w:ascii="Arial Narrow" w:hAnsi="Arial Narrow" w:eastAsia="仿宋_GB2312" w:cs="Arial Narrow"/>
          <w:sz w:val="24"/>
        </w:rPr>
      </w:pPr>
    </w:p>
    <w:p w14:paraId="5E0AE826">
      <w:pPr>
        <w:jc w:val="center"/>
        <w:rPr>
          <w:rFonts w:ascii="Arial Narrow" w:hAnsi="Arial Narrow" w:eastAsia="仿宋_GB2312" w:cs="Arial Narrow"/>
          <w:sz w:val="24"/>
        </w:rPr>
      </w:pPr>
    </w:p>
    <w:p w14:paraId="1468F744">
      <w:pPr>
        <w:jc w:val="center"/>
        <w:rPr>
          <w:rFonts w:ascii="Arial Narrow" w:hAnsi="Arial Narrow" w:eastAsia="仿宋_GB2312" w:cs="Arial Narrow"/>
          <w:sz w:val="24"/>
          <w:lang w:eastAsia="zh-CN"/>
        </w:rPr>
      </w:pPr>
    </w:p>
    <w:p w14:paraId="4AE23BFF">
      <w:pPr>
        <w:jc w:val="center"/>
        <w:rPr>
          <w:rFonts w:ascii="Arial Narrow" w:hAnsi="Arial Narrow" w:eastAsia="仿宋_GB2312" w:cs="Arial Narrow"/>
          <w:sz w:val="24"/>
          <w:lang w:eastAsia="zh-CN"/>
        </w:rPr>
      </w:pPr>
    </w:p>
    <w:p w14:paraId="6E49DD7B">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46EDCDCD">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476D53BA">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4E43C50B">
      <w:pPr>
        <w:jc w:val="center"/>
        <w:rPr>
          <w:rFonts w:ascii="Arial Narrow" w:hAnsi="Arial Narrow" w:eastAsia="仿宋_GB2312" w:cs="Arial Narrow"/>
          <w:b/>
          <w:sz w:val="44"/>
          <w:szCs w:val="44"/>
          <w:lang w:eastAsia="zh-CN"/>
        </w:rPr>
      </w:pPr>
    </w:p>
    <w:p w14:paraId="6E54E7B0">
      <w:pPr>
        <w:jc w:val="center"/>
        <w:rPr>
          <w:rFonts w:ascii="Arial Narrow" w:hAnsi="Arial Narrow" w:eastAsia="仿宋_GB2312" w:cs="Arial Narrow"/>
          <w:b/>
          <w:sz w:val="44"/>
          <w:szCs w:val="44"/>
          <w:lang w:eastAsia="zh-CN"/>
        </w:rPr>
      </w:pPr>
    </w:p>
    <w:p w14:paraId="22E14182">
      <w:pPr>
        <w:jc w:val="center"/>
        <w:rPr>
          <w:rFonts w:ascii="Arial Narrow" w:hAnsi="Arial Narrow" w:eastAsia="仿宋_GB2312" w:cs="Arial Narrow"/>
          <w:b/>
          <w:sz w:val="44"/>
          <w:szCs w:val="44"/>
          <w:lang w:eastAsia="zh-CN"/>
        </w:rPr>
      </w:pPr>
    </w:p>
    <w:p w14:paraId="67A887F7">
      <w:pPr>
        <w:jc w:val="center"/>
        <w:rPr>
          <w:rFonts w:ascii="Arial Narrow" w:hAnsi="Arial Narrow" w:eastAsia="仿宋_GB2312" w:cs="Arial Narrow"/>
          <w:b/>
          <w:sz w:val="44"/>
          <w:szCs w:val="44"/>
          <w:lang w:eastAsia="zh-CN"/>
        </w:rPr>
      </w:pPr>
    </w:p>
    <w:p w14:paraId="11E14210">
      <w:pPr>
        <w:jc w:val="center"/>
        <w:rPr>
          <w:rFonts w:ascii="Arial Narrow" w:hAnsi="Arial Narrow" w:eastAsia="仿宋_GB2312" w:cs="Arial Narrow"/>
          <w:b/>
          <w:sz w:val="44"/>
          <w:szCs w:val="44"/>
          <w:lang w:eastAsia="zh-CN"/>
        </w:rPr>
      </w:pPr>
    </w:p>
    <w:p w14:paraId="0C2FFA1E">
      <w:pPr>
        <w:jc w:val="center"/>
        <w:rPr>
          <w:rFonts w:ascii="Arial Narrow" w:hAnsi="Arial Narrow" w:eastAsia="仿宋_GB2312" w:cs="Arial Narrow"/>
          <w:b/>
          <w:sz w:val="44"/>
          <w:szCs w:val="44"/>
          <w:lang w:eastAsia="zh-CN"/>
        </w:rPr>
      </w:pPr>
    </w:p>
    <w:p w14:paraId="46C1A401">
      <w:pPr>
        <w:jc w:val="center"/>
        <w:rPr>
          <w:rFonts w:ascii="Arial Narrow" w:hAnsi="Arial Narrow" w:eastAsia="仿宋_GB2312" w:cs="Arial Narrow"/>
          <w:b/>
          <w:sz w:val="44"/>
          <w:szCs w:val="44"/>
          <w:lang w:eastAsia="zh-CN"/>
        </w:rPr>
      </w:pPr>
    </w:p>
    <w:p w14:paraId="3FE79D1E">
      <w:pPr>
        <w:jc w:val="center"/>
        <w:rPr>
          <w:rFonts w:ascii="Arial Narrow" w:hAnsi="Arial Narrow" w:eastAsia="仿宋_GB2312" w:cs="Arial Narrow"/>
          <w:b/>
          <w:sz w:val="44"/>
          <w:szCs w:val="44"/>
          <w:lang w:eastAsia="zh-CN"/>
        </w:rPr>
      </w:pPr>
    </w:p>
    <w:p w14:paraId="468D1289">
      <w:pPr>
        <w:jc w:val="center"/>
        <w:rPr>
          <w:rFonts w:ascii="Arial Narrow" w:hAnsi="Arial Narrow" w:eastAsia="仿宋_GB2312" w:cs="Arial Narrow"/>
          <w:b/>
          <w:sz w:val="44"/>
          <w:szCs w:val="44"/>
          <w:lang w:eastAsia="zh-CN"/>
        </w:rPr>
      </w:pPr>
    </w:p>
    <w:p w14:paraId="05D03001">
      <w:pPr>
        <w:jc w:val="center"/>
        <w:rPr>
          <w:rFonts w:ascii="Arial Narrow" w:hAnsi="Arial Narrow" w:eastAsia="仿宋_GB2312" w:cs="Arial Narrow"/>
          <w:b/>
          <w:sz w:val="44"/>
          <w:szCs w:val="44"/>
          <w:lang w:eastAsia="zh-CN"/>
        </w:rPr>
      </w:pPr>
    </w:p>
    <w:p w14:paraId="1D1DAFE5">
      <w:pPr>
        <w:jc w:val="center"/>
        <w:rPr>
          <w:rFonts w:ascii="Arial Narrow" w:hAnsi="Arial Narrow" w:eastAsia="仿宋_GB2312" w:cs="Arial Narrow"/>
          <w:b/>
          <w:sz w:val="44"/>
          <w:szCs w:val="44"/>
          <w:lang w:eastAsia="zh-CN"/>
        </w:rPr>
      </w:pPr>
    </w:p>
    <w:p w14:paraId="4A6BD38D">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0F25256">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58198C1A">
      <w:pPr>
        <w:jc w:val="center"/>
        <w:rPr>
          <w:rFonts w:hint="eastAsia" w:ascii="Arial Narrow" w:hAnsi="Arial Narrow" w:eastAsia="仿宋_GB2312" w:cs="Arial Narrow"/>
          <w:b/>
          <w:bCs/>
          <w:color w:val="0000FF"/>
          <w:sz w:val="24"/>
          <w:szCs w:val="44"/>
          <w:lang w:eastAsia="zh-CN"/>
        </w:rPr>
      </w:pPr>
    </w:p>
    <w:p w14:paraId="068A7934">
      <w:pPr>
        <w:jc w:val="center"/>
        <w:rPr>
          <w:rFonts w:ascii="Arial Narrow" w:hAnsi="Arial Narrow" w:eastAsia="仿宋_GB2312" w:cs="Arial Narrow"/>
          <w:b/>
          <w:sz w:val="24"/>
          <w:szCs w:val="32"/>
          <w:lang w:eastAsia="zh-CN"/>
        </w:rPr>
      </w:pPr>
    </w:p>
    <w:p w14:paraId="181FE359">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5A6A4B03">
        <w:tblPrEx>
          <w:tblCellMar>
            <w:top w:w="0" w:type="dxa"/>
            <w:left w:w="108" w:type="dxa"/>
            <w:bottom w:w="0" w:type="dxa"/>
            <w:right w:w="108" w:type="dxa"/>
          </w:tblCellMar>
        </w:tblPrEx>
        <w:trPr>
          <w:trHeight w:val="851" w:hRule="exact"/>
        </w:trPr>
        <w:tc>
          <w:tcPr>
            <w:tcW w:w="6687" w:type="dxa"/>
            <w:vAlign w:val="center"/>
          </w:tcPr>
          <w:p w14:paraId="47AA97BE">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12EE04E1">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54794735">
        <w:tblPrEx>
          <w:tblCellMar>
            <w:top w:w="0" w:type="dxa"/>
            <w:left w:w="108" w:type="dxa"/>
            <w:bottom w:w="0" w:type="dxa"/>
            <w:right w:w="108" w:type="dxa"/>
          </w:tblCellMar>
        </w:tblPrEx>
        <w:trPr>
          <w:trHeight w:val="851" w:hRule="exact"/>
        </w:trPr>
        <w:tc>
          <w:tcPr>
            <w:tcW w:w="6687" w:type="dxa"/>
            <w:vAlign w:val="center"/>
          </w:tcPr>
          <w:p w14:paraId="7F25B9C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6BB1A4D1">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4602C2B3">
        <w:tblPrEx>
          <w:tblCellMar>
            <w:top w:w="0" w:type="dxa"/>
            <w:left w:w="108" w:type="dxa"/>
            <w:bottom w:w="0" w:type="dxa"/>
            <w:right w:w="108" w:type="dxa"/>
          </w:tblCellMar>
        </w:tblPrEx>
        <w:trPr>
          <w:trHeight w:val="851" w:hRule="exact"/>
        </w:trPr>
        <w:tc>
          <w:tcPr>
            <w:tcW w:w="6687" w:type="dxa"/>
            <w:vAlign w:val="center"/>
          </w:tcPr>
          <w:p w14:paraId="2E192B7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1B7B5FD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23663616">
        <w:tblPrEx>
          <w:tblCellMar>
            <w:top w:w="0" w:type="dxa"/>
            <w:left w:w="108" w:type="dxa"/>
            <w:bottom w:w="0" w:type="dxa"/>
            <w:right w:w="108" w:type="dxa"/>
          </w:tblCellMar>
        </w:tblPrEx>
        <w:trPr>
          <w:trHeight w:val="851" w:hRule="exact"/>
        </w:trPr>
        <w:tc>
          <w:tcPr>
            <w:tcW w:w="6687" w:type="dxa"/>
            <w:vAlign w:val="center"/>
          </w:tcPr>
          <w:p w14:paraId="57AAB37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6C23F5C1">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5756296B">
        <w:tblPrEx>
          <w:tblCellMar>
            <w:top w:w="0" w:type="dxa"/>
            <w:left w:w="108" w:type="dxa"/>
            <w:bottom w:w="0" w:type="dxa"/>
            <w:right w:w="108" w:type="dxa"/>
          </w:tblCellMar>
        </w:tblPrEx>
        <w:trPr>
          <w:trHeight w:val="851" w:hRule="exact"/>
        </w:trPr>
        <w:tc>
          <w:tcPr>
            <w:tcW w:w="6687" w:type="dxa"/>
            <w:vAlign w:val="center"/>
          </w:tcPr>
          <w:p w14:paraId="21FA301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2CF6ED6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64E50478">
        <w:tblPrEx>
          <w:tblCellMar>
            <w:top w:w="0" w:type="dxa"/>
            <w:left w:w="108" w:type="dxa"/>
            <w:bottom w:w="0" w:type="dxa"/>
            <w:right w:w="108" w:type="dxa"/>
          </w:tblCellMar>
        </w:tblPrEx>
        <w:trPr>
          <w:trHeight w:val="851" w:hRule="exact"/>
        </w:trPr>
        <w:tc>
          <w:tcPr>
            <w:tcW w:w="6687" w:type="dxa"/>
            <w:vAlign w:val="center"/>
          </w:tcPr>
          <w:p w14:paraId="4F2D655F">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7209CDF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1FADF2D0">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41B2B41F">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51F894E3">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7E195F49">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50C38F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EB860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C9918F5">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0ACCB92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5EE7F9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FCE555E">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7E195F49">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50C38F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EB860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C9918F5">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0ACCB92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5EE7F9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FCE555E">
                      <w:pPr>
                        <w:rPr>
                          <w:rFonts w:ascii="Arial Narrow" w:hAnsi="Arial Narrow" w:eastAsia="黑体;SimHei" w:cs="Arial Narrow"/>
                          <w:sz w:val="14"/>
                          <w:szCs w:val="14"/>
                        </w:rPr>
                      </w:pPr>
                    </w:p>
                  </w:txbxContent>
                </v:textbox>
              </v:shape>
            </w:pict>
          </mc:Fallback>
        </mc:AlternateContent>
      </w:r>
    </w:p>
    <w:p w14:paraId="0CB43A74">
      <w:pPr>
        <w:rPr>
          <w:rFonts w:ascii="Arial Narrow" w:hAnsi="Arial Narrow" w:eastAsia="仿宋_GB2312" w:cs="Arial Narrow"/>
          <w:sz w:val="24"/>
          <w:szCs w:val="24"/>
          <w:lang w:eastAsia="zh-CN"/>
        </w:rPr>
      </w:pPr>
    </w:p>
    <w:p w14:paraId="5E26DE0A">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59689273">
      <w:pPr>
        <w:spacing w:line="340" w:lineRule="atLeast"/>
        <w:jc w:val="both"/>
        <w:rPr>
          <w:rFonts w:ascii="Arial Narrow" w:hAnsi="Arial Narrow" w:eastAsia="仿宋_GB2312" w:cs="Arial Narrow"/>
          <w:b/>
          <w:color w:val="0000FF"/>
          <w:sz w:val="24"/>
          <w:szCs w:val="24"/>
          <w:lang w:eastAsia="zh-CN"/>
        </w:rPr>
      </w:pPr>
    </w:p>
    <w:p w14:paraId="61B196E9">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68C6934A">
      <w:pPr>
        <w:spacing w:line="340" w:lineRule="atLeast"/>
        <w:rPr>
          <w:rFonts w:ascii="Arial Narrow" w:hAnsi="Arial Narrow" w:eastAsia="仿宋_GB2312" w:cs="Arial Narrow"/>
          <w:b/>
          <w:color w:val="FF0000"/>
          <w:sz w:val="24"/>
          <w:szCs w:val="24"/>
          <w:lang w:eastAsia="zh-CN"/>
        </w:rPr>
      </w:pPr>
    </w:p>
    <w:p w14:paraId="412B4345">
      <w:pPr>
        <w:numPr>
          <w:ilvl w:val="0"/>
          <w:numId w:val="0"/>
        </w:numPr>
        <w:spacing w:before="120" w:after="0" w:line="300" w:lineRule="auto"/>
        <w:ind w:firstLine="0"/>
        <w:outlineLvl w:val="0"/>
        <w:rPr>
          <w:rFonts w:hint="default" w:ascii="Arial Narrow" w:hAnsi="Arial Narrow" w:eastAsia="仿宋_GB2312" w:cs="Arial Narrow"/>
          <w:b/>
          <w:color w:val="auto"/>
          <w:sz w:val="24"/>
          <w:szCs w:val="24"/>
          <w:lang w:eastAsia="zh-CN"/>
        </w:rPr>
      </w:pPr>
      <w:r>
        <w:rPr>
          <w:rFonts w:hint="default" w:ascii="Arial Narrow" w:hAnsi="Arial Narrow" w:eastAsia="仿宋_GB2312" w:cs="Arial Narrow"/>
          <w:b/>
          <w:color w:val="auto"/>
          <w:spacing w:val="4"/>
          <w:sz w:val="24"/>
          <w:szCs w:val="24"/>
          <w:lang w:eastAsia="zh-CN"/>
        </w:rPr>
        <w:t>{{company_full_name}}全体股东：</w:t>
      </w:r>
    </w:p>
    <w:p w14:paraId="5254AC72">
      <w:pPr>
        <w:numPr>
          <w:ilvl w:val="0"/>
          <w:numId w:val="0"/>
        </w:numPr>
        <w:spacing w:before="120" w:after="120" w:line="300" w:lineRule="auto"/>
        <w:ind w:left="0" w:leftChars="0" w:right="0" w:rightChars="0" w:firstLineChars="200"/>
        <w:jc w:val="both"/>
        <w:outlineLvl w:val="0"/>
        <w:rPr>
          <w:rFonts w:hint="default" w:ascii="Arial Narrow" w:hAnsi="Arial Narrow" w:eastAsia="仿宋_GB2312" w:cs="Arial Narrow"/>
          <w:b/>
          <w:spacing w:val="4"/>
          <w:sz w:val="24"/>
          <w:szCs w:val="24"/>
          <w:lang w:eastAsia="zh-CN"/>
        </w:rPr>
      </w:pPr>
      <w:r>
        <w:rPr>
          <w:rFonts w:hint="default" w:ascii="Arial Narrow" w:hAnsi="Arial Narrow" w:eastAsia="仿宋_GB2312" w:cs="Arial Narrow"/>
          <w:b/>
          <w:bCs/>
          <w:sz w:val="24"/>
          <w:szCs w:val="24"/>
        </w:rPr>
        <w:t>一、审计意见</w:t>
      </w:r>
    </w:p>
    <w:p w14:paraId="78582A23">
      <w:pPr>
        <w:spacing w:before="120" w:after="0" w:line="300" w:lineRule="auto"/>
        <w:ind w:left="0" w:leftChars="0" w:right="0" w:rightChars="0" w:firstLine="480" w:firstLineChars="200"/>
        <w:jc w:val="both"/>
        <w:rPr>
          <w:rFonts w:hint="default" w:ascii="Arial Narrow" w:hAnsi="Arial Narrow" w:eastAsia="仿宋_GB2312" w:cs="Arial Narrow"/>
          <w:sz w:val="24"/>
          <w:szCs w:val="24"/>
          <w:lang w:eastAsia="zh-CN"/>
        </w:rPr>
      </w:pPr>
      <w:r>
        <w:rPr>
          <w:rFonts w:hint="default" w:ascii="Arial Narrow" w:hAnsi="Arial Narrow" w:eastAsia="仿宋_GB2312" w:cs="Arial Narrow"/>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70C48DCF">
      <w:pPr>
        <w:spacing w:before="120" w:after="0" w:line="300" w:lineRule="auto"/>
        <w:ind w:left="0" w:leftChars="0" w:right="0" w:rightChars="0" w:firstLine="480" w:firstLineChars="200"/>
        <w:jc w:val="both"/>
        <w:rPr>
          <w:rFonts w:hint="default" w:ascii="Arial Narrow" w:hAnsi="Arial Narrow" w:eastAsia="仿宋_GB2312" w:cs="Arial Narrow"/>
          <w:sz w:val="24"/>
          <w:szCs w:val="24"/>
          <w:lang w:eastAsia="zh-CN"/>
        </w:rPr>
      </w:pPr>
      <w:r>
        <w:rPr>
          <w:rFonts w:hint="default" w:ascii="Arial Narrow" w:hAnsi="Arial Narrow" w:eastAsia="仿宋_GB2312" w:cs="Arial Narrow"/>
          <w:sz w:val="24"/>
          <w:szCs w:val="24"/>
          <w:lang w:eastAsia="zh-CN"/>
        </w:rPr>
        <w:t>我们认为，后附的财务报表在所有重大方面按照企业会计准则的规定编制，公允反映了{{company_short_name}}{{audit_period_end}}的财务状况以及{{audit_year}}年度的经营成果和现金流量。</w:t>
      </w:r>
    </w:p>
    <w:p w14:paraId="14331B90">
      <w:pPr>
        <w:numPr>
          <w:ilvl w:val="0"/>
          <w:numId w:val="0"/>
        </w:numPr>
        <w:spacing w:before="120" w:after="120" w:line="300" w:lineRule="auto"/>
        <w:ind w:left="0" w:leftChars="0" w:right="0" w:rightChars="0" w:firstLineChars="200"/>
        <w:jc w:val="both"/>
        <w:outlineLvl w:val="0"/>
        <w:rPr>
          <w:rFonts w:hint="default" w:ascii="Arial Narrow" w:hAnsi="Arial Narrow" w:eastAsia="仿宋_GB2312" w:cs="Arial Narrow"/>
          <w:b/>
          <w:bCs/>
          <w:sz w:val="24"/>
          <w:szCs w:val="24"/>
        </w:rPr>
      </w:pPr>
      <w:r>
        <w:rPr>
          <w:rFonts w:hint="default" w:ascii="Arial Narrow" w:hAnsi="Arial Narrow" w:eastAsia="仿宋_GB2312" w:cs="Arial Narrow"/>
          <w:b/>
          <w:bCs/>
          <w:sz w:val="24"/>
          <w:szCs w:val="24"/>
        </w:rPr>
        <w:t>二、形成审计意见的基础</w:t>
      </w:r>
    </w:p>
    <w:p w14:paraId="104E9D13">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default" w:ascii="Arial Narrow" w:hAnsi="Arial Narrow" w:eastAsia="仿宋_GB2312" w:cs="Arial Narrow"/>
          <w:spacing w:val="4"/>
          <w:sz w:val="24"/>
          <w:szCs w:val="24"/>
          <w:lang w:eastAsia="zh-CN"/>
        </w:rPr>
        <w:t>我们按照中国注册会计师审计准则的规定执行了审计工作。审计报告的“注册会计师对财务报表审计的责任”部分进一步</w:t>
      </w:r>
      <w:r>
        <w:rPr>
          <w:rFonts w:hint="eastAsia" w:ascii="Times New Roman" w:hAnsi="Times New Roman" w:eastAsia="仿宋_GB2312" w:cs="宋体;SimSun"/>
          <w:spacing w:val="4"/>
          <w:sz w:val="24"/>
          <w:szCs w:val="24"/>
          <w:lang w:eastAsia="zh-CN"/>
        </w:rPr>
        <w:t>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审计意见提供了基础。</w:t>
      </w:r>
    </w:p>
    <w:p w14:paraId="5F5AAAFB">
      <w:pPr>
        <w:numPr>
          <w:ilvl w:val="0"/>
          <w:numId w:val="0"/>
        </w:numPr>
        <w:spacing w:before="120" w:after="120" w:line="300" w:lineRule="auto"/>
        <w:ind w:left="0" w:leftChars="0" w:right="0" w:rightChars="0" w:firstLine="482" w:firstLineChars="200"/>
        <w:jc w:val="both"/>
        <w:outlineLvl w:val="0"/>
        <w:rPr>
          <w:rFonts w:ascii="Arial Narrow" w:hAnsi="Arial Narrow" w:eastAsia="仿宋_GB2312" w:cs="Arial Narrow"/>
          <w:b/>
          <w:bCs/>
          <w:color w:val="0000FF"/>
          <w:sz w:val="24"/>
          <w:szCs w:val="24"/>
          <w:lang w:eastAsia="zh-CN"/>
        </w:rPr>
      </w:pPr>
      <w:r>
        <w:rPr>
          <w:rFonts w:ascii="Times New Roman" w:hAnsi="Times New Roman" w:eastAsia="仿宋_GB2312" w:cs="Arial Narrow"/>
          <w:b/>
          <w:bCs/>
          <w:color w:val="FF0000"/>
          <w:sz w:val="24"/>
          <w:szCs w:val="24"/>
          <w:lang w:eastAsia="zh-CN"/>
        </w:rPr>
        <w:t>X、与持续经营相关的重大不确定性</w:t>
      </w:r>
    </w:p>
    <w:p w14:paraId="4D3FADF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提醒财务报表使用者关注，如财务报表附注×所述，{{company_short_name}}{{audit_year}}年发生净亏损×元，且于{{audit_period_end}}，{{company_short_name}}流动负债高于资产总额×元；这些事项或情况，连同财务报表附注×所示的其他事项，表明存在可能导致对{{company_short_name}}持续经营能力产生重大疑虑的重大不确定性。该事项不影响已发表的审计意见。</w:t>
      </w:r>
    </w:p>
    <w:p w14:paraId="7BE05DB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i/>
          <w:color w:val="0000FF"/>
          <w:sz w:val="24"/>
          <w:szCs w:val="24"/>
          <w:lang w:eastAsia="zh-CN"/>
        </w:rPr>
      </w:pPr>
      <w:r>
        <w:rPr>
          <w:rFonts w:ascii="Arial Narrow" w:hAnsi="Arial Narrow" w:eastAsia="仿宋_GB2312" w:cs="Arial Narrow"/>
          <w:b/>
          <w:bCs/>
          <w:color w:val="FF0000"/>
          <w:sz w:val="24"/>
          <w:szCs w:val="24"/>
          <w:lang w:eastAsia="zh-CN"/>
        </w:rPr>
        <w:t>X、强调事项</w:t>
      </w:r>
    </w:p>
    <w:p w14:paraId="12BA4573">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我们提醒财务报表使用者关注，</w:t>
      </w:r>
      <w:r>
        <w:rPr>
          <w:rFonts w:hint="eastAsia" w:ascii="Times New Roman" w:hAnsi="Times New Roman" w:eastAsia="仿宋_GB2312" w:cs="Arial Narrow"/>
          <w:color w:val="FF0000"/>
          <w:sz w:val="24"/>
          <w:szCs w:val="24"/>
          <w:lang w:eastAsia="zh-CN"/>
        </w:rPr>
        <w:t>财务报表附注</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描述了</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影响</w:t>
      </w:r>
      <w:r>
        <w:rPr>
          <w:rFonts w:hint="eastAsia" w:ascii="Times New Roman" w:hAnsi="Times New Roman" w:eastAsia="仿宋_GB2312" w:cs="Arial Narrow"/>
          <w:sz w:val="24"/>
          <w:szCs w:val="24"/>
          <w:lang w:eastAsia="zh-CN"/>
        </w:rPr>
        <w:t>。本段内容不影响已发表的审计意见。</w:t>
      </w:r>
    </w:p>
    <w:p w14:paraId="0BBC74BA">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ascii="Arial Narrow" w:hAnsi="Arial Narrow" w:eastAsia="仿宋_GB2312" w:cs="Arial Narrow"/>
          <w:b/>
          <w:bCs/>
          <w:color w:val="FF0000"/>
          <w:sz w:val="24"/>
          <w:szCs w:val="24"/>
          <w:lang w:eastAsia="zh-CN"/>
        </w:rPr>
        <w:t>X、其他信息</w:t>
      </w:r>
    </w:p>
    <w:p w14:paraId="04CAC5F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{{company_short_name}}管理层对其他信息负责。其他信息包括{{company_short_name}}{{audit_year}}年年度报告中涵盖的信息，但不包括财务报表和我们的审计报告。</w:t>
      </w:r>
    </w:p>
    <w:p w14:paraId="29D9FFA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30656B2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591D174E">
      <w:pPr>
        <w:spacing w:before="120" w:after="0" w:line="300" w:lineRule="auto"/>
        <w:ind w:left="0" w:leftChars="0" w:right="0" w:rightChars="0" w:firstLine="496" w:firstLineChars="20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基于我们已执行的工作，如果我们确定其他信息存在重大错报，我们应当报告该事实。如下所述，我们确定其他信息存在重大错报。</w:t>
      </w:r>
    </w:p>
    <w:p w14:paraId="68F18610">
      <w:pPr>
        <w:spacing w:before="120" w:after="0" w:line="300" w:lineRule="auto"/>
        <w:ind w:left="0" w:leftChars="0" w:right="0" w:rightChars="0" w:firstLineChars="200"/>
        <w:jc w:val="both"/>
        <w:rPr>
          <w:rFonts w:ascii="Arial Narrow" w:hAnsi="Arial Narrow" w:eastAsia="仿宋_GB2312" w:cs="Arial Narrow"/>
          <w:i/>
          <w:color w:val="0000FF"/>
          <w:spacing w:val="4"/>
          <w:sz w:val="24"/>
          <w:szCs w:val="24"/>
          <w:lang w:eastAsia="zh-CN"/>
        </w:rPr>
      </w:pPr>
    </w:p>
    <w:p w14:paraId="1F88C64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{{company_short_name}}管理层对其他信息负责。其他信息包括X报告（但不包括财务报表和我们的审计报告）和Y报告。我们在审计报告日前已获取X报告，而Y报告预期将在审计报告日后提供给我们。</w:t>
      </w:r>
    </w:p>
    <w:p w14:paraId="0093343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3873C12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4F770B79">
      <w:pPr>
        <w:spacing w:before="120" w:after="0" w:line="300" w:lineRule="auto"/>
        <w:ind w:left="0" w:leftChars="0" w:right="0" w:rightChars="0" w:firstLine="496" w:firstLineChars="20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基于我们对审计报告日前获取的其他信息已执行的工作，如果我们确定其他信息存在重大错报，我们应当报告该事实。如下所述，我们确定其他信息存在重大错报。</w:t>
      </w:r>
    </w:p>
    <w:p w14:paraId="779A40A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当我们阅读Y报告后，如果确定其中存在重大错报，审计准则要求我们与治理层沟通该事项并采取。</w:t>
      </w:r>
    </w:p>
    <w:p w14:paraId="16D67C6C">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ascii="Arial Narrow" w:hAnsi="Arial Narrow" w:eastAsia="仿宋_GB2312" w:cs="Arial Narrow"/>
          <w:b/>
          <w:bCs/>
          <w:color w:val="FF0000"/>
          <w:sz w:val="24"/>
          <w:szCs w:val="24"/>
          <w:lang w:eastAsia="zh-CN"/>
        </w:rPr>
        <w:t>X、其他事项</w:t>
      </w:r>
    </w:p>
    <w:p w14:paraId="00D3E864">
      <w:pPr>
        <w:spacing w:before="120" w:after="0" w:line="300" w:lineRule="auto"/>
        <w:ind w:left="0" w:leftChars="0" w:right="0" w:rightChars="0" w:firstLine="496" w:firstLineChars="200"/>
        <w:jc w:val="both"/>
        <w:rPr>
          <w:rFonts w:ascii="Arial Narrow" w:hAnsi="Arial Narrow" w:eastAsia="仿宋_GB2312" w:cs="Arial Narrow"/>
          <w:color w:val="FF0000"/>
          <w:spacing w:val="4"/>
          <w:sz w:val="24"/>
          <w:szCs w:val="24"/>
          <w:lang w:eastAsia="zh-CN"/>
        </w:rPr>
      </w:pPr>
      <w:r>
        <w:rPr>
          <w:rFonts w:ascii="Times New Roman" w:hAnsi="Times New Roman" w:eastAsia="仿宋_GB2312" w:cs="Arial Narrow"/>
          <w:color w:val="FF0000"/>
          <w:spacing w:val="4"/>
          <w:sz w:val="24"/>
          <w:szCs w:val="24"/>
          <w:lang w:eastAsia="zh-CN"/>
        </w:rPr>
        <w:t>{{prior_period_end}}的资产负债表，2024年度的利润表、现金流量表、股东权益变动表以及相关财务报表附注由其他会计师事务所审计，并于{{audit_year}}年3月31日发表了无保留意见。</w:t>
      </w:r>
    </w:p>
    <w:p w14:paraId="5AC89AE7">
      <w:r>
        <w:t>##OPT:other_information:其他信息##</w:t>
      </w:r>
    </w:p>
    <w:p w14:paraId="2A24767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四、其他信息</w:t>
      </w:r>
    </w:p>
    <w:p w14:paraId="76B9865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{{company_short_name}}管理层（以下简称管理层）对其他信息负责。其他信息包括{{company_short_name}}{{audit_year}}年年度报告中涵盖的信息，但不包括财务报表和我们的审计报告。</w:t>
      </w:r>
    </w:p>
    <w:p w14:paraId="52F95415">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20D42D3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663F7CB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基于我们已执行的工作，如果我们确定其他信息存在重大错报，我们应当报告该事实。在这方面，我们无任何事项需要报告。</w:t>
      </w:r>
    </w:p>
    <w:p w14:paraId="2B1A156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{{company_short_name}}管理层对其他信息负责。我们在审计报告日前已获取的其他信息包括X报告中涵盖的信息，但不包括财务报表和我们的审计报告。</w:t>
      </w:r>
    </w:p>
    <w:p w14:paraId="4355369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3181FBC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7E7EB0D5">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基于我们对审计报告日前获取的其他信息已执行的工作，如果我们确定其他信息存在重大错报，我们应当报告该事实。在这方面，我们无任何事项需要报告。</w:t>
      </w:r>
    </w:p>
    <w:p w14:paraId="6B37C70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当我们阅读Y报告后，如果确定其中存在重大错报，审计准则要求我们与治理层沟通该事项并采取</w:t>
      </w:r>
    </w:p>
    <w:p w14:paraId="1F0B899A">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{{company_short_name}}管理层对其他信息负责。其他信息包括X报告中涵盖的信息，但不包括财务报表和我们的审计报告。X报告预期将在审计报告日后提供给我们。</w:t>
      </w:r>
    </w:p>
    <w:p w14:paraId="10EA7B1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1601201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结合我们对财务报表的审计，我们的责任是在能够获取上述其他信息时阅读这些信息，在此过程中，考虑其他信息是否与财务报表或我们在审计过程中了解到的情况存在重大不一致或者似乎存在重大错报。</w:t>
      </w:r>
    </w:p>
    <w:p w14:paraId="7D1C0F5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当我们阅读X报告后，如果确定其中存在重大错报，审计准则要求我们与治理层沟通该事项并采取</w:t>
      </w:r>
    </w:p>
    <w:p w14:paraId="33C172BD">
      <w:r>
        <w:t>##/OPT:other_information##</w:t>
      </w:r>
    </w:p>
    <w:p w14:paraId="5AA65D1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五、管理层和治理层对财务报表的责任</w:t>
      </w:r>
    </w:p>
    <w:p w14:paraId="7041148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412BE23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5256C03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6061E05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六、注册会计师对财务报表审计的责任</w:t>
      </w:r>
    </w:p>
    <w:p w14:paraId="0B7F5E3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65DA10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6D1DC58B">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59519F1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57CF03D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9BE8C8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5029953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w:t>
      </w:r>
      <w:bookmarkStart w:id="0" w:name="_GoBack"/>
      <w:bookmarkEnd w:id="0"/>
      <w:r>
        <w:rPr>
          <w:rFonts w:hint="eastAsia" w:ascii="Times New Roman" w:hAnsi="Times New Roman" w:eastAsia="仿宋_GB2312" w:cs="Arial Narrow"/>
          <w:spacing w:val="4"/>
          <w:sz w:val="24"/>
          <w:szCs w:val="24"/>
          <w:lang w:eastAsia="zh-CN"/>
        </w:rPr>
        <w:t>和内容（包括披露），并评价财务报表是否公允反映相关交易和事项。</w:t>
      </w:r>
    </w:p>
    <w:p w14:paraId="438E283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6C39DA58">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0050D5CB">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77555F23">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1B2FC0FB">
        <w:tblPrEx>
          <w:tblCellMar>
            <w:top w:w="0" w:type="dxa"/>
            <w:left w:w="108" w:type="dxa"/>
            <w:bottom w:w="0" w:type="dxa"/>
            <w:right w:w="108" w:type="dxa"/>
          </w:tblCellMar>
        </w:tblPrEx>
        <w:trPr>
          <w:trHeight w:val="1305" w:hRule="atLeast"/>
        </w:trPr>
        <w:tc>
          <w:tcPr>
            <w:tcW w:w="3108" w:type="dxa"/>
          </w:tcPr>
          <w:p w14:paraId="337F8865">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45D43088">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28CBE1C0">
            <w:pPr>
              <w:spacing w:line="340" w:lineRule="atLeast"/>
              <w:rPr>
                <w:rFonts w:ascii="Arial Narrow" w:hAnsi="Arial Narrow" w:eastAsia="仿宋_GB2312" w:cs="Arial Narrow"/>
                <w:color w:val="FF0000"/>
                <w:sz w:val="24"/>
                <w:szCs w:val="24"/>
                <w:highlight w:val="cyan"/>
                <w:lang w:val="en-AU" w:eastAsia="zh-CN"/>
              </w:rPr>
            </w:pPr>
          </w:p>
          <w:p w14:paraId="390A467F">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45FA75CB">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2BC73660">
            <w:pPr>
              <w:spacing w:line="340" w:lineRule="atLeast"/>
              <w:jc w:val="right"/>
              <w:rPr>
                <w:rFonts w:ascii="Arial Narrow" w:hAnsi="Arial Narrow" w:eastAsia="仿宋_GB2312" w:cs="Arial Narrow"/>
                <w:sz w:val="24"/>
                <w:szCs w:val="24"/>
                <w:lang w:eastAsia="zh-CN"/>
              </w:rPr>
            </w:pPr>
          </w:p>
          <w:p w14:paraId="70E0F2BD">
            <w:pPr>
              <w:spacing w:line="340" w:lineRule="atLeast"/>
              <w:jc w:val="right"/>
              <w:rPr>
                <w:rFonts w:ascii="Arial Narrow" w:hAnsi="Arial Narrow" w:eastAsia="仿宋_GB2312" w:cs="Arial Narrow"/>
                <w:sz w:val="24"/>
                <w:szCs w:val="24"/>
                <w:lang w:val="en-AU" w:eastAsia="zh-CN"/>
              </w:rPr>
            </w:pPr>
          </w:p>
          <w:p w14:paraId="72DB0892">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8FFB732">
            <w:pPr>
              <w:spacing w:line="340" w:lineRule="atLeast"/>
              <w:jc w:val="right"/>
              <w:rPr>
                <w:rFonts w:ascii="Arial Narrow" w:hAnsi="Arial Narrow" w:eastAsia="仿宋_GB2312" w:cs="Arial Narrow"/>
                <w:color w:val="0000FF"/>
                <w:sz w:val="24"/>
                <w:szCs w:val="24"/>
                <w:lang w:eastAsia="zh-CN"/>
              </w:rPr>
            </w:pPr>
          </w:p>
          <w:p w14:paraId="44A5BB9B">
            <w:pPr>
              <w:spacing w:line="340" w:lineRule="atLeast"/>
              <w:jc w:val="right"/>
              <w:rPr>
                <w:rFonts w:ascii="Arial Narrow" w:hAnsi="Arial Narrow" w:eastAsia="仿宋_GB2312" w:cs="Arial Narrow"/>
                <w:color w:val="0000FF"/>
                <w:sz w:val="24"/>
                <w:szCs w:val="24"/>
                <w:lang w:eastAsia="zh-CN"/>
              </w:rPr>
            </w:pPr>
          </w:p>
        </w:tc>
        <w:tc>
          <w:tcPr>
            <w:tcW w:w="2204" w:type="dxa"/>
          </w:tcPr>
          <w:p w14:paraId="25F72F4F">
            <w:pPr>
              <w:snapToGrid w:val="0"/>
              <w:spacing w:line="340" w:lineRule="atLeast"/>
              <w:rPr>
                <w:rFonts w:ascii="Arial Narrow" w:hAnsi="Arial Narrow" w:eastAsia="仿宋_GB2312" w:cs="Arial Narrow"/>
                <w:color w:val="FF0000"/>
                <w:sz w:val="24"/>
                <w:szCs w:val="24"/>
                <w:lang w:eastAsia="zh-CN"/>
              </w:rPr>
            </w:pPr>
          </w:p>
          <w:p w14:paraId="0EB683EE">
            <w:pPr>
              <w:spacing w:line="200" w:lineRule="atLeast"/>
              <w:rPr>
                <w:rFonts w:ascii="Arial Narrow" w:hAnsi="Arial Narrow" w:eastAsia="仿宋_GB2312" w:cs="Arial Narrow"/>
                <w:color w:val="FF0000"/>
                <w:sz w:val="24"/>
                <w:szCs w:val="24"/>
                <w:lang w:eastAsia="zh-CN"/>
              </w:rPr>
            </w:pPr>
          </w:p>
          <w:p w14:paraId="15951B5E">
            <w:pPr>
              <w:spacing w:line="200" w:lineRule="atLeast"/>
              <w:rPr>
                <w:rFonts w:ascii="Arial Narrow" w:hAnsi="Arial Narrow" w:eastAsia="仿宋_GB2312" w:cs="Arial Narrow"/>
                <w:sz w:val="24"/>
                <w:szCs w:val="24"/>
                <w:lang w:eastAsia="zh-CN"/>
              </w:rPr>
            </w:pPr>
          </w:p>
          <w:p w14:paraId="605508CC">
            <w:pPr>
              <w:spacing w:line="200" w:lineRule="atLeast"/>
              <w:rPr>
                <w:rFonts w:ascii="Arial Narrow" w:hAnsi="Arial Narrow" w:eastAsia="仿宋_GB2312" w:cs="Arial Narrow"/>
                <w:sz w:val="24"/>
                <w:szCs w:val="24"/>
                <w:lang w:eastAsia="zh-CN"/>
              </w:rPr>
            </w:pPr>
          </w:p>
          <w:p w14:paraId="1DF8117E">
            <w:pPr>
              <w:spacing w:line="200" w:lineRule="atLeast"/>
              <w:rPr>
                <w:rFonts w:ascii="Arial Narrow" w:hAnsi="Arial Narrow" w:eastAsia="仿宋_GB2312" w:cs="Arial Narrow"/>
                <w:color w:val="FF0000"/>
                <w:sz w:val="24"/>
                <w:szCs w:val="24"/>
                <w:lang w:eastAsia="zh-CN"/>
              </w:rPr>
            </w:pPr>
          </w:p>
        </w:tc>
      </w:tr>
      <w:tr w14:paraId="19F106E6">
        <w:tblPrEx>
          <w:tblCellMar>
            <w:top w:w="0" w:type="dxa"/>
            <w:left w:w="108" w:type="dxa"/>
            <w:bottom w:w="0" w:type="dxa"/>
            <w:right w:w="108" w:type="dxa"/>
          </w:tblCellMar>
        </w:tblPrEx>
        <w:trPr>
          <w:trHeight w:val="507" w:hRule="atLeast"/>
        </w:trPr>
        <w:tc>
          <w:tcPr>
            <w:tcW w:w="3108" w:type="dxa"/>
          </w:tcPr>
          <w:p w14:paraId="38D5CDF9">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20840CF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4C6993CB">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1" w:footer="851"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056EE">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C1AF4">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98323">
    <w:pPr>
      <w:pStyle w:val="6"/>
      <w:jc w:val="center"/>
    </w:pPr>
    <w:r>
      <w:fldChar w:fldCharType="begin"/>
    </w:r>
    <w:r>
      <w:instrText xml:space="preserve"> PAGE </w:instrText>
    </w:r>
    <w:r>
      <w:fldChar w:fldCharType="separate"/>
    </w:r>
    <w:r>
      <w:t>8</w:t>
    </w:r>
    <w:r>
      <w:fldChar w:fldCharType="end"/>
    </w:r>
  </w:p>
  <w:p w14:paraId="78093ACE">
    <w:pPr>
      <w:pStyle w:val="6"/>
      <w:jc w:val="center"/>
      <w:rPr>
        <w:rFonts w:ascii="Univers;Arial" w:hAnsi="Univers;Arial" w:cs="Univers;Arial"/>
        <w:sz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2F17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0487B">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1A11E">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0F339">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FD92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281840CD"/>
    <w:rsid w:val="286015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uiPriority w:val="0"/>
    <w:pPr>
      <w:tabs>
        <w:tab w:val="center" w:pos="4320"/>
        <w:tab w:val="right" w:pos="8640"/>
      </w:tabs>
    </w:pPr>
  </w:style>
  <w:style w:type="paragraph" w:styleId="8">
    <w:name w:val="List"/>
    <w:basedOn w:val="4"/>
    <w:uiPriority w:val="0"/>
    <w:rPr>
      <w:rFonts w:cs="Arial"/>
    </w:rPr>
  </w:style>
  <w:style w:type="character" w:styleId="11">
    <w:name w:val="Hyperlink"/>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rPr>
      <w:rFonts w:ascii="Symbol" w:hAnsi="Symbol" w:cs="Symbol"/>
      <w:color w:val="000000"/>
    </w:rPr>
  </w:style>
  <w:style w:type="character" w:customStyle="1" w:styleId="15">
    <w:name w:val="WW8Num3z1"/>
    <w:qFormat/>
    <w:uiPriority w:val="0"/>
    <w:rPr>
      <w:rFonts w:ascii="Symbol" w:hAnsi="Symbol" w:cs="Symbol"/>
    </w:rPr>
  </w:style>
  <w:style w:type="character" w:customStyle="1" w:styleId="16">
    <w:name w:val="WW8Num3z2"/>
    <w:qFormat/>
    <w:uiPriority w:val="0"/>
    <w:rPr>
      <w:rFonts w:ascii="Wingdings" w:hAnsi="Wingdings" w:cs="Wingdings"/>
    </w:rPr>
  </w:style>
  <w:style w:type="character" w:customStyle="1" w:styleId="17">
    <w:name w:val="WW8Num4z0"/>
    <w:qFormat/>
    <w:uiPriority w:val="0"/>
    <w:rPr>
      <w:rFonts w:hint="eastAsia" w:ascii="宋体;SimSun" w:hAnsi="宋体;SimSun" w:eastAsia="宋体;SimSun" w:cs="Times New Roman"/>
    </w:rPr>
  </w:style>
  <w:style w:type="character" w:customStyle="1" w:styleId="18">
    <w:name w:val="WW8Num4z1"/>
    <w:qFormat/>
    <w:uiPriority w:val="0"/>
    <w:rPr>
      <w:rFonts w:ascii="Wingdings" w:hAnsi="Wingdings" w:cs="Wingdings"/>
    </w:rPr>
  </w:style>
  <w:style w:type="character" w:customStyle="1" w:styleId="19">
    <w:name w:val="WW8Num5z0"/>
    <w:qFormat/>
    <w:uiPriority w:val="0"/>
    <w:rPr>
      <w:rFonts w:hint="eastAsia"/>
    </w:rPr>
  </w:style>
  <w:style w:type="character" w:customStyle="1" w:styleId="20">
    <w:name w:val="WW8Num6z0"/>
    <w:qFormat/>
    <w:uiPriority w:val="0"/>
    <w:rPr>
      <w:rFonts w:hint="eastAsia"/>
    </w:rPr>
  </w:style>
  <w:style w:type="character" w:customStyle="1" w:styleId="21">
    <w:name w:val="默认段落字体1"/>
    <w:qFormat/>
    <w:uiPriority w:val="0"/>
  </w:style>
  <w:style w:type="character" w:customStyle="1" w:styleId="22">
    <w:name w:val="批注引用1"/>
    <w:qFormat/>
    <w:uiPriority w:val="0"/>
    <w:rPr>
      <w:sz w:val="21"/>
      <w:szCs w:val="21"/>
    </w:rPr>
  </w:style>
  <w:style w:type="character" w:customStyle="1" w:styleId="23">
    <w:name w:val="文档结构图 字符"/>
    <w:qFormat/>
    <w:uiPriority w:val="0"/>
    <w:rPr>
      <w:rFonts w:ascii="宋体;SimSun" w:hAnsi="宋体;SimSun" w:eastAsia="宋体;SimSun"/>
      <w:sz w:val="18"/>
      <w:szCs w:val="18"/>
      <w:lang w:eastAsia="zh-TW"/>
    </w:rPr>
  </w:style>
  <w:style w:type="character" w:customStyle="1" w:styleId="24">
    <w:name w:val="页脚 字符"/>
    <w:qFormat/>
    <w:uiPriority w:val="0"/>
    <w:rPr>
      <w:lang w:eastAsia="zh-TW"/>
    </w:rPr>
  </w:style>
  <w:style w:type="paragraph" w:customStyle="1" w:styleId="25">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6">
    <w:name w:val="索引"/>
    <w:basedOn w:val="1"/>
    <w:qFormat/>
    <w:uiPriority w:val="0"/>
    <w:pPr>
      <w:suppressLineNumbers/>
    </w:pPr>
    <w:rPr>
      <w:rFonts w:cs="Arial"/>
    </w:rPr>
  </w:style>
  <w:style w:type="paragraph" w:customStyle="1" w:styleId="27">
    <w:name w:val="页眉与页脚"/>
    <w:basedOn w:val="1"/>
    <w:qFormat/>
    <w:uiPriority w:val="0"/>
    <w:pPr>
      <w:suppressLineNumbers/>
      <w:tabs>
        <w:tab w:val="center" w:pos="4819"/>
        <w:tab w:val="right" w:pos="9638"/>
      </w:tabs>
    </w:pPr>
  </w:style>
  <w:style w:type="paragraph" w:customStyle="1" w:styleId="28">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29">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0">
    <w:name w:val="Address"/>
    <w:basedOn w:val="1"/>
    <w:qFormat/>
    <w:uiPriority w:val="0"/>
    <w:pPr>
      <w:pBdr>
        <w:left w:val="single" w:color="000000" w:sz="4" w:space="6"/>
      </w:pBdr>
      <w:spacing w:line="200" w:lineRule="exact"/>
    </w:pPr>
    <w:rPr>
      <w:rFonts w:eastAsia="宋体;SimSun"/>
      <w:sz w:val="16"/>
      <w:lang w:val="en-GB"/>
    </w:rPr>
  </w:style>
  <w:style w:type="paragraph" w:customStyle="1" w:styleId="31">
    <w:name w:val="批注框文本1"/>
    <w:basedOn w:val="1"/>
    <w:qFormat/>
    <w:uiPriority w:val="0"/>
    <w:rPr>
      <w:sz w:val="18"/>
      <w:szCs w:val="18"/>
    </w:rPr>
  </w:style>
  <w:style w:type="paragraph" w:customStyle="1" w:styleId="32">
    <w:name w:val="批注主题1"/>
    <w:basedOn w:val="29"/>
    <w:next w:val="29"/>
    <w:qFormat/>
    <w:uiPriority w:val="0"/>
    <w:pPr>
      <w:widowControl/>
      <w:textAlignment w:val="auto"/>
    </w:pPr>
    <w:rPr>
      <w:rFonts w:ascii="Times New Roman" w:hAnsi="Times New Roman" w:eastAsia="PMingLiU;Microsoft JhengHei"/>
      <w:b/>
      <w:bCs/>
      <w:sz w:val="20"/>
      <w:lang w:eastAsia="zh-TW"/>
    </w:rPr>
  </w:style>
  <w:style w:type="paragraph" w:customStyle="1" w:styleId="33">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4">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5">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6">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7">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8">
    <w:name w:val="Letter Footer Title"/>
    <w:next w:val="39"/>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39">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0">
    <w:name w:val="默认段落字体 Para Char Char Char Char Char Char Char"/>
    <w:basedOn w:val="1"/>
    <w:qFormat/>
    <w:uiPriority w:val="0"/>
    <w:pPr>
      <w:widowControl w:val="0"/>
      <w:jc w:val="both"/>
    </w:pPr>
    <w:rPr>
      <w:rFonts w:ascii="挀甀洀攀渀;仿宋_GB2312" w:hAnsi="挀甀洀攀渀;仿宋_GB2312" w:eastAsia="宋体;SimSun" w:cs="挀甀洀攀渀;仿宋_GB2312"/>
      <w:kern w:val="2"/>
      <w:sz w:val="24"/>
      <w:lang w:eastAsia="zh-CN"/>
    </w:rPr>
  </w:style>
  <w:style w:type="paragraph" w:customStyle="1" w:styleId="41">
    <w:name w:val="文档结构图1"/>
    <w:basedOn w:val="1"/>
    <w:qFormat/>
    <w:uiPriority w:val="0"/>
    <w:rPr>
      <w:rFonts w:ascii="宋体;SimSun" w:hAnsi="宋体;SimSun" w:eastAsia="宋体;SimSun"/>
      <w:sz w:val="18"/>
      <w:szCs w:val="18"/>
      <w:lang w:val="zh-CN"/>
    </w:rPr>
  </w:style>
  <w:style w:type="paragraph" w:customStyle="1" w:styleId="42">
    <w:name w:val="Default"/>
    <w:qFormat/>
    <w:uiPriority w:val="0"/>
    <w:pPr>
      <w:widowControl w:val="0"/>
      <w:suppressAutoHyphens/>
      <w:autoSpaceDE w:val="0"/>
      <w:bidi w:val="0"/>
    </w:pPr>
    <w:rPr>
      <w:rFonts w:ascii="仿宋_GB2312" w:hAnsi="仿宋_GB2312" w:eastAsia="仿宋_GB2312" w:cs="仿宋_GB2312"/>
      <w:color w:val="000000"/>
      <w:sz w:val="24"/>
      <w:szCs w:val="24"/>
      <w:lang w:val="en-US" w:eastAsia="zh-CN" w:bidi="ar-SA"/>
    </w:rPr>
  </w:style>
  <w:style w:type="paragraph" w:customStyle="1" w:styleId="43">
    <w:name w:val="表格内容"/>
    <w:basedOn w:val="1"/>
    <w:qFormat/>
    <w:uiPriority w:val="0"/>
    <w:pPr>
      <w:widowControl w:val="0"/>
      <w:suppressLineNumbers/>
    </w:pPr>
  </w:style>
  <w:style w:type="paragraph" w:customStyle="1" w:styleId="44">
    <w:name w:val="表格标题"/>
    <w:basedOn w:val="43"/>
    <w:qFormat/>
    <w:uiPriority w:val="0"/>
    <w:pPr>
      <w:suppressLineNumbers/>
      <w:jc w:val="center"/>
    </w:pPr>
    <w:rPr>
      <w:b/>
      <w:bCs/>
    </w:rPr>
  </w:style>
  <w:style w:type="paragraph" w:customStyle="1" w:styleId="45">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7</Pages>
  <Words>3053</Words>
  <Characters>3801</Characters>
  <TotalTime>69</TotalTime>
  <ScaleCrop>false</ScaleCrop>
  <LinksUpToDate>false</LinksUpToDate>
  <CharactersWithSpaces>3806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2026-06-11T13:51:07Z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ACD3287B93CD48F5B1848986101BFF80_12</vt:lpwstr>
  </property>
</Properties>
</file>