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6ABA" w:rsidRDefault="00191DCB">
      <w:r w:rsidRPr="00044B9E">
        <w:rPr>
          <w:rFonts w:ascii="仿宋" w:eastAsia="仿宋" w:hAnsi="仿宋"/>
          <w:noProof/>
        </w:rPr>
        <w:drawing>
          <wp:anchor distT="0" distB="0" distL="114300" distR="114300" simplePos="0" relativeHeight="251659264" behindDoc="0" locked="0" layoutInCell="1" allowOverlap="1">
            <wp:simplePos x="0" y="0"/>
            <wp:positionH relativeFrom="column">
              <wp:posOffset>-226833</wp:posOffset>
            </wp:positionH>
            <wp:positionV relativeFrom="paragraph">
              <wp:posOffset>-427437</wp:posOffset>
            </wp:positionV>
            <wp:extent cx="1843405" cy="629285"/>
            <wp:effectExtent l="0" t="0" r="4445" b="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43405" cy="629285"/>
                    </a:xfrm>
                    <a:prstGeom prst="rect">
                      <a:avLst/>
                    </a:prstGeom>
                    <a:noFill/>
                    <a:ln>
                      <a:noFill/>
                    </a:ln>
                  </pic:spPr>
                </pic:pic>
              </a:graphicData>
            </a:graphic>
          </wp:anchor>
        </w:drawing>
      </w:r>
    </w:p>
    <w:p w:rsidR="00191DCB" w:rsidRDefault="00074D3A" w:rsidP="00074D3A">
      <w:pPr>
        <w:jc w:val="right"/>
      </w:pPr>
      <w:r>
        <w:rPr>
          <w:rFonts w:hint="eastAsia"/>
        </w:rPr>
        <w:t>索引号：</w:t>
      </w:r>
      <w:r>
        <w:rPr>
          <w:rFonts w:hint="eastAsia"/>
        </w:rPr>
        <w:t>S12A</w:t>
      </w:r>
    </w:p>
    <w:p w:rsidR="00191DCB" w:rsidRPr="00191DCB" w:rsidRDefault="00DE032D" w:rsidP="00191DCB">
      <w:pPr>
        <w:spacing w:before="163"/>
        <w:ind w:firstLine="198"/>
        <w:jc w:val="center"/>
        <w:rPr>
          <w:rFonts w:ascii="黑体" w:eastAsia="黑体" w:hAnsi="黑体"/>
          <w:b/>
          <w:sz w:val="28"/>
          <w:szCs w:val="28"/>
        </w:rPr>
      </w:pPr>
      <w:r w:rsidRPr="00DE032D">
        <w:rPr>
          <w:rFonts w:ascii="黑体" w:eastAsia="黑体" w:hAnsi="黑体" w:hint="eastAsia"/>
          <w:b/>
          <w:sz w:val="28"/>
          <w:szCs w:val="28"/>
        </w:rPr>
        <w:t>评估专家工作报告（或评估专家工作总结）</w:t>
      </w:r>
    </w:p>
    <w:p w:rsidR="00191DCB" w:rsidRDefault="00191DCB"/>
    <w:p w:rsidR="009E3AE4" w:rsidRPr="003A1077" w:rsidRDefault="009E3AE4" w:rsidP="009E3AE4">
      <w:pPr>
        <w:rPr>
          <w:rFonts w:ascii="仿宋_GB2312" w:eastAsia="仿宋_GB2312"/>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37"/>
        <w:gridCol w:w="6679"/>
      </w:tblGrid>
      <w:tr w:rsidR="009E3AE4" w:rsidRPr="003A1077" w:rsidTr="007C63FE">
        <w:trPr>
          <w:trHeight w:val="472"/>
        </w:trPr>
        <w:tc>
          <w:tcPr>
            <w:tcW w:w="984" w:type="pct"/>
            <w:vAlign w:val="center"/>
          </w:tcPr>
          <w:p w:rsidR="009E3AE4" w:rsidRPr="003A1077" w:rsidRDefault="009E3AE4" w:rsidP="003A1077">
            <w:pPr>
              <w:adjustRightInd w:val="0"/>
              <w:snapToGrid w:val="0"/>
              <w:jc w:val="left"/>
              <w:rPr>
                <w:rFonts w:ascii="仿宋_GB2312" w:eastAsia="仿宋_GB2312" w:hAnsi="仿宋"/>
                <w:b/>
                <w:sz w:val="24"/>
                <w:szCs w:val="24"/>
              </w:rPr>
            </w:pPr>
            <w:r w:rsidRPr="003A1077">
              <w:rPr>
                <w:rFonts w:ascii="仿宋_GB2312" w:eastAsia="仿宋_GB2312" w:hAnsi="仿宋" w:hint="eastAsia"/>
                <w:b/>
                <w:sz w:val="24"/>
                <w:szCs w:val="24"/>
              </w:rPr>
              <w:t>日期：</w:t>
            </w:r>
          </w:p>
        </w:tc>
        <w:tc>
          <w:tcPr>
            <w:tcW w:w="4016" w:type="pct"/>
            <w:vAlign w:val="center"/>
          </w:tcPr>
          <w:p w:rsidR="009E3AE4" w:rsidRPr="003A1077" w:rsidRDefault="009E3AE4" w:rsidP="003A1077">
            <w:pPr>
              <w:adjustRightInd w:val="0"/>
              <w:snapToGrid w:val="0"/>
              <w:ind w:leftChars="50" w:left="105"/>
              <w:jc w:val="left"/>
              <w:rPr>
                <w:rFonts w:ascii="仿宋_GB2312" w:eastAsia="仿宋_GB2312" w:hAnsi="仿宋"/>
                <w:sz w:val="24"/>
                <w:szCs w:val="24"/>
              </w:rPr>
            </w:pPr>
            <w:r w:rsidRPr="003A1077">
              <w:rPr>
                <w:rFonts w:ascii="仿宋_GB2312" w:eastAsia="仿宋_GB2312" w:hAnsi="仿宋" w:hint="eastAsia"/>
                <w:sz w:val="24"/>
                <w:szCs w:val="24"/>
              </w:rPr>
              <w:t>[20</w:t>
            </w:r>
            <w:r w:rsidR="00540BE0">
              <w:rPr>
                <w:rFonts w:ascii="仿宋_GB2312" w:eastAsia="仿宋_GB2312" w:hAnsi="仿宋"/>
                <w:sz w:val="24"/>
                <w:szCs w:val="24"/>
              </w:rPr>
              <w:t>2</w:t>
            </w:r>
            <w:r w:rsidRPr="003A1077">
              <w:rPr>
                <w:rFonts w:ascii="仿宋_GB2312" w:eastAsia="仿宋_GB2312" w:hAnsi="仿宋" w:hint="eastAsia"/>
                <w:sz w:val="24"/>
                <w:szCs w:val="24"/>
              </w:rPr>
              <w:t>X年XX月XX日 ]</w:t>
            </w:r>
          </w:p>
        </w:tc>
      </w:tr>
      <w:tr w:rsidR="009E3AE4" w:rsidRPr="003A1077" w:rsidTr="007C63FE">
        <w:trPr>
          <w:trHeight w:val="473"/>
        </w:trPr>
        <w:tc>
          <w:tcPr>
            <w:tcW w:w="984" w:type="pct"/>
            <w:vAlign w:val="center"/>
          </w:tcPr>
          <w:p w:rsidR="009E3AE4" w:rsidRPr="003A1077" w:rsidRDefault="009E3AE4" w:rsidP="003A1077">
            <w:pPr>
              <w:adjustRightInd w:val="0"/>
              <w:snapToGrid w:val="0"/>
              <w:jc w:val="left"/>
              <w:rPr>
                <w:rFonts w:ascii="仿宋_GB2312" w:eastAsia="仿宋_GB2312" w:hAnsi="仿宋"/>
                <w:b/>
                <w:sz w:val="24"/>
                <w:szCs w:val="24"/>
              </w:rPr>
            </w:pPr>
            <w:r w:rsidRPr="003A1077">
              <w:rPr>
                <w:rFonts w:ascii="仿宋_GB2312" w:eastAsia="仿宋_GB2312" w:hAnsi="仿宋" w:hint="eastAsia"/>
                <w:b/>
                <w:sz w:val="24"/>
                <w:szCs w:val="24"/>
              </w:rPr>
              <w:t>致：</w:t>
            </w:r>
          </w:p>
        </w:tc>
        <w:tc>
          <w:tcPr>
            <w:tcW w:w="4016" w:type="pct"/>
            <w:vAlign w:val="center"/>
          </w:tcPr>
          <w:p w:rsidR="009E3AE4" w:rsidRPr="003A1077" w:rsidRDefault="009E3AE4" w:rsidP="003A1077">
            <w:pPr>
              <w:adjustRightInd w:val="0"/>
              <w:snapToGrid w:val="0"/>
              <w:ind w:leftChars="50" w:left="105"/>
              <w:jc w:val="left"/>
              <w:rPr>
                <w:rFonts w:ascii="仿宋_GB2312" w:eastAsia="仿宋_GB2312" w:hAnsi="仿宋"/>
                <w:sz w:val="24"/>
                <w:szCs w:val="24"/>
              </w:rPr>
            </w:pPr>
          </w:p>
        </w:tc>
      </w:tr>
      <w:tr w:rsidR="009E3AE4" w:rsidRPr="003A1077" w:rsidTr="007C63FE">
        <w:trPr>
          <w:trHeight w:val="472"/>
        </w:trPr>
        <w:tc>
          <w:tcPr>
            <w:tcW w:w="984" w:type="pct"/>
            <w:vAlign w:val="center"/>
          </w:tcPr>
          <w:p w:rsidR="009E3AE4" w:rsidRPr="003A1077" w:rsidRDefault="009E3AE4" w:rsidP="003A1077">
            <w:pPr>
              <w:adjustRightInd w:val="0"/>
              <w:snapToGrid w:val="0"/>
              <w:jc w:val="left"/>
              <w:rPr>
                <w:rFonts w:ascii="仿宋_GB2312" w:eastAsia="仿宋_GB2312" w:hAnsi="仿宋"/>
                <w:b/>
                <w:sz w:val="24"/>
                <w:szCs w:val="24"/>
              </w:rPr>
            </w:pPr>
            <w:r w:rsidRPr="003A1077">
              <w:rPr>
                <w:rFonts w:ascii="仿宋_GB2312" w:eastAsia="仿宋_GB2312" w:hAnsi="仿宋" w:hint="eastAsia"/>
                <w:b/>
                <w:sz w:val="24"/>
                <w:szCs w:val="24"/>
              </w:rPr>
              <w:t>发自：</w:t>
            </w:r>
          </w:p>
        </w:tc>
        <w:tc>
          <w:tcPr>
            <w:tcW w:w="4016" w:type="pct"/>
            <w:vAlign w:val="center"/>
          </w:tcPr>
          <w:p w:rsidR="009E3AE4" w:rsidRPr="003A1077" w:rsidRDefault="009E3AE4" w:rsidP="003A1077">
            <w:pPr>
              <w:adjustRightInd w:val="0"/>
              <w:snapToGrid w:val="0"/>
              <w:ind w:leftChars="50" w:left="105"/>
              <w:jc w:val="left"/>
              <w:rPr>
                <w:rFonts w:ascii="仿宋_GB2312" w:eastAsia="仿宋_GB2312" w:hAnsi="仿宋"/>
                <w:sz w:val="24"/>
                <w:szCs w:val="24"/>
              </w:rPr>
            </w:pPr>
          </w:p>
        </w:tc>
      </w:tr>
      <w:tr w:rsidR="009E3AE4" w:rsidRPr="003A1077" w:rsidTr="007C63FE">
        <w:trPr>
          <w:trHeight w:val="473"/>
        </w:trPr>
        <w:tc>
          <w:tcPr>
            <w:tcW w:w="984" w:type="pct"/>
            <w:vAlign w:val="center"/>
          </w:tcPr>
          <w:p w:rsidR="009E3AE4" w:rsidRPr="003A1077" w:rsidRDefault="009E3AE4" w:rsidP="003A1077">
            <w:pPr>
              <w:adjustRightInd w:val="0"/>
              <w:snapToGrid w:val="0"/>
              <w:jc w:val="left"/>
              <w:rPr>
                <w:rFonts w:ascii="仿宋_GB2312" w:eastAsia="仿宋_GB2312" w:hAnsi="仿宋"/>
                <w:b/>
                <w:sz w:val="24"/>
                <w:szCs w:val="24"/>
              </w:rPr>
            </w:pPr>
            <w:r w:rsidRPr="003A1077">
              <w:rPr>
                <w:rFonts w:ascii="仿宋_GB2312" w:eastAsia="仿宋_GB2312" w:hAnsi="仿宋" w:hint="eastAsia"/>
                <w:b/>
                <w:sz w:val="24"/>
                <w:szCs w:val="24"/>
              </w:rPr>
              <w:t>项目名称：</w:t>
            </w:r>
          </w:p>
        </w:tc>
        <w:tc>
          <w:tcPr>
            <w:tcW w:w="4016" w:type="pct"/>
            <w:vAlign w:val="center"/>
          </w:tcPr>
          <w:p w:rsidR="009E3AE4" w:rsidRPr="003A1077" w:rsidRDefault="009E3AE4" w:rsidP="003A1077">
            <w:pPr>
              <w:adjustRightInd w:val="0"/>
              <w:snapToGrid w:val="0"/>
              <w:ind w:leftChars="50" w:left="105"/>
              <w:jc w:val="left"/>
              <w:rPr>
                <w:rFonts w:ascii="仿宋_GB2312" w:eastAsia="仿宋_GB2312" w:hAnsi="仿宋"/>
                <w:sz w:val="24"/>
                <w:szCs w:val="24"/>
              </w:rPr>
            </w:pPr>
          </w:p>
        </w:tc>
      </w:tr>
    </w:tbl>
    <w:p w:rsidR="009E3AE4" w:rsidRPr="003A1077" w:rsidRDefault="009E3AE4" w:rsidP="009E3AE4">
      <w:pPr>
        <w:pStyle w:val="2"/>
        <w:spacing w:line="300" w:lineRule="auto"/>
        <w:ind w:firstLineChars="200" w:firstLine="482"/>
        <w:rPr>
          <w:rFonts w:ascii="仿宋_GB2312" w:hAnsi="仿宋"/>
          <w:szCs w:val="24"/>
        </w:rPr>
      </w:pPr>
      <w:r w:rsidRPr="003A1077">
        <w:rPr>
          <w:rFonts w:ascii="仿宋_GB2312" w:hAnsi="仿宋" w:hint="eastAsia"/>
          <w:szCs w:val="24"/>
        </w:rPr>
        <w:t>一、目的</w:t>
      </w:r>
    </w:p>
    <w:p w:rsidR="003E679F" w:rsidRPr="003A1077" w:rsidRDefault="003E679F" w:rsidP="003A1077">
      <w:pPr>
        <w:spacing w:line="300" w:lineRule="auto"/>
        <w:ind w:firstLineChars="177" w:firstLine="425"/>
        <w:rPr>
          <w:rFonts w:ascii="仿宋_GB2312" w:eastAsia="仿宋_GB2312" w:hAnsi="仿宋"/>
          <w:sz w:val="24"/>
          <w:szCs w:val="24"/>
        </w:rPr>
      </w:pPr>
      <w:proofErr w:type="gramStart"/>
      <w:r w:rsidRPr="003A1077">
        <w:rPr>
          <w:rFonts w:ascii="仿宋_GB2312" w:eastAsia="仿宋_GB2312" w:hAnsi="仿宋" w:hint="eastAsia"/>
          <w:sz w:val="24"/>
          <w:szCs w:val="24"/>
        </w:rPr>
        <w:t>本</w:t>
      </w:r>
      <w:r w:rsidR="00DE032D">
        <w:rPr>
          <w:rFonts w:ascii="仿宋_GB2312" w:eastAsia="仿宋_GB2312" w:hAnsi="仿宋" w:hint="eastAsia"/>
          <w:sz w:val="24"/>
          <w:szCs w:val="24"/>
        </w:rPr>
        <w:t>专家</w:t>
      </w:r>
      <w:proofErr w:type="gramEnd"/>
      <w:r w:rsidR="00DE032D">
        <w:rPr>
          <w:rFonts w:ascii="仿宋_GB2312" w:eastAsia="仿宋_GB2312" w:hAnsi="仿宋" w:hint="eastAsia"/>
          <w:sz w:val="24"/>
          <w:szCs w:val="24"/>
        </w:rPr>
        <w:t>工作报告</w:t>
      </w:r>
      <w:r w:rsidRPr="003A1077">
        <w:rPr>
          <w:rFonts w:ascii="仿宋_GB2312" w:eastAsia="仿宋_GB2312" w:hAnsi="仿宋" w:hint="eastAsia"/>
          <w:sz w:val="24"/>
          <w:szCs w:val="24"/>
        </w:rPr>
        <w:t>的目的是概述关于【插入客户全称】（“【插入客户简称】”或“公司”）截止于【20</w:t>
      </w:r>
      <w:r w:rsidR="00540BE0">
        <w:rPr>
          <w:rFonts w:ascii="仿宋_GB2312" w:eastAsia="仿宋_GB2312" w:hAnsi="仿宋"/>
          <w:sz w:val="24"/>
          <w:szCs w:val="24"/>
        </w:rPr>
        <w:t>2</w:t>
      </w:r>
      <w:r w:rsidRPr="003A1077">
        <w:rPr>
          <w:rFonts w:ascii="仿宋_GB2312" w:eastAsia="仿宋_GB2312" w:hAnsi="仿宋" w:hint="eastAsia"/>
          <w:sz w:val="24"/>
          <w:szCs w:val="24"/>
        </w:rPr>
        <w:t>X年XX月XX日】的审计工作中与利用评估专家工作有关问题的结果。</w:t>
      </w:r>
      <w:proofErr w:type="gramStart"/>
      <w:r w:rsidRPr="003A1077">
        <w:rPr>
          <w:rFonts w:ascii="仿宋_GB2312" w:eastAsia="仿宋_GB2312" w:hAnsi="仿宋" w:hint="eastAsia"/>
          <w:sz w:val="24"/>
          <w:szCs w:val="24"/>
        </w:rPr>
        <w:t>本</w:t>
      </w:r>
      <w:r w:rsidR="00DE032D">
        <w:rPr>
          <w:rFonts w:ascii="仿宋_GB2312" w:eastAsia="仿宋_GB2312" w:hAnsi="仿宋" w:hint="eastAsia"/>
          <w:sz w:val="24"/>
          <w:szCs w:val="24"/>
        </w:rPr>
        <w:t>专家</w:t>
      </w:r>
      <w:proofErr w:type="gramEnd"/>
      <w:r w:rsidR="00DE032D">
        <w:rPr>
          <w:rFonts w:ascii="仿宋_GB2312" w:eastAsia="仿宋_GB2312" w:hAnsi="仿宋" w:hint="eastAsia"/>
          <w:sz w:val="24"/>
          <w:szCs w:val="24"/>
        </w:rPr>
        <w:t>工作报告</w:t>
      </w:r>
      <w:r w:rsidRPr="003A1077">
        <w:rPr>
          <w:rFonts w:ascii="仿宋_GB2312" w:eastAsia="仿宋_GB2312" w:hAnsi="仿宋" w:hint="eastAsia"/>
          <w:sz w:val="24"/>
          <w:szCs w:val="24"/>
        </w:rPr>
        <w:t>概述的结果作为审计小结的补充。</w:t>
      </w:r>
    </w:p>
    <w:p w:rsidR="003E679F" w:rsidRPr="003A1077" w:rsidRDefault="003E679F" w:rsidP="003E679F">
      <w:pPr>
        <w:pStyle w:val="2"/>
        <w:spacing w:line="300" w:lineRule="auto"/>
        <w:ind w:firstLineChars="200" w:firstLine="482"/>
        <w:rPr>
          <w:rFonts w:ascii="仿宋_GB2312" w:hAnsi="仿宋"/>
          <w:szCs w:val="24"/>
        </w:rPr>
      </w:pPr>
      <w:r w:rsidRPr="003A1077">
        <w:rPr>
          <w:rFonts w:ascii="仿宋_GB2312" w:hAnsi="仿宋" w:hint="eastAsia"/>
          <w:szCs w:val="24"/>
        </w:rPr>
        <w:t>二、资产评估团队</w:t>
      </w:r>
    </w:p>
    <w:p w:rsidR="003E679F" w:rsidRPr="003A1077" w:rsidRDefault="003E679F" w:rsidP="00EB19A5">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r w:rsidRPr="003A1077">
        <w:rPr>
          <w:rFonts w:ascii="仿宋_GB2312" w:eastAsia="仿宋_GB2312" w:hAnsi="仿宋" w:hint="eastAsia"/>
          <w:sz w:val="24"/>
          <w:szCs w:val="24"/>
          <w:lang w:eastAsia="zh-CN"/>
        </w:rPr>
        <w:t>参与本项目的评估人员如下：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07"/>
        <w:gridCol w:w="4515"/>
      </w:tblGrid>
      <w:tr w:rsidR="003E679F" w:rsidRPr="003A1077" w:rsidTr="003E679F">
        <w:trPr>
          <w:jc w:val="center"/>
        </w:trPr>
        <w:tc>
          <w:tcPr>
            <w:tcW w:w="2351" w:type="pct"/>
            <w:shd w:val="clear" w:color="auto" w:fill="E5DFEC" w:themeFill="accent4" w:themeFillTint="33"/>
            <w:vAlign w:val="center"/>
          </w:tcPr>
          <w:p w:rsidR="003E679F" w:rsidRPr="003A1077" w:rsidRDefault="003E679F" w:rsidP="003A1077">
            <w:pPr>
              <w:adjustRightInd w:val="0"/>
              <w:snapToGrid w:val="0"/>
              <w:jc w:val="center"/>
              <w:rPr>
                <w:rFonts w:ascii="仿宋_GB2312" w:eastAsia="仿宋_GB2312" w:hAnsi="仿宋"/>
                <w:b/>
                <w:sz w:val="24"/>
                <w:szCs w:val="24"/>
              </w:rPr>
            </w:pPr>
            <w:r w:rsidRPr="003A1077">
              <w:rPr>
                <w:rFonts w:ascii="仿宋_GB2312" w:eastAsia="仿宋_GB2312" w:hAnsi="仿宋" w:hint="eastAsia"/>
                <w:b/>
                <w:sz w:val="24"/>
                <w:szCs w:val="24"/>
              </w:rPr>
              <w:t>角色</w:t>
            </w:r>
          </w:p>
        </w:tc>
        <w:tc>
          <w:tcPr>
            <w:tcW w:w="2649" w:type="pct"/>
            <w:shd w:val="clear" w:color="auto" w:fill="E5DFEC" w:themeFill="accent4" w:themeFillTint="33"/>
            <w:vAlign w:val="center"/>
          </w:tcPr>
          <w:p w:rsidR="003E679F" w:rsidRPr="003A1077" w:rsidRDefault="003E679F" w:rsidP="003A1077">
            <w:pPr>
              <w:adjustRightInd w:val="0"/>
              <w:snapToGrid w:val="0"/>
              <w:jc w:val="center"/>
              <w:rPr>
                <w:rFonts w:ascii="仿宋_GB2312" w:eastAsia="仿宋_GB2312" w:hAnsi="仿宋"/>
                <w:b/>
                <w:sz w:val="24"/>
                <w:szCs w:val="24"/>
              </w:rPr>
            </w:pPr>
            <w:r w:rsidRPr="003A1077">
              <w:rPr>
                <w:rFonts w:ascii="仿宋_GB2312" w:eastAsia="仿宋_GB2312" w:hAnsi="仿宋" w:hint="eastAsia"/>
                <w:b/>
                <w:sz w:val="24"/>
                <w:szCs w:val="24"/>
              </w:rPr>
              <w:t>姓名</w:t>
            </w:r>
          </w:p>
        </w:tc>
      </w:tr>
      <w:tr w:rsidR="003E679F" w:rsidRPr="003A1077" w:rsidTr="003A1077">
        <w:trPr>
          <w:trHeight w:val="396"/>
          <w:jc w:val="center"/>
        </w:trPr>
        <w:tc>
          <w:tcPr>
            <w:tcW w:w="2351" w:type="pct"/>
            <w:vAlign w:val="center"/>
          </w:tcPr>
          <w:p w:rsidR="003E679F" w:rsidRPr="003A1077" w:rsidRDefault="003E679F" w:rsidP="003A1077">
            <w:pPr>
              <w:adjustRightInd w:val="0"/>
              <w:snapToGrid w:val="0"/>
              <w:rPr>
                <w:rFonts w:ascii="仿宋_GB2312" w:eastAsia="仿宋_GB2312" w:hAnsi="仿宋"/>
                <w:sz w:val="24"/>
                <w:szCs w:val="24"/>
              </w:rPr>
            </w:pPr>
            <w:r w:rsidRPr="003A1077">
              <w:rPr>
                <w:rFonts w:ascii="仿宋_GB2312" w:eastAsia="仿宋_GB2312" w:hAnsi="仿宋" w:hint="eastAsia"/>
                <w:sz w:val="24"/>
                <w:szCs w:val="24"/>
              </w:rPr>
              <w:t>合伙人/总监</w:t>
            </w:r>
          </w:p>
        </w:tc>
        <w:tc>
          <w:tcPr>
            <w:tcW w:w="2649" w:type="pct"/>
            <w:vAlign w:val="center"/>
          </w:tcPr>
          <w:p w:rsidR="003E679F" w:rsidRPr="003A1077" w:rsidRDefault="003E679F" w:rsidP="003A1077">
            <w:pPr>
              <w:adjustRightInd w:val="0"/>
              <w:snapToGrid w:val="0"/>
              <w:rPr>
                <w:rFonts w:ascii="仿宋_GB2312" w:eastAsia="仿宋_GB2312" w:hAnsi="仿宋"/>
                <w:sz w:val="24"/>
                <w:szCs w:val="24"/>
              </w:rPr>
            </w:pPr>
          </w:p>
        </w:tc>
      </w:tr>
      <w:tr w:rsidR="003E679F" w:rsidRPr="003A1077" w:rsidTr="003A1077">
        <w:trPr>
          <w:trHeight w:val="417"/>
          <w:jc w:val="center"/>
        </w:trPr>
        <w:tc>
          <w:tcPr>
            <w:tcW w:w="2351" w:type="pct"/>
            <w:vAlign w:val="center"/>
          </w:tcPr>
          <w:p w:rsidR="003E679F" w:rsidRPr="003A1077" w:rsidRDefault="003E679F" w:rsidP="003A1077">
            <w:pPr>
              <w:adjustRightInd w:val="0"/>
              <w:snapToGrid w:val="0"/>
              <w:rPr>
                <w:rFonts w:ascii="仿宋_GB2312" w:eastAsia="仿宋_GB2312" w:hAnsi="仿宋"/>
                <w:sz w:val="24"/>
                <w:szCs w:val="24"/>
              </w:rPr>
            </w:pPr>
            <w:r w:rsidRPr="003A1077">
              <w:rPr>
                <w:rFonts w:ascii="仿宋_GB2312" w:eastAsia="仿宋_GB2312" w:hAnsi="仿宋" w:hint="eastAsia"/>
                <w:sz w:val="24"/>
                <w:szCs w:val="24"/>
              </w:rPr>
              <w:t>高级经理</w:t>
            </w:r>
          </w:p>
        </w:tc>
        <w:tc>
          <w:tcPr>
            <w:tcW w:w="2649" w:type="pct"/>
            <w:vAlign w:val="center"/>
          </w:tcPr>
          <w:p w:rsidR="003E679F" w:rsidRPr="003A1077" w:rsidRDefault="003E679F" w:rsidP="003A1077">
            <w:pPr>
              <w:adjustRightInd w:val="0"/>
              <w:snapToGrid w:val="0"/>
              <w:rPr>
                <w:rFonts w:ascii="仿宋_GB2312" w:eastAsia="仿宋_GB2312" w:hAnsi="仿宋"/>
                <w:sz w:val="24"/>
                <w:szCs w:val="24"/>
              </w:rPr>
            </w:pPr>
          </w:p>
        </w:tc>
      </w:tr>
      <w:tr w:rsidR="003E679F" w:rsidRPr="003A1077" w:rsidTr="003A1077">
        <w:trPr>
          <w:trHeight w:val="423"/>
          <w:jc w:val="center"/>
        </w:trPr>
        <w:tc>
          <w:tcPr>
            <w:tcW w:w="2351" w:type="pct"/>
            <w:vAlign w:val="center"/>
          </w:tcPr>
          <w:p w:rsidR="003E679F" w:rsidRPr="003A1077" w:rsidRDefault="003E679F" w:rsidP="003A1077">
            <w:pPr>
              <w:adjustRightInd w:val="0"/>
              <w:snapToGrid w:val="0"/>
              <w:rPr>
                <w:rFonts w:ascii="仿宋_GB2312" w:eastAsia="仿宋_GB2312" w:hAnsi="仿宋"/>
                <w:sz w:val="24"/>
                <w:szCs w:val="24"/>
              </w:rPr>
            </w:pPr>
            <w:r w:rsidRPr="003A1077">
              <w:rPr>
                <w:rFonts w:ascii="仿宋_GB2312" w:eastAsia="仿宋_GB2312" w:hAnsi="仿宋" w:hint="eastAsia"/>
                <w:sz w:val="24"/>
                <w:szCs w:val="24"/>
              </w:rPr>
              <w:t>经理</w:t>
            </w:r>
          </w:p>
        </w:tc>
        <w:tc>
          <w:tcPr>
            <w:tcW w:w="2649" w:type="pct"/>
            <w:vAlign w:val="center"/>
          </w:tcPr>
          <w:p w:rsidR="003E679F" w:rsidRPr="003A1077" w:rsidRDefault="003E679F" w:rsidP="003A1077">
            <w:pPr>
              <w:adjustRightInd w:val="0"/>
              <w:snapToGrid w:val="0"/>
              <w:rPr>
                <w:rFonts w:ascii="仿宋_GB2312" w:eastAsia="仿宋_GB2312" w:hAnsi="仿宋"/>
                <w:sz w:val="24"/>
                <w:szCs w:val="24"/>
              </w:rPr>
            </w:pPr>
          </w:p>
        </w:tc>
      </w:tr>
      <w:tr w:rsidR="003E679F" w:rsidRPr="003A1077" w:rsidTr="003A1077">
        <w:trPr>
          <w:trHeight w:val="401"/>
          <w:jc w:val="center"/>
        </w:trPr>
        <w:tc>
          <w:tcPr>
            <w:tcW w:w="2351" w:type="pct"/>
            <w:vAlign w:val="center"/>
          </w:tcPr>
          <w:p w:rsidR="003E679F" w:rsidRPr="003A1077" w:rsidRDefault="003E679F" w:rsidP="003A1077">
            <w:pPr>
              <w:adjustRightInd w:val="0"/>
              <w:snapToGrid w:val="0"/>
              <w:rPr>
                <w:rFonts w:ascii="仿宋_GB2312" w:eastAsia="仿宋_GB2312" w:hAnsi="仿宋"/>
                <w:sz w:val="24"/>
                <w:szCs w:val="24"/>
              </w:rPr>
            </w:pPr>
            <w:r w:rsidRPr="003A1077">
              <w:rPr>
                <w:rFonts w:ascii="仿宋_GB2312" w:eastAsia="仿宋_GB2312" w:hAnsi="仿宋" w:hint="eastAsia"/>
                <w:sz w:val="24"/>
                <w:szCs w:val="24"/>
              </w:rPr>
              <w:t>高级评估师</w:t>
            </w:r>
          </w:p>
        </w:tc>
        <w:tc>
          <w:tcPr>
            <w:tcW w:w="2649" w:type="pct"/>
            <w:vAlign w:val="center"/>
          </w:tcPr>
          <w:p w:rsidR="003E679F" w:rsidRPr="003A1077" w:rsidRDefault="003E679F" w:rsidP="003A1077">
            <w:pPr>
              <w:adjustRightInd w:val="0"/>
              <w:snapToGrid w:val="0"/>
              <w:rPr>
                <w:rFonts w:ascii="仿宋_GB2312" w:eastAsia="仿宋_GB2312" w:hAnsi="仿宋"/>
                <w:sz w:val="24"/>
                <w:szCs w:val="24"/>
              </w:rPr>
            </w:pPr>
          </w:p>
        </w:tc>
      </w:tr>
      <w:tr w:rsidR="003E679F" w:rsidRPr="003A1077" w:rsidTr="003A1077">
        <w:trPr>
          <w:trHeight w:val="420"/>
          <w:jc w:val="center"/>
        </w:trPr>
        <w:tc>
          <w:tcPr>
            <w:tcW w:w="2351" w:type="pct"/>
            <w:vAlign w:val="center"/>
          </w:tcPr>
          <w:p w:rsidR="003E679F" w:rsidRPr="003A1077" w:rsidRDefault="003E679F" w:rsidP="003A1077">
            <w:pPr>
              <w:adjustRightInd w:val="0"/>
              <w:snapToGrid w:val="0"/>
              <w:rPr>
                <w:rFonts w:ascii="仿宋_GB2312" w:eastAsia="仿宋_GB2312" w:hAnsi="仿宋"/>
                <w:sz w:val="24"/>
                <w:szCs w:val="24"/>
              </w:rPr>
            </w:pPr>
            <w:r w:rsidRPr="003A1077">
              <w:rPr>
                <w:rFonts w:ascii="仿宋_GB2312" w:eastAsia="仿宋_GB2312" w:hAnsi="仿宋" w:hint="eastAsia"/>
                <w:sz w:val="24"/>
                <w:szCs w:val="24"/>
              </w:rPr>
              <w:t>评估师</w:t>
            </w:r>
          </w:p>
        </w:tc>
        <w:tc>
          <w:tcPr>
            <w:tcW w:w="2649" w:type="pct"/>
            <w:vAlign w:val="center"/>
          </w:tcPr>
          <w:p w:rsidR="003E679F" w:rsidRPr="003A1077" w:rsidRDefault="003E679F" w:rsidP="003A1077">
            <w:pPr>
              <w:adjustRightInd w:val="0"/>
              <w:snapToGrid w:val="0"/>
              <w:rPr>
                <w:rFonts w:ascii="仿宋_GB2312" w:eastAsia="仿宋_GB2312" w:hAnsi="仿宋"/>
                <w:sz w:val="24"/>
                <w:szCs w:val="24"/>
              </w:rPr>
            </w:pPr>
          </w:p>
        </w:tc>
      </w:tr>
    </w:tbl>
    <w:p w:rsidR="003E679F" w:rsidRPr="003A1077" w:rsidRDefault="003E679F" w:rsidP="003E679F">
      <w:pPr>
        <w:pStyle w:val="2"/>
        <w:spacing w:line="300" w:lineRule="auto"/>
        <w:ind w:firstLineChars="200" w:firstLine="482"/>
        <w:rPr>
          <w:rFonts w:ascii="仿宋_GB2312" w:hAnsi="仿宋"/>
          <w:szCs w:val="24"/>
        </w:rPr>
      </w:pPr>
      <w:r w:rsidRPr="003A1077">
        <w:rPr>
          <w:rFonts w:ascii="仿宋_GB2312" w:hAnsi="仿宋" w:hint="eastAsia"/>
          <w:szCs w:val="24"/>
        </w:rPr>
        <w:t>三、评价管理层或管理</w:t>
      </w:r>
      <w:proofErr w:type="gramStart"/>
      <w:r w:rsidRPr="003A1077">
        <w:rPr>
          <w:rFonts w:ascii="仿宋_GB2312" w:hAnsi="仿宋" w:hint="eastAsia"/>
          <w:szCs w:val="24"/>
        </w:rPr>
        <w:t>层专家</w:t>
      </w:r>
      <w:proofErr w:type="gramEnd"/>
      <w:r w:rsidRPr="003A1077">
        <w:rPr>
          <w:rFonts w:ascii="仿宋_GB2312" w:hAnsi="仿宋" w:hint="eastAsia"/>
          <w:szCs w:val="24"/>
        </w:rPr>
        <w:t>的工作过程</w:t>
      </w:r>
    </w:p>
    <w:p w:rsidR="003E679F" w:rsidRPr="003A1077" w:rsidRDefault="003E679F" w:rsidP="00EB19A5">
      <w:pPr>
        <w:pStyle w:val="af4"/>
        <w:widowControl w:val="0"/>
        <w:adjustRightInd w:val="0"/>
        <w:snapToGrid w:val="0"/>
        <w:spacing w:beforeLines="50" w:before="156" w:after="0" w:line="300" w:lineRule="auto"/>
        <w:ind w:firstLineChars="200" w:firstLine="480"/>
        <w:jc w:val="both"/>
        <w:rPr>
          <w:rFonts w:ascii="仿宋_GB2312" w:eastAsia="仿宋_GB2312" w:hAnsi="仿宋"/>
          <w:color w:val="0000FF"/>
          <w:sz w:val="24"/>
          <w:szCs w:val="24"/>
          <w:lang w:eastAsia="zh-CN"/>
        </w:rPr>
      </w:pPr>
      <w:r w:rsidRPr="003A1077">
        <w:rPr>
          <w:rFonts w:ascii="仿宋_GB2312" w:eastAsia="仿宋_GB2312" w:hAnsi="仿宋" w:hint="eastAsia"/>
          <w:color w:val="0000FF"/>
          <w:sz w:val="24"/>
          <w:szCs w:val="24"/>
          <w:lang w:eastAsia="zh-CN"/>
        </w:rPr>
        <w:t>【根据具体的专家工作范围增删调整。】</w:t>
      </w:r>
    </w:p>
    <w:p w:rsidR="003E679F" w:rsidRPr="003A1077" w:rsidRDefault="003E679F" w:rsidP="00EB19A5">
      <w:pPr>
        <w:pStyle w:val="af4"/>
        <w:widowControl w:val="0"/>
        <w:adjustRightInd w:val="0"/>
        <w:snapToGrid w:val="0"/>
        <w:spacing w:beforeLines="50" w:before="156" w:after="0" w:line="300" w:lineRule="auto"/>
        <w:ind w:firstLineChars="200" w:firstLine="482"/>
        <w:jc w:val="both"/>
        <w:rPr>
          <w:rFonts w:ascii="仿宋_GB2312" w:eastAsia="仿宋_GB2312" w:hAnsi="仿宋"/>
          <w:b/>
          <w:sz w:val="24"/>
          <w:szCs w:val="24"/>
          <w:lang w:eastAsia="zh-CN"/>
        </w:rPr>
      </w:pPr>
      <w:r w:rsidRPr="003A1077">
        <w:rPr>
          <w:rFonts w:ascii="仿宋_GB2312" w:eastAsia="仿宋_GB2312" w:hAnsi="仿宋" w:hint="eastAsia"/>
          <w:b/>
          <w:sz w:val="24"/>
          <w:szCs w:val="24"/>
          <w:lang w:eastAsia="zh-CN"/>
        </w:rPr>
        <w:t>（一）主要适用于减值测试及公允价值计量的</w:t>
      </w:r>
      <w:r w:rsidR="00DE032D">
        <w:rPr>
          <w:rFonts w:ascii="仿宋_GB2312" w:eastAsia="仿宋_GB2312" w:hAnsi="仿宋" w:hint="eastAsia"/>
          <w:b/>
          <w:sz w:val="24"/>
          <w:szCs w:val="24"/>
          <w:lang w:eastAsia="zh-CN"/>
        </w:rPr>
        <w:t>测试</w:t>
      </w:r>
      <w:r w:rsidRPr="003A1077">
        <w:rPr>
          <w:rFonts w:ascii="仿宋_GB2312" w:eastAsia="仿宋_GB2312" w:hAnsi="仿宋" w:hint="eastAsia"/>
          <w:b/>
          <w:sz w:val="24"/>
          <w:szCs w:val="24"/>
          <w:lang w:eastAsia="zh-CN"/>
        </w:rPr>
        <w:t>内容</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1</w:t>
      </w:r>
      <w:r w:rsidRPr="003A1077">
        <w:rPr>
          <w:rFonts w:ascii="仿宋_GB2312" w:eastAsia="仿宋_GB2312" w:hAnsi="仿宋" w:cs="宋体" w:hint="eastAsia"/>
          <w:sz w:val="24"/>
          <w:szCs w:val="24"/>
          <w:lang w:eastAsia="zh-CN"/>
        </w:rPr>
        <w:t>、评估对象及评估范围是否与评估目的相匹配</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2</w:t>
      </w:r>
      <w:r w:rsidRPr="003A1077">
        <w:rPr>
          <w:rFonts w:ascii="仿宋_GB2312" w:eastAsia="仿宋_GB2312" w:hAnsi="仿宋" w:cs="宋体" w:hint="eastAsia"/>
          <w:sz w:val="24"/>
          <w:szCs w:val="24"/>
          <w:lang w:eastAsia="zh-CN"/>
        </w:rPr>
        <w:t>、价值类型是否与报告目的相符</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3</w:t>
      </w:r>
      <w:r w:rsidRPr="003A1077">
        <w:rPr>
          <w:rFonts w:ascii="仿宋_GB2312" w:eastAsia="仿宋_GB2312" w:hAnsi="仿宋" w:cs="宋体" w:hint="eastAsia"/>
          <w:sz w:val="24"/>
          <w:szCs w:val="24"/>
          <w:lang w:eastAsia="zh-CN"/>
        </w:rPr>
        <w:t>、评估基准日是否符合经济行为需要</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4</w:t>
      </w:r>
      <w:r w:rsidRPr="003A1077">
        <w:rPr>
          <w:rFonts w:ascii="仿宋_GB2312" w:eastAsia="仿宋_GB2312" w:hAnsi="仿宋" w:cs="宋体" w:hint="eastAsia"/>
          <w:sz w:val="24"/>
          <w:szCs w:val="24"/>
          <w:lang w:eastAsia="zh-CN"/>
        </w:rPr>
        <w:t>、评估假设与评估目的、评估方法的选择是否相符，是否合理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5</w:t>
      </w:r>
      <w:r w:rsidRPr="003A1077">
        <w:rPr>
          <w:rFonts w:ascii="仿宋_GB2312" w:eastAsia="仿宋_GB2312" w:hAnsi="仿宋" w:cs="宋体" w:hint="eastAsia"/>
          <w:sz w:val="24"/>
          <w:szCs w:val="24"/>
          <w:lang w:eastAsia="zh-CN"/>
        </w:rPr>
        <w:t>、评估方法及其选择是否合理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6</w:t>
      </w:r>
      <w:r w:rsidRPr="003A1077">
        <w:rPr>
          <w:rFonts w:ascii="仿宋_GB2312" w:eastAsia="仿宋_GB2312" w:hAnsi="仿宋" w:cs="宋体" w:hint="eastAsia"/>
          <w:sz w:val="24"/>
          <w:szCs w:val="24"/>
          <w:lang w:eastAsia="zh-CN"/>
        </w:rPr>
        <w:t>、评价收益法</w:t>
      </w:r>
      <w:r w:rsidRPr="003A1077">
        <w:rPr>
          <w:rFonts w:ascii="仿宋_GB2312" w:eastAsia="仿宋_GB2312" w:hAnsi="仿宋" w:hint="eastAsia"/>
          <w:sz w:val="24"/>
          <w:szCs w:val="24"/>
          <w:lang w:eastAsia="zh-CN"/>
        </w:rPr>
        <w:t>/</w:t>
      </w:r>
      <w:r w:rsidRPr="003A1077">
        <w:rPr>
          <w:rFonts w:ascii="仿宋_GB2312" w:eastAsia="仿宋_GB2312" w:hAnsi="仿宋" w:cs="宋体" w:hint="eastAsia"/>
          <w:sz w:val="24"/>
          <w:szCs w:val="24"/>
          <w:lang w:eastAsia="zh-CN"/>
        </w:rPr>
        <w:t>使用价值选用的参数和具体处理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1</w:t>
      </w:r>
      <w:r w:rsidRPr="003A1077">
        <w:rPr>
          <w:rFonts w:ascii="仿宋_GB2312" w:eastAsia="仿宋_GB2312" w:hAnsi="仿宋" w:cs="宋体" w:hint="eastAsia"/>
          <w:sz w:val="24"/>
          <w:szCs w:val="24"/>
          <w:lang w:eastAsia="zh-CN"/>
        </w:rPr>
        <w:t>）盈利预测是否有可靠的数据来源，是否与历史数据、运营计划、商业机会、行业数据、行业研究报告、宏观经济运行状况相符</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2</w:t>
      </w:r>
      <w:r w:rsidRPr="003A1077">
        <w:rPr>
          <w:rFonts w:ascii="仿宋_GB2312" w:eastAsia="仿宋_GB2312" w:hAnsi="仿宋" w:cs="宋体" w:hint="eastAsia"/>
          <w:sz w:val="24"/>
          <w:szCs w:val="24"/>
          <w:lang w:eastAsia="zh-CN"/>
        </w:rPr>
        <w:t>）对于营运资金的口径判断是否与非经营性资产负债一致</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3</w:t>
      </w:r>
      <w:r w:rsidRPr="003A1077">
        <w:rPr>
          <w:rFonts w:ascii="仿宋_GB2312" w:eastAsia="仿宋_GB2312" w:hAnsi="仿宋" w:cs="宋体" w:hint="eastAsia"/>
          <w:sz w:val="24"/>
          <w:szCs w:val="24"/>
          <w:lang w:eastAsia="zh-CN"/>
        </w:rPr>
        <w:t>）资本性支出预测是否与预算、运营计划一致</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4</w:t>
      </w:r>
      <w:r w:rsidRPr="003A1077">
        <w:rPr>
          <w:rFonts w:ascii="仿宋_GB2312" w:eastAsia="仿宋_GB2312" w:hAnsi="仿宋" w:cs="宋体" w:hint="eastAsia"/>
          <w:sz w:val="24"/>
          <w:szCs w:val="24"/>
          <w:lang w:eastAsia="zh-CN"/>
        </w:rPr>
        <w:t>）折旧摊销费用预测是否合理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5</w:t>
      </w:r>
      <w:r w:rsidRPr="003A1077">
        <w:rPr>
          <w:rFonts w:ascii="仿宋_GB2312" w:eastAsia="仿宋_GB2312" w:hAnsi="仿宋" w:cs="宋体" w:hint="eastAsia"/>
          <w:sz w:val="24"/>
          <w:szCs w:val="24"/>
          <w:lang w:eastAsia="zh-CN"/>
        </w:rPr>
        <w:t>）收益期（增长期及永续期）选择是否合理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6</w:t>
      </w:r>
      <w:r w:rsidRPr="003A1077">
        <w:rPr>
          <w:rFonts w:ascii="仿宋_GB2312" w:eastAsia="仿宋_GB2312" w:hAnsi="仿宋" w:cs="宋体" w:hint="eastAsia"/>
          <w:sz w:val="24"/>
          <w:szCs w:val="24"/>
          <w:lang w:eastAsia="zh-CN"/>
        </w:rPr>
        <w:t>）可比公司或可比交易的选择是否合理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7</w:t>
      </w:r>
      <w:r w:rsidRPr="003A1077">
        <w:rPr>
          <w:rFonts w:ascii="仿宋_GB2312" w:eastAsia="仿宋_GB2312" w:hAnsi="仿宋" w:cs="宋体" w:hint="eastAsia"/>
          <w:sz w:val="24"/>
          <w:szCs w:val="24"/>
          <w:lang w:eastAsia="zh-CN"/>
        </w:rPr>
        <w:t>）折现率计算是否合理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lastRenderedPageBreak/>
        <w:t>（</w:t>
      </w:r>
      <w:r w:rsidRPr="003A1077">
        <w:rPr>
          <w:rFonts w:ascii="仿宋_GB2312" w:eastAsia="仿宋_GB2312" w:hAnsi="仿宋" w:hint="eastAsia"/>
          <w:sz w:val="24"/>
          <w:szCs w:val="24"/>
          <w:lang w:eastAsia="zh-CN"/>
        </w:rPr>
        <w:t>8</w:t>
      </w:r>
      <w:r w:rsidRPr="003A1077">
        <w:rPr>
          <w:rFonts w:ascii="仿宋_GB2312" w:eastAsia="仿宋_GB2312" w:hAnsi="仿宋" w:cs="宋体" w:hint="eastAsia"/>
          <w:sz w:val="24"/>
          <w:szCs w:val="24"/>
          <w:lang w:eastAsia="zh-CN"/>
        </w:rPr>
        <w:t>）终值的处理是否合理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9</w:t>
      </w:r>
      <w:r w:rsidRPr="003A1077">
        <w:rPr>
          <w:rFonts w:ascii="仿宋_GB2312" w:eastAsia="仿宋_GB2312" w:hAnsi="仿宋" w:cs="宋体" w:hint="eastAsia"/>
          <w:sz w:val="24"/>
          <w:szCs w:val="24"/>
          <w:lang w:eastAsia="zh-CN"/>
        </w:rPr>
        <w:t>）对关键假设（如增长率、毛利率、折现率等）的敏感性分析结果</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7</w:t>
      </w:r>
      <w:r w:rsidRPr="003A1077">
        <w:rPr>
          <w:rFonts w:ascii="仿宋_GB2312" w:eastAsia="仿宋_GB2312" w:hAnsi="仿宋" w:cs="宋体" w:hint="eastAsia"/>
          <w:sz w:val="24"/>
          <w:szCs w:val="24"/>
          <w:lang w:eastAsia="zh-CN"/>
        </w:rPr>
        <w:t>、评价市场法选用的参数和具体处理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1</w:t>
      </w:r>
      <w:r w:rsidRPr="003A1077">
        <w:rPr>
          <w:rFonts w:ascii="仿宋_GB2312" w:eastAsia="仿宋_GB2312" w:hAnsi="仿宋" w:cs="宋体" w:hint="eastAsia"/>
          <w:sz w:val="24"/>
          <w:szCs w:val="24"/>
          <w:lang w:eastAsia="zh-CN"/>
        </w:rPr>
        <w:t>）价值乘数的选择是否合理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2</w:t>
      </w:r>
      <w:r w:rsidRPr="003A1077">
        <w:rPr>
          <w:rFonts w:ascii="仿宋_GB2312" w:eastAsia="仿宋_GB2312" w:hAnsi="仿宋" w:cs="宋体" w:hint="eastAsia"/>
          <w:sz w:val="24"/>
          <w:szCs w:val="24"/>
          <w:lang w:eastAsia="zh-CN"/>
        </w:rPr>
        <w:t>）可比公司或可比交易的选择是否与收益法中一致，是否合理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3</w:t>
      </w:r>
      <w:r w:rsidRPr="003A1077">
        <w:rPr>
          <w:rFonts w:ascii="仿宋_GB2312" w:eastAsia="仿宋_GB2312" w:hAnsi="仿宋" w:cs="宋体" w:hint="eastAsia"/>
          <w:sz w:val="24"/>
          <w:szCs w:val="24"/>
          <w:lang w:eastAsia="zh-CN"/>
        </w:rPr>
        <w:t>）价值乘数的计算时间是否合理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4</w:t>
      </w:r>
      <w:r w:rsidRPr="003A1077">
        <w:rPr>
          <w:rFonts w:ascii="仿宋_GB2312" w:eastAsia="仿宋_GB2312" w:hAnsi="仿宋" w:cs="宋体" w:hint="eastAsia"/>
          <w:sz w:val="24"/>
          <w:szCs w:val="24"/>
          <w:lang w:eastAsia="zh-CN"/>
        </w:rPr>
        <w:t>）对价值乘数的调整是否合理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5</w:t>
      </w:r>
      <w:r w:rsidRPr="003A1077">
        <w:rPr>
          <w:rFonts w:ascii="仿宋_GB2312" w:eastAsia="仿宋_GB2312" w:hAnsi="仿宋" w:cs="宋体" w:hint="eastAsia"/>
          <w:sz w:val="24"/>
          <w:szCs w:val="24"/>
          <w:lang w:eastAsia="zh-CN"/>
        </w:rPr>
        <w:t>）对关键假设的敏感性分析结果</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8</w:t>
      </w:r>
      <w:r w:rsidRPr="003A1077">
        <w:rPr>
          <w:rFonts w:ascii="仿宋_GB2312" w:eastAsia="仿宋_GB2312" w:hAnsi="仿宋" w:cs="宋体" w:hint="eastAsia"/>
          <w:sz w:val="24"/>
          <w:szCs w:val="24"/>
          <w:lang w:eastAsia="zh-CN"/>
        </w:rPr>
        <w:t>、评价成本法选用的参数和具体处理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1</w:t>
      </w:r>
      <w:r w:rsidRPr="003A1077">
        <w:rPr>
          <w:rFonts w:ascii="仿宋_GB2312" w:eastAsia="仿宋_GB2312" w:hAnsi="仿宋" w:cs="宋体" w:hint="eastAsia"/>
          <w:sz w:val="24"/>
          <w:szCs w:val="24"/>
          <w:lang w:eastAsia="zh-CN"/>
        </w:rPr>
        <w:t>）采用成本法是否恰当</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2</w:t>
      </w:r>
      <w:r w:rsidRPr="003A1077">
        <w:rPr>
          <w:rFonts w:ascii="仿宋_GB2312" w:eastAsia="仿宋_GB2312" w:hAnsi="仿宋" w:cs="宋体" w:hint="eastAsia"/>
          <w:sz w:val="24"/>
          <w:szCs w:val="24"/>
          <w:lang w:eastAsia="zh-CN"/>
        </w:rPr>
        <w:t>）重置成本的来源</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3</w:t>
      </w:r>
      <w:r w:rsidRPr="003A1077">
        <w:rPr>
          <w:rFonts w:ascii="仿宋_GB2312" w:eastAsia="仿宋_GB2312" w:hAnsi="仿宋" w:cs="宋体" w:hint="eastAsia"/>
          <w:sz w:val="24"/>
          <w:szCs w:val="24"/>
          <w:lang w:eastAsia="zh-CN"/>
        </w:rPr>
        <w:t>）评估对象的实体性贬值、功能性贬值及经济性贬值</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lastRenderedPageBreak/>
        <w:t>（</w:t>
      </w:r>
      <w:r w:rsidRPr="003A1077">
        <w:rPr>
          <w:rFonts w:ascii="仿宋_GB2312" w:eastAsia="仿宋_GB2312" w:hAnsi="仿宋" w:hint="eastAsia"/>
          <w:sz w:val="24"/>
          <w:szCs w:val="24"/>
          <w:lang w:eastAsia="zh-CN"/>
        </w:rPr>
        <w:t>4</w:t>
      </w:r>
      <w:r w:rsidRPr="003A1077">
        <w:rPr>
          <w:rFonts w:ascii="仿宋_GB2312" w:eastAsia="仿宋_GB2312" w:hAnsi="仿宋" w:cs="宋体" w:hint="eastAsia"/>
          <w:sz w:val="24"/>
          <w:szCs w:val="24"/>
          <w:lang w:eastAsia="zh-CN"/>
        </w:rPr>
        <w:t>）对关键假设的敏感性分析结果</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9</w:t>
      </w:r>
      <w:r w:rsidRPr="003A1077">
        <w:rPr>
          <w:rFonts w:ascii="仿宋_GB2312" w:eastAsia="仿宋_GB2312" w:hAnsi="仿宋" w:cs="宋体" w:hint="eastAsia"/>
          <w:sz w:val="24"/>
          <w:szCs w:val="24"/>
          <w:lang w:eastAsia="zh-CN"/>
        </w:rPr>
        <w:t>、评价以公允价值减去处置费用后的净额估计的可收回金额</w:t>
      </w:r>
      <w:r w:rsidRPr="003A1077">
        <w:rPr>
          <w:rFonts w:ascii="仿宋_GB2312" w:eastAsia="仿宋_GB2312" w:hAnsi="仿宋" w:cs="宋体" w:hint="eastAsia"/>
          <w:color w:val="0000FF"/>
          <w:sz w:val="24"/>
          <w:szCs w:val="24"/>
          <w:lang w:eastAsia="zh-CN"/>
        </w:rPr>
        <w:t>【涉及减值测试时】</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1</w:t>
      </w:r>
      <w:r w:rsidRPr="003A1077">
        <w:rPr>
          <w:rFonts w:ascii="仿宋_GB2312" w:eastAsia="仿宋_GB2312" w:hAnsi="仿宋" w:cs="宋体" w:hint="eastAsia"/>
          <w:sz w:val="24"/>
          <w:szCs w:val="24"/>
          <w:lang w:eastAsia="zh-CN"/>
        </w:rPr>
        <w:t>）公允价值的确定是否合理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2</w:t>
      </w:r>
      <w:r w:rsidRPr="003A1077">
        <w:rPr>
          <w:rFonts w:ascii="仿宋_GB2312" w:eastAsia="仿宋_GB2312" w:hAnsi="仿宋" w:cs="宋体" w:hint="eastAsia"/>
          <w:sz w:val="24"/>
          <w:szCs w:val="24"/>
          <w:lang w:eastAsia="zh-CN"/>
        </w:rPr>
        <w:t>）处置费用的预测是否合理，是否有充分、适当的证据支持</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10</w:t>
      </w:r>
      <w:r w:rsidRPr="003A1077">
        <w:rPr>
          <w:rFonts w:ascii="仿宋_GB2312" w:eastAsia="仿宋_GB2312" w:hAnsi="仿宋" w:cs="宋体" w:hint="eastAsia"/>
          <w:sz w:val="24"/>
          <w:szCs w:val="24"/>
          <w:lang w:eastAsia="zh-CN"/>
        </w:rPr>
        <w:t>、最终选择评估方法的理由是否合理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11</w:t>
      </w:r>
      <w:r w:rsidRPr="003A1077">
        <w:rPr>
          <w:rFonts w:ascii="仿宋_GB2312" w:eastAsia="仿宋_GB2312" w:hAnsi="仿宋" w:cs="宋体" w:hint="eastAsia"/>
          <w:sz w:val="24"/>
          <w:szCs w:val="24"/>
          <w:lang w:eastAsia="zh-CN"/>
        </w:rPr>
        <w:t>、评价资产组的确定及商誉的分摊</w:t>
      </w:r>
      <w:r w:rsidRPr="003A1077">
        <w:rPr>
          <w:rFonts w:ascii="仿宋_GB2312" w:eastAsia="仿宋_GB2312" w:hAnsi="仿宋" w:cs="宋体" w:hint="eastAsia"/>
          <w:color w:val="0000FF"/>
          <w:sz w:val="24"/>
          <w:szCs w:val="24"/>
          <w:lang w:eastAsia="zh-CN"/>
        </w:rPr>
        <w:t>【涉及商誉减值测试时】</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1</w:t>
      </w:r>
      <w:r w:rsidRPr="003A1077">
        <w:rPr>
          <w:rFonts w:ascii="仿宋_GB2312" w:eastAsia="仿宋_GB2312" w:hAnsi="仿宋" w:cs="宋体" w:hint="eastAsia"/>
          <w:sz w:val="24"/>
          <w:szCs w:val="24"/>
          <w:lang w:eastAsia="zh-CN"/>
        </w:rPr>
        <w:t>）商誉所在资产组或资产组组合的划分是否合理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2</w:t>
      </w:r>
      <w:r w:rsidRPr="003A1077">
        <w:rPr>
          <w:rFonts w:ascii="仿宋_GB2312" w:eastAsia="仿宋_GB2312" w:hAnsi="仿宋" w:cs="宋体" w:hint="eastAsia"/>
          <w:sz w:val="24"/>
          <w:szCs w:val="24"/>
          <w:lang w:eastAsia="zh-CN"/>
        </w:rPr>
        <w:t>）将商誉分摊至相关的资产组的方法是否合理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3</w:t>
      </w:r>
      <w:r w:rsidRPr="003A1077">
        <w:rPr>
          <w:rFonts w:ascii="仿宋_GB2312" w:eastAsia="仿宋_GB2312" w:hAnsi="仿宋" w:cs="宋体" w:hint="eastAsia"/>
          <w:sz w:val="24"/>
          <w:szCs w:val="24"/>
          <w:lang w:eastAsia="zh-CN"/>
        </w:rPr>
        <w:t>）资产组或资产组组合的可收回金额与其账面价值的确定基础是否一致</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4</w:t>
      </w:r>
      <w:r w:rsidRPr="003A1077">
        <w:rPr>
          <w:rFonts w:ascii="仿宋_GB2312" w:eastAsia="仿宋_GB2312" w:hAnsi="仿宋" w:cs="宋体" w:hint="eastAsia"/>
          <w:sz w:val="24"/>
          <w:szCs w:val="24"/>
          <w:lang w:eastAsia="zh-CN"/>
        </w:rPr>
        <w:t>）是否将归属于少数股东的商誉调整计入相关资产组或资产组组合账面价值</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5</w:t>
      </w:r>
      <w:r w:rsidRPr="003A1077">
        <w:rPr>
          <w:rFonts w:ascii="仿宋_GB2312" w:eastAsia="仿宋_GB2312" w:hAnsi="仿宋" w:cs="宋体" w:hint="eastAsia"/>
          <w:sz w:val="24"/>
          <w:szCs w:val="24"/>
          <w:lang w:eastAsia="zh-CN"/>
        </w:rPr>
        <w:t>）商誉所在资产组或资产组组合的构成发生改变时，是否重新对商誉账面价值进行合理分摊</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lastRenderedPageBreak/>
        <w:t>（</w:t>
      </w:r>
      <w:r w:rsidRPr="003A1077">
        <w:rPr>
          <w:rFonts w:ascii="仿宋_GB2312" w:eastAsia="仿宋_GB2312" w:hAnsi="仿宋" w:hint="eastAsia"/>
          <w:sz w:val="24"/>
          <w:szCs w:val="24"/>
          <w:lang w:eastAsia="zh-CN"/>
        </w:rPr>
        <w:t>6</w:t>
      </w:r>
      <w:r w:rsidRPr="003A1077">
        <w:rPr>
          <w:rFonts w:ascii="仿宋_GB2312" w:eastAsia="仿宋_GB2312" w:hAnsi="仿宋" w:cs="宋体" w:hint="eastAsia"/>
          <w:sz w:val="24"/>
          <w:szCs w:val="24"/>
          <w:lang w:eastAsia="zh-CN"/>
        </w:rPr>
        <w:t>）商誉减值的分配是否合理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12</w:t>
      </w:r>
      <w:r w:rsidRPr="003A1077">
        <w:rPr>
          <w:rFonts w:ascii="仿宋_GB2312" w:eastAsia="仿宋_GB2312" w:hAnsi="仿宋" w:cs="宋体" w:hint="eastAsia"/>
          <w:sz w:val="24"/>
          <w:szCs w:val="24"/>
          <w:lang w:eastAsia="zh-CN"/>
        </w:rPr>
        <w:t>、评价管理层的专家的工作</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1</w:t>
      </w:r>
      <w:r w:rsidRPr="003A1077">
        <w:rPr>
          <w:rFonts w:ascii="仿宋_GB2312" w:eastAsia="仿宋_GB2312" w:hAnsi="仿宋" w:cs="宋体" w:hint="eastAsia"/>
          <w:sz w:val="24"/>
          <w:szCs w:val="24"/>
          <w:lang w:eastAsia="zh-CN"/>
        </w:rPr>
        <w:t>）资产评估机构（若有）的报告是否考虑期后事项的影响</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2</w:t>
      </w:r>
      <w:r w:rsidRPr="003A1077">
        <w:rPr>
          <w:rFonts w:ascii="仿宋_GB2312" w:eastAsia="仿宋_GB2312" w:hAnsi="仿宋" w:cs="宋体" w:hint="eastAsia"/>
          <w:sz w:val="24"/>
          <w:szCs w:val="24"/>
          <w:lang w:eastAsia="zh-CN"/>
        </w:rPr>
        <w:t>）与以前期间方法是否一致</w:t>
      </w:r>
    </w:p>
    <w:p w:rsidR="003E679F" w:rsidRPr="003A1077" w:rsidRDefault="003E679F" w:rsidP="00EB19A5">
      <w:pPr>
        <w:pStyle w:val="af4"/>
        <w:adjustRightInd w:val="0"/>
        <w:snapToGrid w:val="0"/>
        <w:spacing w:beforeLines="50" w:before="156" w:line="300" w:lineRule="auto"/>
        <w:rPr>
          <w:rFonts w:ascii="仿宋_GB2312" w:eastAsia="仿宋_GB2312" w:hAnsi="仿宋"/>
          <w:sz w:val="24"/>
          <w:szCs w:val="24"/>
          <w:lang w:eastAsia="zh-CN"/>
        </w:rPr>
      </w:pPr>
    </w:p>
    <w:p w:rsidR="003E679F" w:rsidRPr="003A1077" w:rsidRDefault="003E679F" w:rsidP="00EB19A5">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p>
    <w:p w:rsidR="003E679F" w:rsidRPr="003A1077" w:rsidRDefault="00DE032D" w:rsidP="00EB19A5">
      <w:pPr>
        <w:pStyle w:val="af4"/>
        <w:widowControl w:val="0"/>
        <w:adjustRightInd w:val="0"/>
        <w:snapToGrid w:val="0"/>
        <w:spacing w:beforeLines="50" w:before="156" w:after="0" w:line="300" w:lineRule="auto"/>
        <w:ind w:firstLineChars="200" w:firstLine="482"/>
        <w:jc w:val="both"/>
        <w:rPr>
          <w:rFonts w:ascii="仿宋_GB2312" w:eastAsia="仿宋_GB2312" w:hAnsi="仿宋"/>
          <w:b/>
          <w:sz w:val="24"/>
          <w:szCs w:val="24"/>
          <w:lang w:eastAsia="zh-CN"/>
        </w:rPr>
      </w:pPr>
      <w:r>
        <w:rPr>
          <w:rFonts w:ascii="仿宋_GB2312" w:eastAsia="仿宋_GB2312" w:hAnsi="仿宋" w:hint="eastAsia"/>
          <w:b/>
          <w:sz w:val="24"/>
          <w:szCs w:val="24"/>
          <w:lang w:eastAsia="zh-CN"/>
        </w:rPr>
        <w:t>（二）主要适用于股份支付的测试</w:t>
      </w:r>
      <w:r w:rsidR="003E679F" w:rsidRPr="003A1077">
        <w:rPr>
          <w:rFonts w:ascii="仿宋_GB2312" w:eastAsia="仿宋_GB2312" w:hAnsi="仿宋" w:hint="eastAsia"/>
          <w:b/>
          <w:sz w:val="24"/>
          <w:szCs w:val="24"/>
          <w:lang w:eastAsia="zh-CN"/>
        </w:rPr>
        <w:t>内容</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1</w:t>
      </w:r>
      <w:r w:rsidRPr="003A1077">
        <w:rPr>
          <w:rFonts w:ascii="仿宋_GB2312" w:eastAsia="仿宋_GB2312" w:hAnsi="仿宋" w:cs="宋体" w:hint="eastAsia"/>
          <w:sz w:val="24"/>
          <w:szCs w:val="24"/>
          <w:lang w:eastAsia="zh-CN"/>
        </w:rPr>
        <w:t>、估值方法是否与估值对象相匹配</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对于股票期权，通常使用期权定价模型计算看涨期权的价值。</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color w:val="0000FF"/>
          <w:sz w:val="24"/>
          <w:szCs w:val="24"/>
          <w:lang w:eastAsia="zh-CN"/>
        </w:rPr>
        <w:t>对于限制性股票，非市场可行权条件（服务条件、业绩条件等）不应在确定授予日公允价值时予以考虑，因此限制性股票的锁定因素并不影响其公允价值的确定。但解锁后，对于部分高管人员所持股份的限售条款则属于非可行权条件，可以在计量公允价值时予以考虑。</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2</w:t>
      </w:r>
      <w:r w:rsidRPr="003A1077">
        <w:rPr>
          <w:rFonts w:ascii="仿宋_GB2312" w:eastAsia="仿宋_GB2312" w:hAnsi="仿宋" w:cs="宋体" w:hint="eastAsia"/>
          <w:sz w:val="24"/>
          <w:szCs w:val="24"/>
          <w:lang w:eastAsia="zh-CN"/>
        </w:rPr>
        <w:t>、估值基准日是否符合经济行为需要</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应评估权益工具授予日的公允价值。授予日，是</w:t>
      </w:r>
      <w:proofErr w:type="gramStart"/>
      <w:r w:rsidRPr="003A1077">
        <w:rPr>
          <w:rFonts w:ascii="仿宋_GB2312" w:eastAsia="仿宋_GB2312" w:hAnsi="仿宋" w:cs="宋体" w:hint="eastAsia"/>
          <w:color w:val="0000FF"/>
          <w:sz w:val="24"/>
          <w:szCs w:val="24"/>
          <w:lang w:eastAsia="zh-CN"/>
        </w:rPr>
        <w:t>指股份</w:t>
      </w:r>
      <w:proofErr w:type="gramEnd"/>
      <w:r w:rsidRPr="003A1077">
        <w:rPr>
          <w:rFonts w:ascii="仿宋_GB2312" w:eastAsia="仿宋_GB2312" w:hAnsi="仿宋" w:cs="宋体" w:hint="eastAsia"/>
          <w:color w:val="0000FF"/>
          <w:sz w:val="24"/>
          <w:szCs w:val="24"/>
          <w:lang w:eastAsia="zh-CN"/>
        </w:rPr>
        <w:t>支付协议获得批准的日期，是企业和另一方（包括职工）同意一项以股份为基础的支付安排的日期，即企业和交易对方对安排的条款和条件有着共同理解的日期。</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3</w:t>
      </w:r>
      <w:r w:rsidRPr="003A1077">
        <w:rPr>
          <w:rFonts w:ascii="仿宋_GB2312" w:eastAsia="仿宋_GB2312" w:hAnsi="仿宋" w:cs="宋体" w:hint="eastAsia"/>
          <w:sz w:val="24"/>
          <w:szCs w:val="24"/>
          <w:lang w:eastAsia="zh-CN"/>
        </w:rPr>
        <w:t>、是否恰当划分为多个独立的期权估值</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对于</w:t>
      </w:r>
      <w:r w:rsidRPr="003A1077">
        <w:rPr>
          <w:rFonts w:ascii="仿宋_GB2312" w:eastAsia="仿宋_GB2312" w:hAnsi="仿宋" w:hint="eastAsia"/>
          <w:color w:val="0000FF"/>
          <w:sz w:val="24"/>
          <w:szCs w:val="24"/>
          <w:lang w:eastAsia="zh-CN"/>
        </w:rPr>
        <w:t>“</w:t>
      </w:r>
      <w:r w:rsidRPr="003A1077">
        <w:rPr>
          <w:rFonts w:ascii="仿宋_GB2312" w:eastAsia="仿宋_GB2312" w:hAnsi="仿宋" w:cs="宋体" w:hint="eastAsia"/>
          <w:color w:val="0000FF"/>
          <w:sz w:val="24"/>
          <w:szCs w:val="24"/>
          <w:lang w:eastAsia="zh-CN"/>
        </w:rPr>
        <w:t>一次授予、分期行权</w:t>
      </w:r>
      <w:r w:rsidRPr="003A1077">
        <w:rPr>
          <w:rFonts w:ascii="仿宋_GB2312" w:eastAsia="仿宋_GB2312" w:hAnsi="仿宋" w:hint="eastAsia"/>
          <w:color w:val="0000FF"/>
          <w:sz w:val="24"/>
          <w:szCs w:val="24"/>
          <w:lang w:eastAsia="zh-CN"/>
        </w:rPr>
        <w:t>”</w:t>
      </w:r>
      <w:r w:rsidRPr="003A1077">
        <w:rPr>
          <w:rFonts w:ascii="仿宋_GB2312" w:eastAsia="仿宋_GB2312" w:hAnsi="仿宋" w:cs="宋体" w:hint="eastAsia"/>
          <w:color w:val="0000FF"/>
          <w:sz w:val="24"/>
          <w:szCs w:val="24"/>
          <w:lang w:eastAsia="zh-CN"/>
        </w:rPr>
        <w:t>的股份支付，其在授予日一次授予职工若干权益工具，之后每期分批达到可行权。每个批次是否可行权的结果通常是相对独立的，即每一期是否达到可行</w:t>
      </w:r>
      <w:proofErr w:type="gramStart"/>
      <w:r w:rsidRPr="003A1077">
        <w:rPr>
          <w:rFonts w:ascii="仿宋_GB2312" w:eastAsia="仿宋_GB2312" w:hAnsi="仿宋" w:cs="宋体" w:hint="eastAsia"/>
          <w:color w:val="0000FF"/>
          <w:sz w:val="24"/>
          <w:szCs w:val="24"/>
          <w:lang w:eastAsia="zh-CN"/>
        </w:rPr>
        <w:t>权条件</w:t>
      </w:r>
      <w:proofErr w:type="gramEnd"/>
      <w:r w:rsidRPr="003A1077">
        <w:rPr>
          <w:rFonts w:ascii="仿宋_GB2312" w:eastAsia="仿宋_GB2312" w:hAnsi="仿宋" w:cs="宋体" w:hint="eastAsia"/>
          <w:color w:val="0000FF"/>
          <w:sz w:val="24"/>
          <w:szCs w:val="24"/>
          <w:lang w:eastAsia="zh-CN"/>
        </w:rPr>
        <w:t>并不会直接决定其他几期是否能够达到可行权条件，在会计处理时应将其作为几个独立的股份支付计划处理。即此时需要分别计算各个期权的公允价值。</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4</w:t>
      </w:r>
      <w:r w:rsidRPr="003A1077">
        <w:rPr>
          <w:rFonts w:ascii="仿宋_GB2312" w:eastAsia="仿宋_GB2312" w:hAnsi="仿宋" w:cs="宋体" w:hint="eastAsia"/>
          <w:sz w:val="24"/>
          <w:szCs w:val="24"/>
          <w:lang w:eastAsia="zh-CN"/>
        </w:rPr>
        <w:t>、评价期权定价模型选用的参数和具体处理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lastRenderedPageBreak/>
        <w:t>（</w:t>
      </w:r>
      <w:r w:rsidRPr="003A1077">
        <w:rPr>
          <w:rFonts w:ascii="仿宋_GB2312" w:eastAsia="仿宋_GB2312" w:hAnsi="仿宋" w:hint="eastAsia"/>
          <w:sz w:val="24"/>
          <w:szCs w:val="24"/>
          <w:lang w:eastAsia="zh-CN"/>
        </w:rPr>
        <w:t>1</w:t>
      </w:r>
      <w:r w:rsidRPr="003A1077">
        <w:rPr>
          <w:rFonts w:ascii="仿宋_GB2312" w:eastAsia="仿宋_GB2312" w:hAnsi="仿宋" w:cs="宋体" w:hint="eastAsia"/>
          <w:sz w:val="24"/>
          <w:szCs w:val="24"/>
          <w:lang w:eastAsia="zh-CN"/>
        </w:rPr>
        <w:t>）标的股份的现行价格是否合理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对于上市公司股份，应来自于授予日的收盘价（即期权对应标的股份在活跃市场中的报价）；</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对于非上市股权（包括交易不活跃的新三板股票），应合</w:t>
      </w:r>
      <w:proofErr w:type="gramStart"/>
      <w:r w:rsidRPr="003A1077">
        <w:rPr>
          <w:rFonts w:ascii="仿宋_GB2312" w:eastAsia="仿宋_GB2312" w:hAnsi="仿宋" w:cs="宋体" w:hint="eastAsia"/>
          <w:color w:val="0000FF"/>
          <w:sz w:val="24"/>
          <w:szCs w:val="24"/>
          <w:lang w:eastAsia="zh-CN"/>
        </w:rPr>
        <w:t>理考虑</w:t>
      </w:r>
      <w:proofErr w:type="gramEnd"/>
      <w:r w:rsidRPr="003A1077">
        <w:rPr>
          <w:rFonts w:ascii="仿宋_GB2312" w:eastAsia="仿宋_GB2312" w:hAnsi="仿宋" w:cs="宋体" w:hint="eastAsia"/>
          <w:color w:val="0000FF"/>
          <w:sz w:val="24"/>
          <w:szCs w:val="24"/>
          <w:lang w:eastAsia="zh-CN"/>
        </w:rPr>
        <w:t>入股时间阶段、业绩基础与变动预期、市场环境变化、行业特点及市盈率与</w:t>
      </w:r>
      <w:proofErr w:type="gramStart"/>
      <w:r w:rsidRPr="003A1077">
        <w:rPr>
          <w:rFonts w:ascii="仿宋_GB2312" w:eastAsia="仿宋_GB2312" w:hAnsi="仿宋" w:cs="宋体" w:hint="eastAsia"/>
          <w:color w:val="0000FF"/>
          <w:sz w:val="24"/>
          <w:szCs w:val="24"/>
          <w:lang w:eastAsia="zh-CN"/>
        </w:rPr>
        <w:t>市净</w:t>
      </w:r>
      <w:proofErr w:type="gramEnd"/>
      <w:r w:rsidRPr="003A1077">
        <w:rPr>
          <w:rFonts w:ascii="仿宋_GB2312" w:eastAsia="仿宋_GB2312" w:hAnsi="仿宋" w:cs="宋体" w:hint="eastAsia"/>
          <w:color w:val="0000FF"/>
          <w:sz w:val="24"/>
          <w:szCs w:val="24"/>
          <w:lang w:eastAsia="zh-CN"/>
        </w:rPr>
        <w:t>率等因素的影响；可优先参考熟悉情况并按公平原则自愿交易的各方最近达成的入股价格或相似股权价格确定公允价值，如近期合理的</w:t>
      </w:r>
      <w:r w:rsidRPr="003A1077">
        <w:rPr>
          <w:rFonts w:ascii="仿宋_GB2312" w:eastAsia="仿宋_GB2312" w:hAnsi="仿宋" w:hint="eastAsia"/>
          <w:color w:val="0000FF"/>
          <w:sz w:val="24"/>
          <w:szCs w:val="24"/>
          <w:lang w:eastAsia="zh-CN"/>
        </w:rPr>
        <w:t>PE</w:t>
      </w:r>
      <w:r w:rsidRPr="003A1077">
        <w:rPr>
          <w:rFonts w:ascii="仿宋_GB2312" w:eastAsia="仿宋_GB2312" w:hAnsi="仿宋" w:cs="宋体" w:hint="eastAsia"/>
          <w:color w:val="0000FF"/>
          <w:sz w:val="24"/>
          <w:szCs w:val="24"/>
          <w:lang w:eastAsia="zh-CN"/>
        </w:rPr>
        <w:t>入股价；也可采用恰当的估值技术确定公允价值，但要避免采取有争议的、结果显失公平的估值技术或公允价值确定方法，如明显增长预期下按照成本法评估的每股净资产价值或账面净资产。</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2</w:t>
      </w:r>
      <w:r w:rsidRPr="003A1077">
        <w:rPr>
          <w:rFonts w:ascii="仿宋_GB2312" w:eastAsia="仿宋_GB2312" w:hAnsi="仿宋" w:cs="宋体" w:hint="eastAsia"/>
          <w:sz w:val="24"/>
          <w:szCs w:val="24"/>
          <w:lang w:eastAsia="zh-CN"/>
        </w:rPr>
        <w:t>）期权的行权价格是否激励计划中的约定一致</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3</w:t>
      </w:r>
      <w:r w:rsidRPr="003A1077">
        <w:rPr>
          <w:rFonts w:ascii="仿宋_GB2312" w:eastAsia="仿宋_GB2312" w:hAnsi="仿宋" w:cs="宋体" w:hint="eastAsia"/>
          <w:sz w:val="24"/>
          <w:szCs w:val="24"/>
          <w:lang w:eastAsia="zh-CN"/>
        </w:rPr>
        <w:t>）期权有效期的确定是否合理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期权估值时考虑的期限是预期期限，而非初始约定的期限。</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color w:val="0000FF"/>
          <w:sz w:val="24"/>
          <w:szCs w:val="24"/>
          <w:lang w:eastAsia="zh-CN"/>
        </w:rPr>
        <w:t>期权有效期（期权期限）并不必然是等待期，例如对于等待期为</w:t>
      </w:r>
      <w:r w:rsidRPr="003A1077">
        <w:rPr>
          <w:rFonts w:ascii="仿宋_GB2312" w:eastAsia="仿宋_GB2312" w:hAnsi="仿宋" w:hint="eastAsia"/>
          <w:color w:val="0000FF"/>
          <w:sz w:val="24"/>
          <w:szCs w:val="24"/>
          <w:lang w:eastAsia="zh-CN"/>
        </w:rPr>
        <w:t>1</w:t>
      </w:r>
      <w:r w:rsidRPr="003A1077">
        <w:rPr>
          <w:rFonts w:ascii="仿宋_GB2312" w:eastAsia="仿宋_GB2312" w:hAnsi="仿宋" w:cs="宋体" w:hint="eastAsia"/>
          <w:color w:val="0000FF"/>
          <w:sz w:val="24"/>
          <w:szCs w:val="24"/>
          <w:lang w:eastAsia="zh-CN"/>
        </w:rPr>
        <w:t>年，</w:t>
      </w:r>
      <w:proofErr w:type="gramStart"/>
      <w:r w:rsidRPr="003A1077">
        <w:rPr>
          <w:rFonts w:ascii="仿宋_GB2312" w:eastAsia="仿宋_GB2312" w:hAnsi="仿宋" w:cs="宋体" w:hint="eastAsia"/>
          <w:color w:val="0000FF"/>
          <w:sz w:val="24"/>
          <w:szCs w:val="24"/>
          <w:lang w:eastAsia="zh-CN"/>
        </w:rPr>
        <w:t>可行权期为</w:t>
      </w:r>
      <w:proofErr w:type="gramEnd"/>
      <w:r w:rsidRPr="003A1077">
        <w:rPr>
          <w:rFonts w:ascii="仿宋_GB2312" w:eastAsia="仿宋_GB2312" w:hAnsi="仿宋" w:cs="宋体" w:hint="eastAsia"/>
          <w:color w:val="0000FF"/>
          <w:sz w:val="24"/>
          <w:szCs w:val="24"/>
          <w:lang w:eastAsia="zh-CN"/>
        </w:rPr>
        <w:t>可行权日后</w:t>
      </w:r>
      <w:r w:rsidRPr="003A1077">
        <w:rPr>
          <w:rFonts w:ascii="仿宋_GB2312" w:eastAsia="仿宋_GB2312" w:hAnsi="仿宋" w:hint="eastAsia"/>
          <w:color w:val="0000FF"/>
          <w:sz w:val="24"/>
          <w:szCs w:val="24"/>
          <w:lang w:eastAsia="zh-CN"/>
        </w:rPr>
        <w:t>12</w:t>
      </w:r>
      <w:r w:rsidRPr="003A1077">
        <w:rPr>
          <w:rFonts w:ascii="仿宋_GB2312" w:eastAsia="仿宋_GB2312" w:hAnsi="仿宋" w:cs="宋体" w:hint="eastAsia"/>
          <w:color w:val="0000FF"/>
          <w:sz w:val="24"/>
          <w:szCs w:val="24"/>
          <w:lang w:eastAsia="zh-CN"/>
        </w:rPr>
        <w:t>个月的期权，假设激励对象在可行权日后立即行权，则期权有效期（剩余年限）为</w:t>
      </w:r>
      <w:r w:rsidRPr="003A1077">
        <w:rPr>
          <w:rFonts w:ascii="仿宋_GB2312" w:eastAsia="仿宋_GB2312" w:hAnsi="仿宋" w:hint="eastAsia"/>
          <w:color w:val="0000FF"/>
          <w:sz w:val="24"/>
          <w:szCs w:val="24"/>
          <w:lang w:eastAsia="zh-CN"/>
        </w:rPr>
        <w:t>1</w:t>
      </w:r>
      <w:r w:rsidRPr="003A1077">
        <w:rPr>
          <w:rFonts w:ascii="仿宋_GB2312" w:eastAsia="仿宋_GB2312" w:hAnsi="仿宋" w:cs="宋体" w:hint="eastAsia"/>
          <w:color w:val="0000FF"/>
          <w:sz w:val="24"/>
          <w:szCs w:val="24"/>
          <w:lang w:eastAsia="zh-CN"/>
        </w:rPr>
        <w:t>年；假设激励对象在</w:t>
      </w:r>
      <w:proofErr w:type="gramStart"/>
      <w:r w:rsidRPr="003A1077">
        <w:rPr>
          <w:rFonts w:ascii="仿宋_GB2312" w:eastAsia="仿宋_GB2312" w:hAnsi="仿宋" w:cs="宋体" w:hint="eastAsia"/>
          <w:color w:val="0000FF"/>
          <w:sz w:val="24"/>
          <w:szCs w:val="24"/>
          <w:lang w:eastAsia="zh-CN"/>
        </w:rPr>
        <w:t>可行权期匀速</w:t>
      </w:r>
      <w:proofErr w:type="gramEnd"/>
      <w:r w:rsidRPr="003A1077">
        <w:rPr>
          <w:rFonts w:ascii="仿宋_GB2312" w:eastAsia="仿宋_GB2312" w:hAnsi="仿宋" w:cs="宋体" w:hint="eastAsia"/>
          <w:color w:val="0000FF"/>
          <w:sz w:val="24"/>
          <w:szCs w:val="24"/>
          <w:lang w:eastAsia="zh-CN"/>
        </w:rPr>
        <w:t>行权，则期权有效期（剩余年限）为</w:t>
      </w:r>
      <w:r w:rsidRPr="003A1077">
        <w:rPr>
          <w:rFonts w:ascii="仿宋_GB2312" w:eastAsia="仿宋_GB2312" w:hAnsi="仿宋" w:hint="eastAsia"/>
          <w:color w:val="0000FF"/>
          <w:sz w:val="24"/>
          <w:szCs w:val="24"/>
          <w:lang w:eastAsia="zh-CN"/>
        </w:rPr>
        <w:t xml:space="preserve">1.5 </w:t>
      </w:r>
      <w:r w:rsidRPr="003A1077">
        <w:rPr>
          <w:rFonts w:ascii="仿宋_GB2312" w:eastAsia="仿宋_GB2312" w:hAnsi="仿宋" w:cs="宋体" w:hint="eastAsia"/>
          <w:color w:val="0000FF"/>
          <w:sz w:val="24"/>
          <w:szCs w:val="24"/>
          <w:lang w:eastAsia="zh-CN"/>
        </w:rPr>
        <w:t>年（即，（最短可行权期限＋最长可行权期限）</w:t>
      </w:r>
      <w:r w:rsidRPr="003A1077">
        <w:rPr>
          <w:rFonts w:ascii="仿宋_GB2312" w:eastAsia="仿宋_GB2312" w:hAnsi="仿宋" w:hint="eastAsia"/>
          <w:color w:val="0000FF"/>
          <w:sz w:val="24"/>
          <w:szCs w:val="24"/>
          <w:lang w:eastAsia="zh-CN"/>
        </w:rPr>
        <w:t>÷2</w:t>
      </w:r>
      <w:r w:rsidRPr="003A1077">
        <w:rPr>
          <w:rFonts w:ascii="仿宋_GB2312" w:eastAsia="仿宋_GB2312" w:hAnsi="仿宋" w:cs="宋体" w:hint="eastAsia"/>
          <w:color w:val="0000FF"/>
          <w:sz w:val="24"/>
          <w:szCs w:val="24"/>
          <w:lang w:eastAsia="zh-CN"/>
        </w:rPr>
        <w:t>）。具体行权模式需考虑公司具体情况，如激励对象的行为模式预期。</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4</w:t>
      </w:r>
      <w:r w:rsidRPr="003A1077">
        <w:rPr>
          <w:rFonts w:ascii="仿宋_GB2312" w:eastAsia="仿宋_GB2312" w:hAnsi="仿宋" w:cs="宋体" w:hint="eastAsia"/>
          <w:sz w:val="24"/>
          <w:szCs w:val="24"/>
          <w:lang w:eastAsia="zh-CN"/>
        </w:rPr>
        <w:t>）股价预计波动率的计算是否合理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期权定价模型中所用的波动率的度量，是一段时间内股份的连续复利回报率的年度标准差。股价预计波动率通常根据与期权的预计期限（考虑期权剩余期限和预计提早行权的影响）大体相当的最近一个时期内企业股价的历史波动率计算。</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如果企业因新近上市而没有历史波动率的充分信息，应按可获得交易活动数据的</w:t>
      </w:r>
      <w:proofErr w:type="gramStart"/>
      <w:r w:rsidRPr="003A1077">
        <w:rPr>
          <w:rFonts w:ascii="仿宋_GB2312" w:eastAsia="仿宋_GB2312" w:hAnsi="仿宋" w:cs="宋体" w:hint="eastAsia"/>
          <w:color w:val="0000FF"/>
          <w:sz w:val="24"/>
          <w:szCs w:val="24"/>
          <w:lang w:eastAsia="zh-CN"/>
        </w:rPr>
        <w:t>最</w:t>
      </w:r>
      <w:proofErr w:type="gramEnd"/>
      <w:r w:rsidRPr="003A1077">
        <w:rPr>
          <w:rFonts w:ascii="仿宋_GB2312" w:eastAsia="仿宋_GB2312" w:hAnsi="仿宋" w:cs="宋体" w:hint="eastAsia"/>
          <w:color w:val="0000FF"/>
          <w:sz w:val="24"/>
          <w:szCs w:val="24"/>
          <w:lang w:eastAsia="zh-CN"/>
        </w:rPr>
        <w:t>长期间计算历史波动率，也可考虑类似企业在类似阶段可比期间的历史波动率。如果企业是非上市企业，在估计预计波动率时没有历史信息可循，可考虑类似上市企业股价的历史或内含波动率。</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5</w:t>
      </w:r>
      <w:r w:rsidRPr="003A1077">
        <w:rPr>
          <w:rFonts w:ascii="仿宋_GB2312" w:eastAsia="仿宋_GB2312" w:hAnsi="仿宋" w:cs="宋体" w:hint="eastAsia"/>
          <w:sz w:val="24"/>
          <w:szCs w:val="24"/>
          <w:lang w:eastAsia="zh-CN"/>
        </w:rPr>
        <w:t>）股份的预计股利率的计算是否合理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lastRenderedPageBreak/>
        <w:t>预计股利应以公开可获取的信息为基础。不支付股利且没有支付股利计划的企业应假设预计股利收益率为零。</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6</w:t>
      </w:r>
      <w:r w:rsidRPr="003A1077">
        <w:rPr>
          <w:rFonts w:ascii="仿宋_GB2312" w:eastAsia="仿宋_GB2312" w:hAnsi="仿宋" w:cs="宋体" w:hint="eastAsia"/>
          <w:sz w:val="24"/>
          <w:szCs w:val="24"/>
          <w:lang w:eastAsia="zh-CN"/>
        </w:rPr>
        <w:t>）期权有效期内的无风险利率的选择是否合理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无风险利率应当用无违约风险的固定证券收益来估计，例如与期权到期日相同的国债利率，如果没有相同期限的，可选择期间最接近的国债的利率。</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5</w:t>
      </w:r>
      <w:r w:rsidRPr="003A1077">
        <w:rPr>
          <w:rFonts w:ascii="仿宋_GB2312" w:eastAsia="仿宋_GB2312" w:hAnsi="仿宋" w:cs="宋体" w:hint="eastAsia"/>
          <w:sz w:val="24"/>
          <w:szCs w:val="24"/>
          <w:lang w:eastAsia="zh-CN"/>
        </w:rPr>
        <w:t>、限制性股票是否恰当考虑锁定因素的影响</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1</w:t>
      </w:r>
      <w:r w:rsidRPr="003A1077">
        <w:rPr>
          <w:rFonts w:ascii="仿宋_GB2312" w:eastAsia="仿宋_GB2312" w:hAnsi="仿宋" w:cs="宋体" w:hint="eastAsia"/>
          <w:sz w:val="24"/>
          <w:szCs w:val="24"/>
          <w:lang w:eastAsia="zh-CN"/>
        </w:rPr>
        <w:t>）锁定期限制的是否恰当处理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按照我国上市公司限制性股票股权激励的常见条款，锁定期实质上相当于等待期，</w:t>
      </w:r>
      <w:proofErr w:type="gramStart"/>
      <w:r w:rsidRPr="003A1077">
        <w:rPr>
          <w:rFonts w:ascii="仿宋_GB2312" w:eastAsia="仿宋_GB2312" w:hAnsi="仿宋" w:cs="宋体" w:hint="eastAsia"/>
          <w:color w:val="0000FF"/>
          <w:sz w:val="24"/>
          <w:szCs w:val="24"/>
          <w:lang w:eastAsia="zh-CN"/>
        </w:rPr>
        <w:t>解锁日</w:t>
      </w:r>
      <w:proofErr w:type="gramEnd"/>
      <w:r w:rsidRPr="003A1077">
        <w:rPr>
          <w:rFonts w:ascii="仿宋_GB2312" w:eastAsia="仿宋_GB2312" w:hAnsi="仿宋" w:cs="宋体" w:hint="eastAsia"/>
          <w:color w:val="0000FF"/>
          <w:sz w:val="24"/>
          <w:szCs w:val="24"/>
          <w:lang w:eastAsia="zh-CN"/>
        </w:rPr>
        <w:t>为可行权日，解锁条件为非市场可行权条件（服务条件、业绩条件等）。根据股份支付准则，非市场可行</w:t>
      </w:r>
      <w:proofErr w:type="gramStart"/>
      <w:r w:rsidRPr="003A1077">
        <w:rPr>
          <w:rFonts w:ascii="仿宋_GB2312" w:eastAsia="仿宋_GB2312" w:hAnsi="仿宋" w:cs="宋体" w:hint="eastAsia"/>
          <w:color w:val="0000FF"/>
          <w:sz w:val="24"/>
          <w:szCs w:val="24"/>
          <w:lang w:eastAsia="zh-CN"/>
        </w:rPr>
        <w:t>权条件</w:t>
      </w:r>
      <w:proofErr w:type="gramEnd"/>
      <w:r w:rsidRPr="003A1077">
        <w:rPr>
          <w:rFonts w:ascii="仿宋_GB2312" w:eastAsia="仿宋_GB2312" w:hAnsi="仿宋" w:cs="宋体" w:hint="eastAsia"/>
          <w:color w:val="0000FF"/>
          <w:sz w:val="24"/>
          <w:szCs w:val="24"/>
          <w:lang w:eastAsia="zh-CN"/>
        </w:rPr>
        <w:t>不应在确定授予日公允价值时予以考虑，因此限制性股票的锁定因素并不影响其公允价值的确定。</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2</w:t>
      </w:r>
      <w:r w:rsidRPr="003A1077">
        <w:rPr>
          <w:rFonts w:ascii="仿宋_GB2312" w:eastAsia="仿宋_GB2312" w:hAnsi="仿宋" w:cs="宋体" w:hint="eastAsia"/>
          <w:sz w:val="24"/>
          <w:szCs w:val="24"/>
          <w:lang w:eastAsia="zh-CN"/>
        </w:rPr>
        <w:t>）解锁后限售条款的是否恰当处理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解锁后，对于部分高管人员所持股份的限售条款则属于非可行权条件，可以在计量公允价值时予以考虑。</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6</w:t>
      </w:r>
      <w:r w:rsidRPr="003A1077">
        <w:rPr>
          <w:rFonts w:ascii="仿宋_GB2312" w:eastAsia="仿宋_GB2312" w:hAnsi="仿宋" w:cs="宋体" w:hint="eastAsia"/>
          <w:sz w:val="24"/>
          <w:szCs w:val="24"/>
          <w:lang w:eastAsia="zh-CN"/>
        </w:rPr>
        <w:t>、评价股份支付成本费用的分摊</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1</w:t>
      </w:r>
      <w:r w:rsidRPr="003A1077">
        <w:rPr>
          <w:rFonts w:ascii="仿宋_GB2312" w:eastAsia="仿宋_GB2312" w:hAnsi="仿宋" w:cs="宋体" w:hint="eastAsia"/>
          <w:sz w:val="24"/>
          <w:szCs w:val="24"/>
          <w:lang w:eastAsia="zh-CN"/>
        </w:rPr>
        <w:t>）是否恰当划分为多个独立的期权分摊费用</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对于</w:t>
      </w:r>
      <w:r w:rsidRPr="003A1077">
        <w:rPr>
          <w:rFonts w:ascii="仿宋_GB2312" w:eastAsia="仿宋_GB2312" w:hAnsi="仿宋" w:hint="eastAsia"/>
          <w:color w:val="0000FF"/>
          <w:sz w:val="24"/>
          <w:szCs w:val="24"/>
          <w:lang w:eastAsia="zh-CN"/>
        </w:rPr>
        <w:t>“</w:t>
      </w:r>
      <w:r w:rsidRPr="003A1077">
        <w:rPr>
          <w:rFonts w:ascii="仿宋_GB2312" w:eastAsia="仿宋_GB2312" w:hAnsi="仿宋" w:cs="宋体" w:hint="eastAsia"/>
          <w:color w:val="0000FF"/>
          <w:sz w:val="24"/>
          <w:szCs w:val="24"/>
          <w:lang w:eastAsia="zh-CN"/>
        </w:rPr>
        <w:t>一次授予、分期行权</w:t>
      </w:r>
      <w:r w:rsidRPr="003A1077">
        <w:rPr>
          <w:rFonts w:ascii="仿宋_GB2312" w:eastAsia="仿宋_GB2312" w:hAnsi="仿宋" w:hint="eastAsia"/>
          <w:color w:val="0000FF"/>
          <w:sz w:val="24"/>
          <w:szCs w:val="24"/>
          <w:lang w:eastAsia="zh-CN"/>
        </w:rPr>
        <w:t>”</w:t>
      </w:r>
      <w:r w:rsidRPr="003A1077">
        <w:rPr>
          <w:rFonts w:ascii="仿宋_GB2312" w:eastAsia="仿宋_GB2312" w:hAnsi="仿宋" w:cs="宋体" w:hint="eastAsia"/>
          <w:color w:val="0000FF"/>
          <w:sz w:val="24"/>
          <w:szCs w:val="24"/>
          <w:lang w:eastAsia="zh-CN"/>
        </w:rPr>
        <w:t>的股份支付，每个批次是否可行权的结果通常是相对独立的，即每一期是否达到可行</w:t>
      </w:r>
      <w:proofErr w:type="gramStart"/>
      <w:r w:rsidRPr="003A1077">
        <w:rPr>
          <w:rFonts w:ascii="仿宋_GB2312" w:eastAsia="仿宋_GB2312" w:hAnsi="仿宋" w:cs="宋体" w:hint="eastAsia"/>
          <w:color w:val="0000FF"/>
          <w:sz w:val="24"/>
          <w:szCs w:val="24"/>
          <w:lang w:eastAsia="zh-CN"/>
        </w:rPr>
        <w:t>权条件</w:t>
      </w:r>
      <w:proofErr w:type="gramEnd"/>
      <w:r w:rsidRPr="003A1077">
        <w:rPr>
          <w:rFonts w:ascii="仿宋_GB2312" w:eastAsia="仿宋_GB2312" w:hAnsi="仿宋" w:cs="宋体" w:hint="eastAsia"/>
          <w:color w:val="0000FF"/>
          <w:sz w:val="24"/>
          <w:szCs w:val="24"/>
          <w:lang w:eastAsia="zh-CN"/>
        </w:rPr>
        <w:t>并不会直接决定其他几期是否能够达到可行权条件，在会计处理时应将其作为几个独立的股份支付计划处理。相当于职工同时在为多个期权工作，各年费用递减。每年按当年等待时间长度占总等待期长度的比例分摊各期的成本费用。</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2</w:t>
      </w:r>
      <w:r w:rsidRPr="003A1077">
        <w:rPr>
          <w:rFonts w:ascii="仿宋_GB2312" w:eastAsia="仿宋_GB2312" w:hAnsi="仿宋" w:cs="宋体" w:hint="eastAsia"/>
          <w:sz w:val="24"/>
          <w:szCs w:val="24"/>
          <w:lang w:eastAsia="zh-CN"/>
        </w:rPr>
        <w:t>）是否恰当考虑可行</w:t>
      </w:r>
      <w:proofErr w:type="gramStart"/>
      <w:r w:rsidRPr="003A1077">
        <w:rPr>
          <w:rFonts w:ascii="仿宋_GB2312" w:eastAsia="仿宋_GB2312" w:hAnsi="仿宋" w:cs="宋体" w:hint="eastAsia"/>
          <w:sz w:val="24"/>
          <w:szCs w:val="24"/>
          <w:lang w:eastAsia="zh-CN"/>
        </w:rPr>
        <w:t>权人数</w:t>
      </w:r>
      <w:proofErr w:type="gramEnd"/>
      <w:r w:rsidRPr="003A1077">
        <w:rPr>
          <w:rFonts w:ascii="仿宋_GB2312" w:eastAsia="仿宋_GB2312" w:hAnsi="仿宋" w:cs="宋体" w:hint="eastAsia"/>
          <w:sz w:val="24"/>
          <w:szCs w:val="24"/>
          <w:lang w:eastAsia="zh-CN"/>
        </w:rPr>
        <w:t>的变动</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在各个资产负债表日，应根据最新取得的可行</w:t>
      </w:r>
      <w:proofErr w:type="gramStart"/>
      <w:r w:rsidRPr="003A1077">
        <w:rPr>
          <w:rFonts w:ascii="仿宋_GB2312" w:eastAsia="仿宋_GB2312" w:hAnsi="仿宋" w:cs="宋体" w:hint="eastAsia"/>
          <w:color w:val="0000FF"/>
          <w:sz w:val="24"/>
          <w:szCs w:val="24"/>
          <w:lang w:eastAsia="zh-CN"/>
        </w:rPr>
        <w:t>权人数</w:t>
      </w:r>
      <w:proofErr w:type="gramEnd"/>
      <w:r w:rsidRPr="003A1077">
        <w:rPr>
          <w:rFonts w:ascii="仿宋_GB2312" w:eastAsia="仿宋_GB2312" w:hAnsi="仿宋" w:cs="宋体" w:hint="eastAsia"/>
          <w:color w:val="0000FF"/>
          <w:sz w:val="24"/>
          <w:szCs w:val="24"/>
          <w:lang w:eastAsia="zh-CN"/>
        </w:rPr>
        <w:t>变动、业绩指标完成情况等后续信息，修正预计可行权的股票期权数量，并以此为依据确认各期应分摊的费用。</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3</w:t>
      </w:r>
      <w:r w:rsidRPr="003A1077">
        <w:rPr>
          <w:rFonts w:ascii="仿宋_GB2312" w:eastAsia="仿宋_GB2312" w:hAnsi="仿宋" w:cs="宋体" w:hint="eastAsia"/>
          <w:sz w:val="24"/>
          <w:szCs w:val="24"/>
          <w:lang w:eastAsia="zh-CN"/>
        </w:rPr>
        <w:t>）等待期</w:t>
      </w:r>
      <w:proofErr w:type="gramStart"/>
      <w:r w:rsidRPr="003A1077">
        <w:rPr>
          <w:rFonts w:ascii="仿宋_GB2312" w:eastAsia="仿宋_GB2312" w:hAnsi="仿宋" w:cs="宋体" w:hint="eastAsia"/>
          <w:sz w:val="24"/>
          <w:szCs w:val="24"/>
          <w:lang w:eastAsia="zh-CN"/>
        </w:rPr>
        <w:t>内费用</w:t>
      </w:r>
      <w:proofErr w:type="gramEnd"/>
      <w:r w:rsidRPr="003A1077">
        <w:rPr>
          <w:rFonts w:ascii="仿宋_GB2312" w:eastAsia="仿宋_GB2312" w:hAnsi="仿宋" w:cs="宋体" w:hint="eastAsia"/>
          <w:sz w:val="24"/>
          <w:szCs w:val="24"/>
          <w:lang w:eastAsia="zh-CN"/>
        </w:rPr>
        <w:t>分摊是否正确</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lastRenderedPageBreak/>
        <w:t>等待期是指可行</w:t>
      </w:r>
      <w:proofErr w:type="gramStart"/>
      <w:r w:rsidRPr="003A1077">
        <w:rPr>
          <w:rFonts w:ascii="仿宋_GB2312" w:eastAsia="仿宋_GB2312" w:hAnsi="仿宋" w:cs="宋体" w:hint="eastAsia"/>
          <w:color w:val="0000FF"/>
          <w:sz w:val="24"/>
          <w:szCs w:val="24"/>
          <w:lang w:eastAsia="zh-CN"/>
        </w:rPr>
        <w:t>权条件</w:t>
      </w:r>
      <w:proofErr w:type="gramEnd"/>
      <w:r w:rsidRPr="003A1077">
        <w:rPr>
          <w:rFonts w:ascii="仿宋_GB2312" w:eastAsia="仿宋_GB2312" w:hAnsi="仿宋" w:cs="宋体" w:hint="eastAsia"/>
          <w:color w:val="0000FF"/>
          <w:sz w:val="24"/>
          <w:szCs w:val="24"/>
          <w:lang w:eastAsia="zh-CN"/>
        </w:rPr>
        <w:t>得到满足的期间，对于可行</w:t>
      </w:r>
      <w:proofErr w:type="gramStart"/>
      <w:r w:rsidRPr="003A1077">
        <w:rPr>
          <w:rFonts w:ascii="仿宋_GB2312" w:eastAsia="仿宋_GB2312" w:hAnsi="仿宋" w:cs="宋体" w:hint="eastAsia"/>
          <w:color w:val="0000FF"/>
          <w:sz w:val="24"/>
          <w:szCs w:val="24"/>
          <w:lang w:eastAsia="zh-CN"/>
        </w:rPr>
        <w:t>权条</w:t>
      </w:r>
      <w:proofErr w:type="gramEnd"/>
      <w:r w:rsidRPr="003A1077">
        <w:rPr>
          <w:rFonts w:ascii="仿宋_GB2312" w:eastAsia="仿宋_GB2312" w:hAnsi="仿宋" w:cs="宋体" w:hint="eastAsia"/>
          <w:color w:val="0000FF"/>
          <w:sz w:val="24"/>
          <w:szCs w:val="24"/>
          <w:lang w:eastAsia="zh-CN"/>
        </w:rPr>
        <w:t>件为规定服务期间的股份支付，等待期为授予日至可行权日的期间（假设服务从授予日开始）。</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7</w:t>
      </w:r>
      <w:r w:rsidRPr="003A1077">
        <w:rPr>
          <w:rFonts w:ascii="仿宋_GB2312" w:eastAsia="仿宋_GB2312" w:hAnsi="仿宋" w:cs="宋体" w:hint="eastAsia"/>
          <w:sz w:val="24"/>
          <w:szCs w:val="24"/>
          <w:lang w:eastAsia="zh-CN"/>
        </w:rPr>
        <w:t>、作废与主动取消的会计处理是否正确</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1</w:t>
      </w:r>
      <w:r w:rsidRPr="003A1077">
        <w:rPr>
          <w:rFonts w:ascii="仿宋_GB2312" w:eastAsia="仿宋_GB2312" w:hAnsi="仿宋" w:cs="宋体" w:hint="eastAsia"/>
          <w:sz w:val="24"/>
          <w:szCs w:val="24"/>
          <w:lang w:eastAsia="zh-CN"/>
        </w:rPr>
        <w:t>）被动作废的会计处理是否正确</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如果权益工具由于一项服务条件或者非市场的业绩条件的结果未被授予，则对于接受的商品或服务累计确认的费用为零。</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2</w:t>
      </w:r>
      <w:r w:rsidRPr="003A1077">
        <w:rPr>
          <w:rFonts w:ascii="仿宋_GB2312" w:eastAsia="仿宋_GB2312" w:hAnsi="仿宋" w:cs="宋体" w:hint="eastAsia"/>
          <w:sz w:val="24"/>
          <w:szCs w:val="24"/>
          <w:lang w:eastAsia="zh-CN"/>
        </w:rPr>
        <w:t>）主动取消的会计处理是否正确</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在等待期内如果取消了授予的权益工具，企业应当对取消所授予的权益性工具作为加速行权处理，将剩余等待期内应确认的金额立即计入当期损益，同时确认资本公积。</w:t>
      </w:r>
    </w:p>
    <w:p w:rsidR="003E679F" w:rsidRPr="003A1077" w:rsidRDefault="003E679F" w:rsidP="00EB19A5">
      <w:pPr>
        <w:pStyle w:val="af4"/>
        <w:widowControl w:val="0"/>
        <w:adjustRightInd w:val="0"/>
        <w:snapToGrid w:val="0"/>
        <w:spacing w:beforeLines="50" w:before="156" w:after="0" w:line="300" w:lineRule="auto"/>
        <w:ind w:firstLineChars="200" w:firstLine="480"/>
        <w:jc w:val="both"/>
        <w:rPr>
          <w:rFonts w:ascii="仿宋_GB2312" w:eastAsia="仿宋_GB2312" w:hAnsi="仿宋" w:cs="宋体"/>
          <w:sz w:val="24"/>
          <w:szCs w:val="24"/>
          <w:lang w:eastAsia="zh-CN"/>
        </w:rPr>
      </w:pPr>
      <w:r w:rsidRPr="003A1077">
        <w:rPr>
          <w:rFonts w:ascii="仿宋_GB2312" w:eastAsia="仿宋_GB2312" w:hAnsi="仿宋" w:hint="eastAsia"/>
          <w:sz w:val="24"/>
          <w:szCs w:val="24"/>
          <w:lang w:eastAsia="zh-CN"/>
        </w:rPr>
        <w:t>8</w:t>
      </w:r>
      <w:r w:rsidRPr="003A1077">
        <w:rPr>
          <w:rFonts w:ascii="仿宋_GB2312" w:eastAsia="仿宋_GB2312" w:hAnsi="仿宋" w:cs="宋体" w:hint="eastAsia"/>
          <w:sz w:val="24"/>
          <w:szCs w:val="24"/>
          <w:lang w:eastAsia="zh-CN"/>
        </w:rPr>
        <w:t>、与以前期间方法是否一致</w:t>
      </w:r>
    </w:p>
    <w:p w:rsidR="003E679F" w:rsidRPr="003A1077" w:rsidRDefault="003E679F" w:rsidP="00EB19A5">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p>
    <w:p w:rsidR="003E679F" w:rsidRPr="003A1077" w:rsidRDefault="00DE032D" w:rsidP="00EB19A5">
      <w:pPr>
        <w:pStyle w:val="af4"/>
        <w:widowControl w:val="0"/>
        <w:adjustRightInd w:val="0"/>
        <w:snapToGrid w:val="0"/>
        <w:spacing w:beforeLines="50" w:before="156" w:after="0" w:line="300" w:lineRule="auto"/>
        <w:ind w:firstLineChars="200" w:firstLine="482"/>
        <w:jc w:val="both"/>
        <w:rPr>
          <w:rFonts w:ascii="仿宋_GB2312" w:eastAsia="仿宋_GB2312" w:hAnsi="仿宋"/>
          <w:b/>
          <w:sz w:val="24"/>
          <w:szCs w:val="24"/>
          <w:lang w:eastAsia="zh-CN"/>
        </w:rPr>
      </w:pPr>
      <w:r>
        <w:rPr>
          <w:rFonts w:ascii="仿宋_GB2312" w:eastAsia="仿宋_GB2312" w:hAnsi="仿宋" w:hint="eastAsia"/>
          <w:b/>
          <w:sz w:val="24"/>
          <w:szCs w:val="24"/>
          <w:lang w:eastAsia="zh-CN"/>
        </w:rPr>
        <w:t>（三）主要适用于金融工具公允价值的测试</w:t>
      </w:r>
      <w:r w:rsidR="003E679F" w:rsidRPr="003A1077">
        <w:rPr>
          <w:rFonts w:ascii="仿宋_GB2312" w:eastAsia="仿宋_GB2312" w:hAnsi="仿宋" w:hint="eastAsia"/>
          <w:b/>
          <w:sz w:val="24"/>
          <w:szCs w:val="24"/>
          <w:lang w:eastAsia="zh-CN"/>
        </w:rPr>
        <w:t>内容</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1</w:t>
      </w:r>
      <w:r w:rsidRPr="003A1077">
        <w:rPr>
          <w:rFonts w:ascii="仿宋_GB2312" w:eastAsia="仿宋_GB2312" w:hAnsi="仿宋" w:cs="宋体" w:hint="eastAsia"/>
          <w:sz w:val="24"/>
          <w:szCs w:val="24"/>
          <w:lang w:eastAsia="zh-CN"/>
        </w:rPr>
        <w:t>、估值方法是否与估值对象相匹配</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2</w:t>
      </w:r>
      <w:r w:rsidRPr="003A1077">
        <w:rPr>
          <w:rFonts w:ascii="仿宋_GB2312" w:eastAsia="仿宋_GB2312" w:hAnsi="仿宋" w:cs="宋体" w:hint="eastAsia"/>
          <w:sz w:val="24"/>
          <w:szCs w:val="24"/>
          <w:lang w:eastAsia="zh-CN"/>
        </w:rPr>
        <w:t>、估值基准日是否符合经济行为需要</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公允价值，是指市场参与者在计量日发生的有序交易中，出售一项资产所能收到或者转移一项负债所需支付的价格。</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3</w:t>
      </w:r>
      <w:r w:rsidRPr="003A1077">
        <w:rPr>
          <w:rFonts w:ascii="仿宋_GB2312" w:eastAsia="仿宋_GB2312" w:hAnsi="仿宋" w:cs="宋体" w:hint="eastAsia"/>
          <w:sz w:val="24"/>
          <w:szCs w:val="24"/>
          <w:lang w:eastAsia="zh-CN"/>
        </w:rPr>
        <w:t>、是否恰当考虑流动性折扣</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根据《证券公司金融工具估值指引》（</w:t>
      </w:r>
      <w:proofErr w:type="gramStart"/>
      <w:r w:rsidRPr="003A1077">
        <w:rPr>
          <w:rFonts w:ascii="仿宋_GB2312" w:eastAsia="仿宋_GB2312" w:hAnsi="仿宋" w:cs="宋体" w:hint="eastAsia"/>
          <w:color w:val="0000FF"/>
          <w:sz w:val="24"/>
          <w:szCs w:val="24"/>
          <w:lang w:eastAsia="zh-CN"/>
        </w:rPr>
        <w:t>中证协发</w:t>
      </w:r>
      <w:proofErr w:type="gramEnd"/>
      <w:r w:rsidRPr="003A1077">
        <w:rPr>
          <w:rFonts w:ascii="仿宋_GB2312" w:eastAsia="仿宋_GB2312" w:hAnsi="仿宋" w:cs="宋体" w:hint="eastAsia"/>
          <w:color w:val="0000FF"/>
          <w:sz w:val="24"/>
          <w:szCs w:val="24"/>
          <w:lang w:eastAsia="zh-CN"/>
        </w:rPr>
        <w:t>〔</w:t>
      </w:r>
      <w:bookmarkStart w:id="0" w:name="_GoBack"/>
      <w:r w:rsidRPr="003A1077">
        <w:rPr>
          <w:rFonts w:ascii="仿宋_GB2312" w:eastAsia="仿宋_GB2312" w:hAnsi="仿宋" w:hint="eastAsia"/>
          <w:color w:val="0000FF"/>
          <w:sz w:val="24"/>
          <w:szCs w:val="24"/>
          <w:lang w:eastAsia="zh-CN"/>
        </w:rPr>
        <w:t>201</w:t>
      </w:r>
      <w:bookmarkEnd w:id="0"/>
      <w:r w:rsidRPr="003A1077">
        <w:rPr>
          <w:rFonts w:ascii="仿宋_GB2312" w:eastAsia="仿宋_GB2312" w:hAnsi="仿宋" w:hint="eastAsia"/>
          <w:color w:val="0000FF"/>
          <w:sz w:val="24"/>
          <w:szCs w:val="24"/>
          <w:lang w:eastAsia="zh-CN"/>
        </w:rPr>
        <w:t>8</w:t>
      </w:r>
      <w:r w:rsidRPr="003A1077">
        <w:rPr>
          <w:rFonts w:ascii="仿宋_GB2312" w:eastAsia="仿宋_GB2312" w:hAnsi="仿宋" w:cs="宋体" w:hint="eastAsia"/>
          <w:color w:val="0000FF"/>
          <w:sz w:val="24"/>
          <w:szCs w:val="24"/>
          <w:lang w:eastAsia="zh-CN"/>
        </w:rPr>
        <w:t>〕</w:t>
      </w:r>
      <w:r w:rsidRPr="003A1077">
        <w:rPr>
          <w:rFonts w:ascii="仿宋_GB2312" w:eastAsia="仿宋_GB2312" w:hAnsi="仿宋" w:hint="eastAsia"/>
          <w:color w:val="0000FF"/>
          <w:sz w:val="24"/>
          <w:szCs w:val="24"/>
          <w:lang w:eastAsia="zh-CN"/>
        </w:rPr>
        <w:t>216</w:t>
      </w:r>
      <w:r w:rsidRPr="003A1077">
        <w:rPr>
          <w:rFonts w:ascii="仿宋_GB2312" w:eastAsia="仿宋_GB2312" w:hAnsi="仿宋" w:cs="宋体" w:hint="eastAsia"/>
          <w:color w:val="0000FF"/>
          <w:sz w:val="24"/>
          <w:szCs w:val="24"/>
          <w:lang w:eastAsia="zh-CN"/>
        </w:rPr>
        <w:t>号），通过公开、非公开等方式取得且有明确限售期的股票，在限售期内，应以证券交易所上市交易的同一股票的公允价值为基础，引入流动性折扣进行估值。流动性折扣可依据第三方估值机构提供的数据，或采用看跌期权法以及其他合理的估值方法分析确定。</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4</w:t>
      </w:r>
      <w:r w:rsidRPr="003A1077">
        <w:rPr>
          <w:rFonts w:ascii="仿宋_GB2312" w:eastAsia="仿宋_GB2312" w:hAnsi="仿宋" w:cs="宋体" w:hint="eastAsia"/>
          <w:sz w:val="24"/>
          <w:szCs w:val="24"/>
          <w:lang w:eastAsia="zh-CN"/>
        </w:rPr>
        <w:t>、评价期权定价模型选用的参数和具体处理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1</w:t>
      </w:r>
      <w:r w:rsidRPr="003A1077">
        <w:rPr>
          <w:rFonts w:ascii="仿宋_GB2312" w:eastAsia="仿宋_GB2312" w:hAnsi="仿宋" w:cs="宋体" w:hint="eastAsia"/>
          <w:sz w:val="24"/>
          <w:szCs w:val="24"/>
          <w:lang w:eastAsia="zh-CN"/>
        </w:rPr>
        <w:t>）标的股份的现行价格是否合理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lastRenderedPageBreak/>
        <w:t>对于上市公司股份，应来自于授予日的收盘价（即期权对应标的股份在活跃市场中的报价）；</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对于非上市股权（包括交易不活跃的新三板股票），应合</w:t>
      </w:r>
      <w:proofErr w:type="gramStart"/>
      <w:r w:rsidRPr="003A1077">
        <w:rPr>
          <w:rFonts w:ascii="仿宋_GB2312" w:eastAsia="仿宋_GB2312" w:hAnsi="仿宋" w:cs="宋体" w:hint="eastAsia"/>
          <w:color w:val="0000FF"/>
          <w:sz w:val="24"/>
          <w:szCs w:val="24"/>
          <w:lang w:eastAsia="zh-CN"/>
        </w:rPr>
        <w:t>理考虑</w:t>
      </w:r>
      <w:proofErr w:type="gramEnd"/>
      <w:r w:rsidRPr="003A1077">
        <w:rPr>
          <w:rFonts w:ascii="仿宋_GB2312" w:eastAsia="仿宋_GB2312" w:hAnsi="仿宋" w:cs="宋体" w:hint="eastAsia"/>
          <w:color w:val="0000FF"/>
          <w:sz w:val="24"/>
          <w:szCs w:val="24"/>
          <w:lang w:eastAsia="zh-CN"/>
        </w:rPr>
        <w:t>入股时间阶段、业绩基础与变动预期、市场环境变化、行业特点及市盈率与</w:t>
      </w:r>
      <w:proofErr w:type="gramStart"/>
      <w:r w:rsidRPr="003A1077">
        <w:rPr>
          <w:rFonts w:ascii="仿宋_GB2312" w:eastAsia="仿宋_GB2312" w:hAnsi="仿宋" w:cs="宋体" w:hint="eastAsia"/>
          <w:color w:val="0000FF"/>
          <w:sz w:val="24"/>
          <w:szCs w:val="24"/>
          <w:lang w:eastAsia="zh-CN"/>
        </w:rPr>
        <w:t>市净</w:t>
      </w:r>
      <w:proofErr w:type="gramEnd"/>
      <w:r w:rsidRPr="003A1077">
        <w:rPr>
          <w:rFonts w:ascii="仿宋_GB2312" w:eastAsia="仿宋_GB2312" w:hAnsi="仿宋" w:cs="宋体" w:hint="eastAsia"/>
          <w:color w:val="0000FF"/>
          <w:sz w:val="24"/>
          <w:szCs w:val="24"/>
          <w:lang w:eastAsia="zh-CN"/>
        </w:rPr>
        <w:t>率等因素的影响；可优先参考熟悉情况并按公平原则自愿交易的各方最近达成的入股价格或相似股权价格确定公允价值，如近期合理的</w:t>
      </w:r>
      <w:r w:rsidRPr="003A1077">
        <w:rPr>
          <w:rFonts w:ascii="仿宋_GB2312" w:eastAsia="仿宋_GB2312" w:hAnsi="仿宋" w:hint="eastAsia"/>
          <w:color w:val="0000FF"/>
          <w:sz w:val="24"/>
          <w:szCs w:val="24"/>
          <w:lang w:eastAsia="zh-CN"/>
        </w:rPr>
        <w:t>PE</w:t>
      </w:r>
      <w:r w:rsidRPr="003A1077">
        <w:rPr>
          <w:rFonts w:ascii="仿宋_GB2312" w:eastAsia="仿宋_GB2312" w:hAnsi="仿宋" w:cs="宋体" w:hint="eastAsia"/>
          <w:color w:val="0000FF"/>
          <w:sz w:val="24"/>
          <w:szCs w:val="24"/>
          <w:lang w:eastAsia="zh-CN"/>
        </w:rPr>
        <w:t>入股价；也可采用恰当的估值技术确定公允价值，但要避免采取有争议的、结果显失公平的估值技术或公允价值确定方法，如明显增长预期下按照成本法评估的每股净资产价值或账面净资产。</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2</w:t>
      </w:r>
      <w:r w:rsidRPr="003A1077">
        <w:rPr>
          <w:rFonts w:ascii="仿宋_GB2312" w:eastAsia="仿宋_GB2312" w:hAnsi="仿宋" w:cs="宋体" w:hint="eastAsia"/>
          <w:sz w:val="24"/>
          <w:szCs w:val="24"/>
          <w:lang w:eastAsia="zh-CN"/>
        </w:rPr>
        <w:t>）期权的行权价格是否恰当选择</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3</w:t>
      </w:r>
      <w:r w:rsidRPr="003A1077">
        <w:rPr>
          <w:rFonts w:ascii="仿宋_GB2312" w:eastAsia="仿宋_GB2312" w:hAnsi="仿宋" w:cs="宋体" w:hint="eastAsia"/>
          <w:sz w:val="24"/>
          <w:szCs w:val="24"/>
          <w:lang w:eastAsia="zh-CN"/>
        </w:rPr>
        <w:t>）期权有效期的确定是否合理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4</w:t>
      </w:r>
      <w:r w:rsidRPr="003A1077">
        <w:rPr>
          <w:rFonts w:ascii="仿宋_GB2312" w:eastAsia="仿宋_GB2312" w:hAnsi="仿宋" w:cs="宋体" w:hint="eastAsia"/>
          <w:sz w:val="24"/>
          <w:szCs w:val="24"/>
          <w:lang w:eastAsia="zh-CN"/>
        </w:rPr>
        <w:t>）股价预计波动率的计算是否合理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期权定价模型中所用的波动率的度量，是一段时间内股份的连续复利回报率的年度标准差。股价预计波动率通常根据与期权的预计期限（考虑期权剩余期限和预计提早行权的影响）大体相当的最近一个时期内企业股价的历史波动率计算。</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如果企业因新近上市而没有历史波动率的充分信息，应按可获得交易活动数据的</w:t>
      </w:r>
      <w:proofErr w:type="gramStart"/>
      <w:r w:rsidRPr="003A1077">
        <w:rPr>
          <w:rFonts w:ascii="仿宋_GB2312" w:eastAsia="仿宋_GB2312" w:hAnsi="仿宋" w:cs="宋体" w:hint="eastAsia"/>
          <w:color w:val="0000FF"/>
          <w:sz w:val="24"/>
          <w:szCs w:val="24"/>
          <w:lang w:eastAsia="zh-CN"/>
        </w:rPr>
        <w:t>最</w:t>
      </w:r>
      <w:proofErr w:type="gramEnd"/>
      <w:r w:rsidRPr="003A1077">
        <w:rPr>
          <w:rFonts w:ascii="仿宋_GB2312" w:eastAsia="仿宋_GB2312" w:hAnsi="仿宋" w:cs="宋体" w:hint="eastAsia"/>
          <w:color w:val="0000FF"/>
          <w:sz w:val="24"/>
          <w:szCs w:val="24"/>
          <w:lang w:eastAsia="zh-CN"/>
        </w:rPr>
        <w:t>长期间计算历史波动率，也可考虑类似企业在类似阶段可比期间的历史波动率。如果企业是非上市企业，在估计预计波动率时没有历史信息可循，可考虑类似上市企业股价的历史或内含波动率。</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5</w:t>
      </w:r>
      <w:r w:rsidRPr="003A1077">
        <w:rPr>
          <w:rFonts w:ascii="仿宋_GB2312" w:eastAsia="仿宋_GB2312" w:hAnsi="仿宋" w:cs="宋体" w:hint="eastAsia"/>
          <w:sz w:val="24"/>
          <w:szCs w:val="24"/>
          <w:lang w:eastAsia="zh-CN"/>
        </w:rPr>
        <w:t>）股份的预计股利率的计算是否合理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预计股利应以公开可获取的信息为基础。不支付股利且没有支付股利计划的企业应假设预计股利收益率为零。</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6</w:t>
      </w:r>
      <w:r w:rsidRPr="003A1077">
        <w:rPr>
          <w:rFonts w:ascii="仿宋_GB2312" w:eastAsia="仿宋_GB2312" w:hAnsi="仿宋" w:cs="宋体" w:hint="eastAsia"/>
          <w:sz w:val="24"/>
          <w:szCs w:val="24"/>
          <w:lang w:eastAsia="zh-CN"/>
        </w:rPr>
        <w:t>）期权有效期内的无风险利率的选择是否合理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无风险利率应当用无违约风险的固定证券收益来估计，例如与期权到期日相同的国债利率，如果没有相同期限的，可选择期间最接近的国债的利率。</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5</w:t>
      </w:r>
      <w:r w:rsidRPr="003A1077">
        <w:rPr>
          <w:rFonts w:ascii="仿宋_GB2312" w:eastAsia="仿宋_GB2312" w:hAnsi="仿宋" w:cs="宋体" w:hint="eastAsia"/>
          <w:sz w:val="24"/>
          <w:szCs w:val="24"/>
          <w:lang w:eastAsia="zh-CN"/>
        </w:rPr>
        <w:t>、评价收益法选用的参数和具体处理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lastRenderedPageBreak/>
        <w:t>（</w:t>
      </w:r>
      <w:r w:rsidRPr="003A1077">
        <w:rPr>
          <w:rFonts w:ascii="仿宋_GB2312" w:eastAsia="仿宋_GB2312" w:hAnsi="仿宋" w:hint="eastAsia"/>
          <w:sz w:val="24"/>
          <w:szCs w:val="24"/>
          <w:lang w:eastAsia="zh-CN"/>
        </w:rPr>
        <w:t>1</w:t>
      </w:r>
      <w:r w:rsidRPr="003A1077">
        <w:rPr>
          <w:rFonts w:ascii="仿宋_GB2312" w:eastAsia="仿宋_GB2312" w:hAnsi="仿宋" w:cs="宋体" w:hint="eastAsia"/>
          <w:sz w:val="24"/>
          <w:szCs w:val="24"/>
          <w:lang w:eastAsia="zh-CN"/>
        </w:rPr>
        <w:t>）未来现金流是否与对本金和利息的预期一致，或盈利预测是否有可靠的数据来源，是否与历史数据、运营计划、商业机会、行业数据、行业研究报告、宏观经济运行状况相符</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2</w:t>
      </w:r>
      <w:r w:rsidRPr="003A1077">
        <w:rPr>
          <w:rFonts w:ascii="仿宋_GB2312" w:eastAsia="仿宋_GB2312" w:hAnsi="仿宋" w:cs="宋体" w:hint="eastAsia"/>
          <w:sz w:val="24"/>
          <w:szCs w:val="24"/>
          <w:lang w:eastAsia="zh-CN"/>
        </w:rPr>
        <w:t>）对于营运资金的口径判断是否与非经营性资产负债一致（若适用）</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3</w:t>
      </w:r>
      <w:r w:rsidRPr="003A1077">
        <w:rPr>
          <w:rFonts w:ascii="仿宋_GB2312" w:eastAsia="仿宋_GB2312" w:hAnsi="仿宋" w:cs="宋体" w:hint="eastAsia"/>
          <w:sz w:val="24"/>
          <w:szCs w:val="24"/>
          <w:lang w:eastAsia="zh-CN"/>
        </w:rPr>
        <w:t>）资本性支出预测是否与预算、运营计划一致（若适用）</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4</w:t>
      </w:r>
      <w:r w:rsidRPr="003A1077">
        <w:rPr>
          <w:rFonts w:ascii="仿宋_GB2312" w:eastAsia="仿宋_GB2312" w:hAnsi="仿宋" w:cs="宋体" w:hint="eastAsia"/>
          <w:sz w:val="24"/>
          <w:szCs w:val="24"/>
          <w:lang w:eastAsia="zh-CN"/>
        </w:rPr>
        <w:t>）折旧摊销费用预测是否合理（若适用）</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5</w:t>
      </w:r>
      <w:r w:rsidRPr="003A1077">
        <w:rPr>
          <w:rFonts w:ascii="仿宋_GB2312" w:eastAsia="仿宋_GB2312" w:hAnsi="仿宋" w:cs="宋体" w:hint="eastAsia"/>
          <w:sz w:val="24"/>
          <w:szCs w:val="24"/>
          <w:lang w:eastAsia="zh-CN"/>
        </w:rPr>
        <w:t>）收益期（增长期及永续期）选择是否合理（若适用）</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6</w:t>
      </w:r>
      <w:r w:rsidRPr="003A1077">
        <w:rPr>
          <w:rFonts w:ascii="仿宋_GB2312" w:eastAsia="仿宋_GB2312" w:hAnsi="仿宋" w:cs="宋体" w:hint="eastAsia"/>
          <w:sz w:val="24"/>
          <w:szCs w:val="24"/>
          <w:lang w:eastAsia="zh-CN"/>
        </w:rPr>
        <w:t>）可比公司或可比交易的选择是否合理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7</w:t>
      </w:r>
      <w:r w:rsidRPr="003A1077">
        <w:rPr>
          <w:rFonts w:ascii="仿宋_GB2312" w:eastAsia="仿宋_GB2312" w:hAnsi="仿宋" w:cs="宋体" w:hint="eastAsia"/>
          <w:sz w:val="24"/>
          <w:szCs w:val="24"/>
          <w:lang w:eastAsia="zh-CN"/>
        </w:rPr>
        <w:t>）市场收益率</w:t>
      </w:r>
      <w:r w:rsidRPr="003A1077">
        <w:rPr>
          <w:rFonts w:ascii="仿宋_GB2312" w:eastAsia="仿宋_GB2312" w:hAnsi="仿宋" w:hint="eastAsia"/>
          <w:sz w:val="24"/>
          <w:szCs w:val="24"/>
          <w:lang w:eastAsia="zh-CN"/>
        </w:rPr>
        <w:t>/</w:t>
      </w:r>
      <w:r w:rsidRPr="003A1077">
        <w:rPr>
          <w:rFonts w:ascii="仿宋_GB2312" w:eastAsia="仿宋_GB2312" w:hAnsi="仿宋" w:cs="宋体" w:hint="eastAsia"/>
          <w:sz w:val="24"/>
          <w:szCs w:val="24"/>
          <w:lang w:eastAsia="zh-CN"/>
        </w:rPr>
        <w:t>折现率计算是否合理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8</w:t>
      </w:r>
      <w:r w:rsidRPr="003A1077">
        <w:rPr>
          <w:rFonts w:ascii="仿宋_GB2312" w:eastAsia="仿宋_GB2312" w:hAnsi="仿宋" w:cs="宋体" w:hint="eastAsia"/>
          <w:sz w:val="24"/>
          <w:szCs w:val="24"/>
          <w:lang w:eastAsia="zh-CN"/>
        </w:rPr>
        <w:t>）终值的处理是否合理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9</w:t>
      </w:r>
      <w:r w:rsidRPr="003A1077">
        <w:rPr>
          <w:rFonts w:ascii="仿宋_GB2312" w:eastAsia="仿宋_GB2312" w:hAnsi="仿宋" w:cs="宋体" w:hint="eastAsia"/>
          <w:sz w:val="24"/>
          <w:szCs w:val="24"/>
          <w:lang w:eastAsia="zh-CN"/>
        </w:rPr>
        <w:t>）是否恰当考虑持股情况、流动性折扣等因素</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10</w:t>
      </w:r>
      <w:r w:rsidRPr="003A1077">
        <w:rPr>
          <w:rFonts w:ascii="仿宋_GB2312" w:eastAsia="仿宋_GB2312" w:hAnsi="仿宋" w:cs="宋体" w:hint="eastAsia"/>
          <w:sz w:val="24"/>
          <w:szCs w:val="24"/>
          <w:lang w:eastAsia="zh-CN"/>
        </w:rPr>
        <w:t>）对关键假设（如增长率、毛利率、折现率等）的敏感性分析结果</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6</w:t>
      </w:r>
      <w:r w:rsidRPr="003A1077">
        <w:rPr>
          <w:rFonts w:ascii="仿宋_GB2312" w:eastAsia="仿宋_GB2312" w:hAnsi="仿宋" w:cs="宋体" w:hint="eastAsia"/>
          <w:sz w:val="24"/>
          <w:szCs w:val="24"/>
          <w:lang w:eastAsia="zh-CN"/>
        </w:rPr>
        <w:t>、评价市场法选用的参数和具体处理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lastRenderedPageBreak/>
        <w:t>（</w:t>
      </w:r>
      <w:r w:rsidRPr="003A1077">
        <w:rPr>
          <w:rFonts w:ascii="仿宋_GB2312" w:eastAsia="仿宋_GB2312" w:hAnsi="仿宋" w:hint="eastAsia"/>
          <w:sz w:val="24"/>
          <w:szCs w:val="24"/>
          <w:lang w:eastAsia="zh-CN"/>
        </w:rPr>
        <w:t>1</w:t>
      </w:r>
      <w:r w:rsidRPr="003A1077">
        <w:rPr>
          <w:rFonts w:ascii="仿宋_GB2312" w:eastAsia="仿宋_GB2312" w:hAnsi="仿宋" w:cs="宋体" w:hint="eastAsia"/>
          <w:sz w:val="24"/>
          <w:szCs w:val="24"/>
          <w:lang w:eastAsia="zh-CN"/>
        </w:rPr>
        <w:t>）价值乘数的选择是否合理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2</w:t>
      </w:r>
      <w:r w:rsidRPr="003A1077">
        <w:rPr>
          <w:rFonts w:ascii="仿宋_GB2312" w:eastAsia="仿宋_GB2312" w:hAnsi="仿宋" w:cs="宋体" w:hint="eastAsia"/>
          <w:sz w:val="24"/>
          <w:szCs w:val="24"/>
          <w:lang w:eastAsia="zh-CN"/>
        </w:rPr>
        <w:t>）可比公司或可比交易的选择是否与收益法中一致，是否合理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3</w:t>
      </w:r>
      <w:r w:rsidRPr="003A1077">
        <w:rPr>
          <w:rFonts w:ascii="仿宋_GB2312" w:eastAsia="仿宋_GB2312" w:hAnsi="仿宋" w:cs="宋体" w:hint="eastAsia"/>
          <w:sz w:val="24"/>
          <w:szCs w:val="24"/>
          <w:lang w:eastAsia="zh-CN"/>
        </w:rPr>
        <w:t>）价值乘数的计算时间是否合理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4</w:t>
      </w:r>
      <w:r w:rsidRPr="003A1077">
        <w:rPr>
          <w:rFonts w:ascii="仿宋_GB2312" w:eastAsia="仿宋_GB2312" w:hAnsi="仿宋" w:cs="宋体" w:hint="eastAsia"/>
          <w:sz w:val="24"/>
          <w:szCs w:val="24"/>
          <w:lang w:eastAsia="zh-CN"/>
        </w:rPr>
        <w:t>）对价值乘数的调整是否合理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5</w:t>
      </w:r>
      <w:r w:rsidRPr="003A1077">
        <w:rPr>
          <w:rFonts w:ascii="仿宋_GB2312" w:eastAsia="仿宋_GB2312" w:hAnsi="仿宋" w:cs="宋体" w:hint="eastAsia"/>
          <w:sz w:val="24"/>
          <w:szCs w:val="24"/>
          <w:lang w:eastAsia="zh-CN"/>
        </w:rPr>
        <w:t>）对关键假设的敏感性分析结果</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7</w:t>
      </w:r>
      <w:r w:rsidRPr="003A1077">
        <w:rPr>
          <w:rFonts w:ascii="仿宋_GB2312" w:eastAsia="仿宋_GB2312" w:hAnsi="仿宋" w:cs="宋体" w:hint="eastAsia"/>
          <w:sz w:val="24"/>
          <w:szCs w:val="24"/>
          <w:lang w:eastAsia="zh-CN"/>
        </w:rPr>
        <w:t>、评价成本法选用的参数和具体处理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1</w:t>
      </w:r>
      <w:r w:rsidRPr="003A1077">
        <w:rPr>
          <w:rFonts w:ascii="仿宋_GB2312" w:eastAsia="仿宋_GB2312" w:hAnsi="仿宋" w:cs="宋体" w:hint="eastAsia"/>
          <w:sz w:val="24"/>
          <w:szCs w:val="24"/>
          <w:lang w:eastAsia="zh-CN"/>
        </w:rPr>
        <w:t>）采用成本法是否恰当</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重置成本法适用于企业价值主要来源于其资产的公允价值的情形。</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2</w:t>
      </w:r>
      <w:r w:rsidRPr="003A1077">
        <w:rPr>
          <w:rFonts w:ascii="仿宋_GB2312" w:eastAsia="仿宋_GB2312" w:hAnsi="仿宋" w:cs="宋体" w:hint="eastAsia"/>
          <w:sz w:val="24"/>
          <w:szCs w:val="24"/>
          <w:lang w:eastAsia="zh-CN"/>
        </w:rPr>
        <w:t>）重置成本的来源</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3</w:t>
      </w:r>
      <w:r w:rsidRPr="003A1077">
        <w:rPr>
          <w:rFonts w:ascii="仿宋_GB2312" w:eastAsia="仿宋_GB2312" w:hAnsi="仿宋" w:cs="宋体" w:hint="eastAsia"/>
          <w:sz w:val="24"/>
          <w:szCs w:val="24"/>
          <w:lang w:eastAsia="zh-CN"/>
        </w:rPr>
        <w:t>）评估对象的实体性贬值、功能性贬值及经济性贬值</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cs="宋体" w:hint="eastAsia"/>
          <w:sz w:val="24"/>
          <w:szCs w:val="24"/>
          <w:lang w:eastAsia="zh-CN"/>
        </w:rPr>
        <w:t>（</w:t>
      </w:r>
      <w:r w:rsidRPr="003A1077">
        <w:rPr>
          <w:rFonts w:ascii="仿宋_GB2312" w:eastAsia="仿宋_GB2312" w:hAnsi="仿宋" w:hint="eastAsia"/>
          <w:sz w:val="24"/>
          <w:szCs w:val="24"/>
          <w:lang w:eastAsia="zh-CN"/>
        </w:rPr>
        <w:t>4</w:t>
      </w:r>
      <w:r w:rsidRPr="003A1077">
        <w:rPr>
          <w:rFonts w:ascii="仿宋_GB2312" w:eastAsia="仿宋_GB2312" w:hAnsi="仿宋" w:cs="宋体" w:hint="eastAsia"/>
          <w:sz w:val="24"/>
          <w:szCs w:val="24"/>
          <w:lang w:eastAsia="zh-CN"/>
        </w:rPr>
        <w:t>）对关键假设的敏感性分析结果</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sz w:val="24"/>
          <w:szCs w:val="24"/>
          <w:lang w:eastAsia="zh-CN"/>
        </w:rPr>
      </w:pPr>
      <w:r w:rsidRPr="003A1077">
        <w:rPr>
          <w:rFonts w:ascii="仿宋_GB2312" w:eastAsia="仿宋_GB2312" w:hAnsi="仿宋" w:hint="eastAsia"/>
          <w:sz w:val="24"/>
          <w:szCs w:val="24"/>
          <w:lang w:eastAsia="zh-CN"/>
        </w:rPr>
        <w:t>8</w:t>
      </w:r>
      <w:r w:rsidRPr="003A1077">
        <w:rPr>
          <w:rFonts w:ascii="仿宋_GB2312" w:eastAsia="仿宋_GB2312" w:hAnsi="仿宋" w:cs="宋体" w:hint="eastAsia"/>
          <w:sz w:val="24"/>
          <w:szCs w:val="24"/>
          <w:lang w:eastAsia="zh-CN"/>
        </w:rPr>
        <w:t>、停牌股票公允价值的确定是否合理</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cs="宋体" w:hint="eastAsia"/>
          <w:color w:val="0000FF"/>
          <w:sz w:val="24"/>
          <w:szCs w:val="24"/>
          <w:lang w:eastAsia="zh-CN"/>
        </w:rPr>
        <w:t>长期停牌股票应根据停牌原因、停牌时间及停牌公司公告等信息，采用市场法、收益法、成本法等估值技术确定公允价值，具体估值方法包括指数收益法、可比公司法、市场价格模型法、现金流折现法、市场乘数法、重置成本法等。</w:t>
      </w:r>
    </w:p>
    <w:p w:rsidR="003E679F" w:rsidRPr="003A1077" w:rsidRDefault="003E679F" w:rsidP="00EB19A5">
      <w:pPr>
        <w:pStyle w:val="af4"/>
        <w:widowControl w:val="0"/>
        <w:adjustRightInd w:val="0"/>
        <w:snapToGrid w:val="0"/>
        <w:spacing w:beforeLines="50" w:before="156" w:after="0" w:line="300" w:lineRule="auto"/>
        <w:ind w:firstLineChars="200" w:firstLine="480"/>
        <w:jc w:val="both"/>
        <w:rPr>
          <w:rFonts w:ascii="仿宋_GB2312" w:eastAsia="仿宋_GB2312" w:hAnsi="仿宋" w:cs="宋体"/>
          <w:sz w:val="24"/>
          <w:szCs w:val="24"/>
          <w:lang w:eastAsia="zh-CN"/>
        </w:rPr>
      </w:pPr>
      <w:r w:rsidRPr="003A1077">
        <w:rPr>
          <w:rFonts w:ascii="仿宋_GB2312" w:eastAsia="仿宋_GB2312" w:hAnsi="仿宋" w:hint="eastAsia"/>
          <w:sz w:val="24"/>
          <w:szCs w:val="24"/>
          <w:lang w:eastAsia="zh-CN"/>
        </w:rPr>
        <w:lastRenderedPageBreak/>
        <w:t>9</w:t>
      </w:r>
      <w:r w:rsidRPr="003A1077">
        <w:rPr>
          <w:rFonts w:ascii="仿宋_GB2312" w:eastAsia="仿宋_GB2312" w:hAnsi="仿宋" w:cs="宋体" w:hint="eastAsia"/>
          <w:sz w:val="24"/>
          <w:szCs w:val="24"/>
          <w:lang w:eastAsia="zh-CN"/>
        </w:rPr>
        <w:t>、与以前期间方法是否一致</w:t>
      </w:r>
    </w:p>
    <w:p w:rsidR="003E679F" w:rsidRPr="003A1077" w:rsidRDefault="003E679F" w:rsidP="00EB19A5">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p>
    <w:p w:rsidR="003E679F" w:rsidRPr="003A1077" w:rsidRDefault="003E679F" w:rsidP="003E679F">
      <w:pPr>
        <w:pStyle w:val="2"/>
        <w:spacing w:line="300" w:lineRule="auto"/>
        <w:ind w:firstLineChars="200" w:firstLine="482"/>
        <w:rPr>
          <w:rFonts w:ascii="仿宋_GB2312" w:hAnsi="仿宋"/>
          <w:szCs w:val="24"/>
        </w:rPr>
      </w:pPr>
      <w:r w:rsidRPr="003A1077">
        <w:rPr>
          <w:rFonts w:ascii="仿宋_GB2312" w:hAnsi="仿宋" w:hint="eastAsia"/>
          <w:szCs w:val="24"/>
        </w:rPr>
        <w:t>四、评价管理层的专家的工作的结论</w:t>
      </w:r>
    </w:p>
    <w:p w:rsidR="003E679F" w:rsidRPr="003A1077" w:rsidRDefault="003E679F" w:rsidP="00EB19A5">
      <w:pPr>
        <w:pStyle w:val="af4"/>
        <w:adjustRightInd w:val="0"/>
        <w:snapToGrid w:val="0"/>
        <w:spacing w:beforeLines="50" w:before="156" w:line="300" w:lineRule="auto"/>
        <w:ind w:firstLineChars="200" w:firstLine="480"/>
        <w:rPr>
          <w:rFonts w:ascii="仿宋_GB2312" w:eastAsia="仿宋_GB2312" w:hAnsi="仿宋"/>
          <w:color w:val="0000FF"/>
          <w:sz w:val="24"/>
          <w:szCs w:val="24"/>
          <w:lang w:eastAsia="zh-CN"/>
        </w:rPr>
      </w:pPr>
      <w:r w:rsidRPr="003A1077">
        <w:rPr>
          <w:rFonts w:ascii="仿宋_GB2312" w:eastAsia="仿宋_GB2312" w:hAnsi="仿宋" w:hint="eastAsia"/>
          <w:color w:val="0000FF"/>
          <w:sz w:val="24"/>
          <w:szCs w:val="24"/>
          <w:lang w:eastAsia="zh-CN"/>
        </w:rPr>
        <w:t>管理层的评估专家</w:t>
      </w:r>
      <w:r w:rsidR="00EB19A5">
        <w:rPr>
          <w:rFonts w:ascii="仿宋_GB2312" w:eastAsia="仿宋_GB2312" w:hAnsi="仿宋" w:hint="eastAsia"/>
          <w:color w:val="0000FF"/>
          <w:sz w:val="24"/>
          <w:szCs w:val="24"/>
          <w:lang w:eastAsia="zh-CN"/>
        </w:rPr>
        <w:t>估值中采取的</w:t>
      </w:r>
      <w:r w:rsidR="00EB19A5" w:rsidRPr="00EB19A5">
        <w:rPr>
          <w:rFonts w:ascii="仿宋_GB2312" w:eastAsia="仿宋_GB2312" w:hAnsi="仿宋" w:hint="eastAsia"/>
          <w:color w:val="0000FF"/>
          <w:sz w:val="24"/>
          <w:szCs w:val="24"/>
          <w:lang w:eastAsia="zh-CN"/>
        </w:rPr>
        <w:t>相关模型/方法的参数和假设</w:t>
      </w:r>
      <w:r w:rsidR="00EB19A5">
        <w:rPr>
          <w:rFonts w:ascii="仿宋_GB2312" w:eastAsia="仿宋_GB2312" w:hAnsi="仿宋" w:hint="eastAsia"/>
          <w:color w:val="0000FF"/>
          <w:sz w:val="24"/>
          <w:szCs w:val="24"/>
          <w:lang w:eastAsia="zh-CN"/>
        </w:rPr>
        <w:t>基本合理，估值结果可以采纳</w:t>
      </w:r>
      <w:r w:rsidRPr="003A1077">
        <w:rPr>
          <w:rFonts w:ascii="仿宋_GB2312" w:eastAsia="仿宋_GB2312" w:hAnsi="仿宋" w:hint="eastAsia"/>
          <w:color w:val="0000FF"/>
          <w:sz w:val="24"/>
          <w:szCs w:val="24"/>
          <w:lang w:eastAsia="zh-CN"/>
        </w:rPr>
        <w:t>。</w:t>
      </w:r>
    </w:p>
    <w:p w:rsidR="003E679F" w:rsidRPr="003A1077" w:rsidRDefault="003E679F" w:rsidP="00EB19A5">
      <w:pPr>
        <w:pStyle w:val="af4"/>
        <w:widowControl w:val="0"/>
        <w:adjustRightInd w:val="0"/>
        <w:snapToGrid w:val="0"/>
        <w:spacing w:beforeLines="50" w:before="156" w:after="0" w:line="300" w:lineRule="auto"/>
        <w:ind w:firstLineChars="200" w:firstLine="480"/>
        <w:jc w:val="both"/>
        <w:rPr>
          <w:rFonts w:ascii="仿宋_GB2312" w:eastAsia="仿宋_GB2312" w:hAnsi="仿宋"/>
          <w:color w:val="FF0000"/>
          <w:sz w:val="24"/>
          <w:szCs w:val="24"/>
          <w:lang w:eastAsia="zh-CN"/>
        </w:rPr>
      </w:pPr>
      <w:r w:rsidRPr="003A1077">
        <w:rPr>
          <w:rFonts w:ascii="仿宋_GB2312" w:eastAsia="仿宋_GB2312" w:hAnsi="仿宋" w:hint="eastAsia"/>
          <w:color w:val="FF0000"/>
          <w:sz w:val="24"/>
          <w:szCs w:val="24"/>
          <w:lang w:eastAsia="zh-CN"/>
        </w:rPr>
        <w:t>【或者：若认为管理层的专家的工作不能作为审计证据（如评估过程或结论不合理），则需考虑要求管理层重新评估或/并考虑对审计意见类型的影响。】</w:t>
      </w:r>
    </w:p>
    <w:p w:rsidR="009E3AE4" w:rsidRPr="003A1077" w:rsidRDefault="009E3AE4" w:rsidP="001C11F5">
      <w:pPr>
        <w:pStyle w:val="af4"/>
        <w:widowControl w:val="0"/>
        <w:adjustRightInd w:val="0"/>
        <w:snapToGrid w:val="0"/>
        <w:spacing w:beforeLines="50" w:before="156" w:after="0" w:line="300" w:lineRule="auto"/>
        <w:ind w:firstLineChars="200" w:firstLine="480"/>
        <w:jc w:val="both"/>
        <w:rPr>
          <w:rFonts w:ascii="仿宋_GB2312" w:eastAsia="仿宋_GB2312" w:hAnsi="仿宋"/>
          <w:sz w:val="24"/>
          <w:szCs w:val="24"/>
          <w:lang w:eastAsia="zh-CN"/>
        </w:rPr>
      </w:pPr>
    </w:p>
    <w:sectPr w:rsidR="009E3AE4" w:rsidRPr="003A1077" w:rsidSect="00187AC4">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0080" w:rsidRDefault="00BE0080" w:rsidP="00191DCB">
      <w:r>
        <w:separator/>
      </w:r>
    </w:p>
  </w:endnote>
  <w:endnote w:type="continuationSeparator" w:id="0">
    <w:p w:rsidR="00BE0080" w:rsidRDefault="00BE0080" w:rsidP="00191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Microsoft YaHei UI">
    <w:panose1 w:val="020B0503020204020204"/>
    <w:charset w:val="86"/>
    <w:family w:val="swiss"/>
    <w:pitch w:val="variable"/>
    <w:sig w:usb0="80000287" w:usb1="2A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46250959"/>
      <w:docPartObj>
        <w:docPartGallery w:val="Page Numbers (Bottom of Page)"/>
        <w:docPartUnique/>
      </w:docPartObj>
    </w:sdtPr>
    <w:sdtEndPr/>
    <w:sdtContent>
      <w:p w:rsidR="00191DCB" w:rsidRDefault="001C11F5" w:rsidP="00191DCB">
        <w:pPr>
          <w:pStyle w:val="ad"/>
          <w:jc w:val="center"/>
        </w:pPr>
        <w:r>
          <w:fldChar w:fldCharType="begin"/>
        </w:r>
        <w:r w:rsidR="00191DCB">
          <w:instrText>PAGE   \* MERGEFORMAT</w:instrText>
        </w:r>
        <w:r>
          <w:fldChar w:fldCharType="separate"/>
        </w:r>
        <w:r w:rsidR="00074D3A" w:rsidRPr="00074D3A">
          <w:rPr>
            <w:noProof/>
            <w:lang w:val="zh-CN"/>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0080" w:rsidRDefault="00BE0080" w:rsidP="00191DCB">
      <w:r>
        <w:separator/>
      </w:r>
    </w:p>
  </w:footnote>
  <w:footnote w:type="continuationSeparator" w:id="0">
    <w:p w:rsidR="00BE0080" w:rsidRDefault="00BE0080" w:rsidP="00191D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B62164"/>
    <w:multiLevelType w:val="hybridMultilevel"/>
    <w:tmpl w:val="62A4C0EE"/>
    <w:lvl w:ilvl="0" w:tplc="04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 w15:restartNumberingAfterBreak="0">
    <w:nsid w:val="24B97EFC"/>
    <w:multiLevelType w:val="hybridMultilevel"/>
    <w:tmpl w:val="9A3098D6"/>
    <w:lvl w:ilvl="0" w:tplc="6920581A">
      <w:numFmt w:val="bullet"/>
      <w:lvlText w:val="•"/>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2F9D52A5"/>
    <w:multiLevelType w:val="hybridMultilevel"/>
    <w:tmpl w:val="9E4433A2"/>
    <w:lvl w:ilvl="0" w:tplc="6920581A">
      <w:numFmt w:val="bullet"/>
      <w:lvlText w:val="•"/>
      <w:lvlJc w:val="left"/>
      <w:pPr>
        <w:ind w:left="900" w:hanging="420"/>
      </w:pPr>
      <w:rPr>
        <w:rFonts w:hint="default"/>
      </w:rPr>
    </w:lvl>
    <w:lvl w:ilvl="1" w:tplc="04090003">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4A561C7D"/>
    <w:multiLevelType w:val="hybridMultilevel"/>
    <w:tmpl w:val="548628CC"/>
    <w:lvl w:ilvl="0" w:tplc="6920581A">
      <w:numFmt w:val="bullet"/>
      <w:lvlText w:val="•"/>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66D65C98"/>
    <w:multiLevelType w:val="hybridMultilevel"/>
    <w:tmpl w:val="E806E11C"/>
    <w:lvl w:ilvl="0" w:tplc="04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91DCB"/>
    <w:rsid w:val="000204B7"/>
    <w:rsid w:val="00074D3A"/>
    <w:rsid w:val="000F572F"/>
    <w:rsid w:val="00187AC4"/>
    <w:rsid w:val="00191DCB"/>
    <w:rsid w:val="001C11F5"/>
    <w:rsid w:val="003A1077"/>
    <w:rsid w:val="003E679F"/>
    <w:rsid w:val="00434D7B"/>
    <w:rsid w:val="004A5EF8"/>
    <w:rsid w:val="005022A1"/>
    <w:rsid w:val="00540BE0"/>
    <w:rsid w:val="00573D3F"/>
    <w:rsid w:val="006F7C3B"/>
    <w:rsid w:val="0078212A"/>
    <w:rsid w:val="008E1EE0"/>
    <w:rsid w:val="009E3AE4"/>
    <w:rsid w:val="00AE7C95"/>
    <w:rsid w:val="00B1262B"/>
    <w:rsid w:val="00B93503"/>
    <w:rsid w:val="00BE0080"/>
    <w:rsid w:val="00DE032D"/>
    <w:rsid w:val="00EB19A5"/>
    <w:rsid w:val="00ED61D1"/>
    <w:rsid w:val="00F135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D3DC7F"/>
  <w15:docId w15:val="{A8F60905-BF7E-4DB1-951A-B7EC8523D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87AC4"/>
    <w:pPr>
      <w:widowControl w:val="0"/>
      <w:jc w:val="both"/>
    </w:pPr>
  </w:style>
  <w:style w:type="paragraph" w:styleId="1">
    <w:name w:val="heading 1"/>
    <w:basedOn w:val="a"/>
    <w:next w:val="a"/>
    <w:link w:val="10"/>
    <w:uiPriority w:val="9"/>
    <w:qFormat/>
    <w:rsid w:val="00191DC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91DCB"/>
    <w:pPr>
      <w:keepNext/>
      <w:keepLines/>
      <w:spacing w:before="260" w:after="260" w:line="415" w:lineRule="auto"/>
      <w:outlineLvl w:val="1"/>
    </w:pPr>
    <w:rPr>
      <w:rFonts w:asciiTheme="majorHAnsi" w:eastAsia="仿宋_GB2312" w:hAnsiTheme="majorHAnsi" w:cstheme="majorBidi"/>
      <w:b/>
      <w:bCs/>
      <w:sz w:val="24"/>
      <w:szCs w:val="32"/>
    </w:rPr>
  </w:style>
  <w:style w:type="paragraph" w:styleId="3">
    <w:name w:val="heading 3"/>
    <w:basedOn w:val="a"/>
    <w:next w:val="a"/>
    <w:link w:val="30"/>
    <w:uiPriority w:val="9"/>
    <w:unhideWhenUsed/>
    <w:qFormat/>
    <w:rsid w:val="00191DCB"/>
    <w:pPr>
      <w:keepNext/>
      <w:keepLines/>
      <w:spacing w:before="260" w:after="260" w:line="415" w:lineRule="auto"/>
      <w:ind w:firstLineChars="200" w:firstLine="200"/>
      <w:outlineLvl w:val="2"/>
    </w:pPr>
    <w:rPr>
      <w:rFonts w:eastAsia="仿宋_GB2312"/>
      <w:b/>
      <w:bCs/>
      <w:sz w:val="24"/>
      <w:szCs w:val="32"/>
    </w:rPr>
  </w:style>
  <w:style w:type="paragraph" w:styleId="4">
    <w:name w:val="heading 4"/>
    <w:basedOn w:val="a"/>
    <w:next w:val="a"/>
    <w:link w:val="40"/>
    <w:uiPriority w:val="9"/>
    <w:unhideWhenUsed/>
    <w:qFormat/>
    <w:rsid w:val="00191DC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191DCB"/>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1DCB"/>
    <w:rPr>
      <w:b/>
      <w:bCs/>
      <w:kern w:val="44"/>
      <w:sz w:val="44"/>
      <w:szCs w:val="44"/>
    </w:rPr>
  </w:style>
  <w:style w:type="character" w:customStyle="1" w:styleId="20">
    <w:name w:val="标题 2 字符"/>
    <w:basedOn w:val="a0"/>
    <w:link w:val="2"/>
    <w:uiPriority w:val="9"/>
    <w:rsid w:val="00191DCB"/>
    <w:rPr>
      <w:rFonts w:asciiTheme="majorHAnsi" w:eastAsia="仿宋_GB2312" w:hAnsiTheme="majorHAnsi" w:cstheme="majorBidi"/>
      <w:b/>
      <w:bCs/>
      <w:sz w:val="24"/>
      <w:szCs w:val="32"/>
    </w:rPr>
  </w:style>
  <w:style w:type="character" w:customStyle="1" w:styleId="30">
    <w:name w:val="标题 3 字符"/>
    <w:basedOn w:val="a0"/>
    <w:link w:val="3"/>
    <w:uiPriority w:val="9"/>
    <w:rsid w:val="00191DCB"/>
    <w:rPr>
      <w:rFonts w:eastAsia="仿宋_GB2312"/>
      <w:b/>
      <w:bCs/>
      <w:sz w:val="24"/>
      <w:szCs w:val="32"/>
    </w:rPr>
  </w:style>
  <w:style w:type="character" w:customStyle="1" w:styleId="40">
    <w:name w:val="标题 4 字符"/>
    <w:basedOn w:val="a0"/>
    <w:link w:val="4"/>
    <w:uiPriority w:val="9"/>
    <w:rsid w:val="00191DCB"/>
    <w:rPr>
      <w:rFonts w:asciiTheme="majorHAnsi" w:eastAsiaTheme="majorEastAsia" w:hAnsiTheme="majorHAnsi" w:cstheme="majorBidi"/>
      <w:b/>
      <w:bCs/>
      <w:sz w:val="28"/>
      <w:szCs w:val="28"/>
    </w:rPr>
  </w:style>
  <w:style w:type="character" w:customStyle="1" w:styleId="50">
    <w:name w:val="标题 5 字符"/>
    <w:basedOn w:val="a0"/>
    <w:link w:val="5"/>
    <w:uiPriority w:val="9"/>
    <w:rsid w:val="00191DCB"/>
    <w:rPr>
      <w:b/>
      <w:bCs/>
      <w:sz w:val="28"/>
      <w:szCs w:val="28"/>
    </w:rPr>
  </w:style>
  <w:style w:type="paragraph" w:styleId="a3">
    <w:name w:val="No Spacing"/>
    <w:link w:val="a4"/>
    <w:uiPriority w:val="1"/>
    <w:qFormat/>
    <w:rsid w:val="00191DCB"/>
    <w:rPr>
      <w:rFonts w:eastAsia="Microsoft YaHei UI"/>
      <w:kern w:val="0"/>
      <w:sz w:val="22"/>
    </w:rPr>
  </w:style>
  <w:style w:type="character" w:customStyle="1" w:styleId="a4">
    <w:name w:val="无间隔 字符"/>
    <w:basedOn w:val="a0"/>
    <w:link w:val="a3"/>
    <w:uiPriority w:val="1"/>
    <w:rsid w:val="00191DCB"/>
    <w:rPr>
      <w:rFonts w:eastAsia="Microsoft YaHei UI"/>
      <w:kern w:val="0"/>
      <w:sz w:val="22"/>
    </w:rPr>
  </w:style>
  <w:style w:type="paragraph" w:styleId="a5">
    <w:name w:val="List Paragraph"/>
    <w:basedOn w:val="a"/>
    <w:uiPriority w:val="34"/>
    <w:qFormat/>
    <w:rsid w:val="00191DCB"/>
    <w:pPr>
      <w:ind w:firstLineChars="200" w:firstLine="420"/>
    </w:pPr>
    <w:rPr>
      <w:sz w:val="24"/>
      <w:szCs w:val="24"/>
    </w:rPr>
  </w:style>
  <w:style w:type="table" w:styleId="a6">
    <w:name w:val="Table Grid"/>
    <w:basedOn w:val="a1"/>
    <w:uiPriority w:val="39"/>
    <w:rsid w:val="00191DCB"/>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semiHidden/>
    <w:unhideWhenUsed/>
    <w:rsid w:val="00191DCB"/>
    <w:pPr>
      <w:widowControl/>
      <w:spacing w:before="100" w:beforeAutospacing="1" w:after="100" w:afterAutospacing="1"/>
      <w:jc w:val="left"/>
    </w:pPr>
    <w:rPr>
      <w:rFonts w:ascii="宋体" w:eastAsia="宋体" w:hAnsi="宋体" w:cs="宋体"/>
      <w:kern w:val="0"/>
      <w:sz w:val="24"/>
      <w:szCs w:val="24"/>
    </w:rPr>
  </w:style>
  <w:style w:type="paragraph" w:styleId="a8">
    <w:name w:val="Balloon Text"/>
    <w:basedOn w:val="a"/>
    <w:link w:val="a9"/>
    <w:uiPriority w:val="99"/>
    <w:semiHidden/>
    <w:unhideWhenUsed/>
    <w:rsid w:val="00191DCB"/>
    <w:rPr>
      <w:sz w:val="18"/>
      <w:szCs w:val="18"/>
    </w:rPr>
  </w:style>
  <w:style w:type="character" w:customStyle="1" w:styleId="a9">
    <w:name w:val="批注框文本 字符"/>
    <w:basedOn w:val="a0"/>
    <w:link w:val="a8"/>
    <w:uiPriority w:val="99"/>
    <w:semiHidden/>
    <w:rsid w:val="00191DCB"/>
    <w:rPr>
      <w:sz w:val="18"/>
      <w:szCs w:val="18"/>
    </w:rPr>
  </w:style>
  <w:style w:type="table" w:customStyle="1" w:styleId="4-11">
    <w:name w:val="网格表 4 - 着色 11"/>
    <w:basedOn w:val="a1"/>
    <w:uiPriority w:val="49"/>
    <w:rsid w:val="00191DCB"/>
    <w:rPr>
      <w:sz w:val="24"/>
      <w:szCs w:val="24"/>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
    <w:name w:val="TOC Heading"/>
    <w:basedOn w:val="1"/>
    <w:next w:val="a"/>
    <w:uiPriority w:val="39"/>
    <w:unhideWhenUsed/>
    <w:qFormat/>
    <w:rsid w:val="00191DCB"/>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2">
    <w:name w:val="toc 2"/>
    <w:basedOn w:val="a"/>
    <w:next w:val="a"/>
    <w:autoRedefine/>
    <w:uiPriority w:val="39"/>
    <w:unhideWhenUsed/>
    <w:qFormat/>
    <w:rsid w:val="00191DCB"/>
    <w:pPr>
      <w:spacing w:before="240"/>
      <w:jc w:val="left"/>
    </w:pPr>
    <w:rPr>
      <w:rFonts w:eastAsiaTheme="minorHAnsi"/>
      <w:b/>
      <w:bCs/>
      <w:sz w:val="20"/>
      <w:szCs w:val="20"/>
    </w:rPr>
  </w:style>
  <w:style w:type="paragraph" w:styleId="TOC1">
    <w:name w:val="toc 1"/>
    <w:basedOn w:val="a"/>
    <w:next w:val="a"/>
    <w:autoRedefine/>
    <w:uiPriority w:val="39"/>
    <w:unhideWhenUsed/>
    <w:qFormat/>
    <w:rsid w:val="00191DCB"/>
    <w:pPr>
      <w:tabs>
        <w:tab w:val="right" w:leader="dot" w:pos="8290"/>
      </w:tabs>
      <w:spacing w:before="100" w:beforeAutospacing="1"/>
      <w:jc w:val="left"/>
    </w:pPr>
    <w:rPr>
      <w:rFonts w:asciiTheme="majorHAnsi" w:eastAsiaTheme="majorHAnsi"/>
      <w:b/>
      <w:bCs/>
      <w:caps/>
      <w:sz w:val="24"/>
      <w:szCs w:val="24"/>
    </w:rPr>
  </w:style>
  <w:style w:type="paragraph" w:styleId="TOC3">
    <w:name w:val="toc 3"/>
    <w:basedOn w:val="a"/>
    <w:next w:val="a"/>
    <w:autoRedefine/>
    <w:uiPriority w:val="39"/>
    <w:unhideWhenUsed/>
    <w:qFormat/>
    <w:rsid w:val="00191DCB"/>
    <w:pPr>
      <w:tabs>
        <w:tab w:val="right" w:leader="dot" w:pos="8290"/>
      </w:tabs>
      <w:spacing w:before="100" w:beforeAutospacing="1" w:after="100" w:afterAutospacing="1"/>
      <w:ind w:left="238"/>
      <w:jc w:val="left"/>
    </w:pPr>
    <w:rPr>
      <w:rFonts w:eastAsiaTheme="minorHAnsi"/>
      <w:sz w:val="20"/>
      <w:szCs w:val="20"/>
    </w:rPr>
  </w:style>
  <w:style w:type="paragraph" w:styleId="TOC4">
    <w:name w:val="toc 4"/>
    <w:basedOn w:val="a"/>
    <w:next w:val="a"/>
    <w:autoRedefine/>
    <w:uiPriority w:val="39"/>
    <w:unhideWhenUsed/>
    <w:rsid w:val="00191DCB"/>
    <w:pPr>
      <w:ind w:left="480"/>
      <w:jc w:val="left"/>
    </w:pPr>
    <w:rPr>
      <w:rFonts w:eastAsiaTheme="minorHAnsi"/>
      <w:sz w:val="20"/>
      <w:szCs w:val="20"/>
    </w:rPr>
  </w:style>
  <w:style w:type="paragraph" w:styleId="TOC5">
    <w:name w:val="toc 5"/>
    <w:basedOn w:val="a"/>
    <w:next w:val="a"/>
    <w:autoRedefine/>
    <w:uiPriority w:val="39"/>
    <w:unhideWhenUsed/>
    <w:rsid w:val="00191DCB"/>
    <w:pPr>
      <w:ind w:left="720"/>
      <w:jc w:val="left"/>
    </w:pPr>
    <w:rPr>
      <w:rFonts w:eastAsiaTheme="minorHAnsi"/>
      <w:sz w:val="20"/>
      <w:szCs w:val="20"/>
    </w:rPr>
  </w:style>
  <w:style w:type="paragraph" w:styleId="TOC6">
    <w:name w:val="toc 6"/>
    <w:basedOn w:val="a"/>
    <w:next w:val="a"/>
    <w:autoRedefine/>
    <w:uiPriority w:val="39"/>
    <w:unhideWhenUsed/>
    <w:rsid w:val="00191DCB"/>
    <w:pPr>
      <w:ind w:left="960"/>
      <w:jc w:val="left"/>
    </w:pPr>
    <w:rPr>
      <w:rFonts w:eastAsiaTheme="minorHAnsi"/>
      <w:sz w:val="20"/>
      <w:szCs w:val="20"/>
    </w:rPr>
  </w:style>
  <w:style w:type="paragraph" w:styleId="TOC7">
    <w:name w:val="toc 7"/>
    <w:basedOn w:val="a"/>
    <w:next w:val="a"/>
    <w:autoRedefine/>
    <w:uiPriority w:val="39"/>
    <w:unhideWhenUsed/>
    <w:rsid w:val="00191DCB"/>
    <w:pPr>
      <w:ind w:left="1200"/>
      <w:jc w:val="left"/>
    </w:pPr>
    <w:rPr>
      <w:rFonts w:eastAsiaTheme="minorHAnsi"/>
      <w:sz w:val="20"/>
      <w:szCs w:val="20"/>
    </w:rPr>
  </w:style>
  <w:style w:type="paragraph" w:styleId="TOC8">
    <w:name w:val="toc 8"/>
    <w:basedOn w:val="a"/>
    <w:next w:val="a"/>
    <w:autoRedefine/>
    <w:uiPriority w:val="39"/>
    <w:unhideWhenUsed/>
    <w:rsid w:val="00191DCB"/>
    <w:pPr>
      <w:ind w:left="1440"/>
      <w:jc w:val="left"/>
    </w:pPr>
    <w:rPr>
      <w:rFonts w:eastAsiaTheme="minorHAnsi"/>
      <w:sz w:val="20"/>
      <w:szCs w:val="20"/>
    </w:rPr>
  </w:style>
  <w:style w:type="paragraph" w:styleId="TOC9">
    <w:name w:val="toc 9"/>
    <w:basedOn w:val="a"/>
    <w:next w:val="a"/>
    <w:autoRedefine/>
    <w:uiPriority w:val="39"/>
    <w:unhideWhenUsed/>
    <w:rsid w:val="00191DCB"/>
    <w:pPr>
      <w:ind w:left="1680"/>
      <w:jc w:val="left"/>
    </w:pPr>
    <w:rPr>
      <w:rFonts w:eastAsiaTheme="minorHAnsi"/>
      <w:sz w:val="20"/>
      <w:szCs w:val="20"/>
    </w:rPr>
  </w:style>
  <w:style w:type="character" w:styleId="aa">
    <w:name w:val="Hyperlink"/>
    <w:basedOn w:val="a0"/>
    <w:uiPriority w:val="99"/>
    <w:unhideWhenUsed/>
    <w:rsid w:val="00191DCB"/>
    <w:rPr>
      <w:color w:val="0000FF" w:themeColor="hyperlink"/>
      <w:u w:val="single"/>
    </w:rPr>
  </w:style>
  <w:style w:type="paragraph" w:customStyle="1" w:styleId="Default">
    <w:name w:val="Default"/>
    <w:rsid w:val="00191DCB"/>
    <w:pPr>
      <w:widowControl w:val="0"/>
      <w:autoSpaceDE w:val="0"/>
      <w:autoSpaceDN w:val="0"/>
      <w:adjustRightInd w:val="0"/>
    </w:pPr>
    <w:rPr>
      <w:rFonts w:ascii="华文楷体" w:eastAsia="华文楷体" w:cs="华文楷体"/>
      <w:color w:val="000000"/>
      <w:kern w:val="0"/>
      <w:sz w:val="24"/>
      <w:szCs w:val="24"/>
    </w:rPr>
  </w:style>
  <w:style w:type="paragraph" w:styleId="ab">
    <w:name w:val="header"/>
    <w:basedOn w:val="a"/>
    <w:link w:val="ac"/>
    <w:uiPriority w:val="99"/>
    <w:unhideWhenUsed/>
    <w:rsid w:val="00191DCB"/>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191DCB"/>
    <w:rPr>
      <w:sz w:val="18"/>
      <w:szCs w:val="18"/>
    </w:rPr>
  </w:style>
  <w:style w:type="paragraph" w:styleId="ad">
    <w:name w:val="footer"/>
    <w:basedOn w:val="a"/>
    <w:link w:val="ae"/>
    <w:uiPriority w:val="99"/>
    <w:unhideWhenUsed/>
    <w:rsid w:val="00191DCB"/>
    <w:pPr>
      <w:tabs>
        <w:tab w:val="center" w:pos="4153"/>
        <w:tab w:val="right" w:pos="8306"/>
      </w:tabs>
      <w:snapToGrid w:val="0"/>
      <w:jc w:val="left"/>
    </w:pPr>
    <w:rPr>
      <w:sz w:val="18"/>
      <w:szCs w:val="18"/>
    </w:rPr>
  </w:style>
  <w:style w:type="character" w:customStyle="1" w:styleId="ae">
    <w:name w:val="页脚 字符"/>
    <w:basedOn w:val="a0"/>
    <w:link w:val="ad"/>
    <w:uiPriority w:val="99"/>
    <w:rsid w:val="00191DCB"/>
    <w:rPr>
      <w:sz w:val="18"/>
      <w:szCs w:val="18"/>
    </w:rPr>
  </w:style>
  <w:style w:type="character" w:styleId="af">
    <w:name w:val="annotation reference"/>
    <w:basedOn w:val="a0"/>
    <w:uiPriority w:val="99"/>
    <w:semiHidden/>
    <w:unhideWhenUsed/>
    <w:rsid w:val="00191DCB"/>
    <w:rPr>
      <w:sz w:val="21"/>
      <w:szCs w:val="21"/>
    </w:rPr>
  </w:style>
  <w:style w:type="paragraph" w:styleId="af0">
    <w:name w:val="annotation text"/>
    <w:basedOn w:val="a"/>
    <w:link w:val="af1"/>
    <w:uiPriority w:val="99"/>
    <w:unhideWhenUsed/>
    <w:rsid w:val="00191DCB"/>
    <w:pPr>
      <w:jc w:val="left"/>
    </w:pPr>
    <w:rPr>
      <w:sz w:val="24"/>
      <w:szCs w:val="24"/>
    </w:rPr>
  </w:style>
  <w:style w:type="character" w:customStyle="1" w:styleId="af1">
    <w:name w:val="批注文字 字符"/>
    <w:basedOn w:val="a0"/>
    <w:link w:val="af0"/>
    <w:uiPriority w:val="99"/>
    <w:rsid w:val="00191DCB"/>
    <w:rPr>
      <w:sz w:val="24"/>
      <w:szCs w:val="24"/>
    </w:rPr>
  </w:style>
  <w:style w:type="paragraph" w:styleId="af2">
    <w:name w:val="annotation subject"/>
    <w:basedOn w:val="af0"/>
    <w:next w:val="af0"/>
    <w:link w:val="af3"/>
    <w:uiPriority w:val="99"/>
    <w:semiHidden/>
    <w:unhideWhenUsed/>
    <w:rsid w:val="00191DCB"/>
    <w:rPr>
      <w:b/>
      <w:bCs/>
    </w:rPr>
  </w:style>
  <w:style w:type="character" w:customStyle="1" w:styleId="af3">
    <w:name w:val="批注主题 字符"/>
    <w:basedOn w:val="af1"/>
    <w:link w:val="af2"/>
    <w:uiPriority w:val="99"/>
    <w:semiHidden/>
    <w:rsid w:val="00191DCB"/>
    <w:rPr>
      <w:b/>
      <w:bCs/>
      <w:sz w:val="24"/>
      <w:szCs w:val="24"/>
    </w:rPr>
  </w:style>
  <w:style w:type="character" w:customStyle="1" w:styleId="pnum-title1">
    <w:name w:val="pnum-title1"/>
    <w:rsid w:val="00191DCB"/>
    <w:rPr>
      <w:rFonts w:ascii="Arial" w:hAnsi="Arial" w:cs="Arial" w:hint="default"/>
      <w:vanish w:val="0"/>
      <w:webHidden w:val="0"/>
      <w:sz w:val="29"/>
      <w:szCs w:val="29"/>
      <w:specVanish w:val="0"/>
    </w:rPr>
  </w:style>
  <w:style w:type="character" w:customStyle="1" w:styleId="paragraph2">
    <w:name w:val="paragraph2"/>
    <w:rsid w:val="00191DCB"/>
    <w:rPr>
      <w:rFonts w:ascii="Arial" w:hAnsi="Arial" w:cs="Arial" w:hint="default"/>
      <w:vanish w:val="0"/>
      <w:webHidden w:val="0"/>
      <w:sz w:val="29"/>
      <w:szCs w:val="29"/>
      <w:specVanish w:val="0"/>
    </w:rPr>
  </w:style>
  <w:style w:type="paragraph" w:styleId="af4">
    <w:name w:val="Body Text"/>
    <w:basedOn w:val="a"/>
    <w:link w:val="af5"/>
    <w:rsid w:val="00191DCB"/>
    <w:pPr>
      <w:widowControl/>
      <w:spacing w:after="240" w:line="260" w:lineRule="exact"/>
      <w:jc w:val="left"/>
    </w:pPr>
    <w:rPr>
      <w:rFonts w:ascii="Times New Roman" w:eastAsia="宋体" w:hAnsi="Times New Roman" w:cs="Times New Roman"/>
      <w:kern w:val="0"/>
      <w:sz w:val="22"/>
      <w:szCs w:val="20"/>
      <w:lang w:eastAsia="en-US"/>
    </w:rPr>
  </w:style>
  <w:style w:type="character" w:customStyle="1" w:styleId="af5">
    <w:name w:val="正文文本 字符"/>
    <w:basedOn w:val="a0"/>
    <w:link w:val="af4"/>
    <w:rsid w:val="00191DCB"/>
    <w:rPr>
      <w:rFonts w:ascii="Times New Roman" w:eastAsia="宋体" w:hAnsi="Times New Roman" w:cs="Times New Roman"/>
      <w:kern w:val="0"/>
      <w:sz w:val="22"/>
      <w:szCs w:val="20"/>
      <w:lang w:eastAsia="en-US"/>
    </w:rPr>
  </w:style>
  <w:style w:type="paragraph" w:customStyle="1" w:styleId="MemoDate">
    <w:name w:val="Memo_Date"/>
    <w:basedOn w:val="a"/>
    <w:rsid w:val="00191DCB"/>
    <w:pPr>
      <w:widowControl/>
      <w:spacing w:before="60" w:after="60" w:line="260" w:lineRule="exact"/>
      <w:jc w:val="left"/>
    </w:pPr>
    <w:rPr>
      <w:rFonts w:ascii="Times New Roman" w:eastAsia="宋体" w:hAnsi="Times New Roman" w:cs="Times New Roman"/>
      <w:kern w:val="0"/>
      <w:sz w:val="20"/>
      <w:szCs w:val="20"/>
      <w:lang w:eastAsia="en-US"/>
    </w:rPr>
  </w:style>
  <w:style w:type="paragraph" w:customStyle="1" w:styleId="MemoFrom">
    <w:name w:val="Memo_From"/>
    <w:basedOn w:val="MemoDate"/>
    <w:rsid w:val="00191DCB"/>
  </w:style>
  <w:style w:type="paragraph" w:customStyle="1" w:styleId="MemoSubject">
    <w:name w:val="Memo_Subject"/>
    <w:basedOn w:val="MemoFrom"/>
    <w:rsid w:val="00191DCB"/>
  </w:style>
  <w:style w:type="paragraph" w:customStyle="1" w:styleId="StyleMemoLabel8pt">
    <w:name w:val="Style Memo_Label + 8 pt"/>
    <w:basedOn w:val="a"/>
    <w:rsid w:val="00191DCB"/>
    <w:pPr>
      <w:widowControl/>
      <w:spacing w:before="60" w:after="60" w:line="260" w:lineRule="exact"/>
      <w:jc w:val="left"/>
    </w:pPr>
    <w:rPr>
      <w:rFonts w:ascii="Arial" w:eastAsia="宋体" w:hAnsi="Arial" w:cs="Times New Roman"/>
      <w:kern w:val="0"/>
      <w:sz w:val="16"/>
      <w:szCs w:val="20"/>
      <w:lang w:eastAsia="en-US"/>
    </w:rPr>
  </w:style>
  <w:style w:type="paragraph" w:customStyle="1" w:styleId="Block">
    <w:name w:val="Block"/>
    <w:basedOn w:val="a"/>
    <w:link w:val="BlockChar"/>
    <w:rsid w:val="00191DCB"/>
    <w:pPr>
      <w:widowControl/>
      <w:spacing w:before="240"/>
      <w:jc w:val="left"/>
    </w:pPr>
    <w:rPr>
      <w:rFonts w:ascii="Times New Roman" w:eastAsia="宋体" w:hAnsi="Times New Roman" w:cs="Times New Roman"/>
      <w:kern w:val="0"/>
      <w:sz w:val="24"/>
      <w:szCs w:val="20"/>
      <w:lang w:eastAsia="en-US"/>
    </w:rPr>
  </w:style>
  <w:style w:type="character" w:customStyle="1" w:styleId="BlockChar">
    <w:name w:val="Block Char"/>
    <w:link w:val="Block"/>
    <w:locked/>
    <w:rsid w:val="00191DCB"/>
    <w:rPr>
      <w:rFonts w:ascii="Times New Roman" w:eastAsia="宋体" w:hAnsi="Times New Roman" w:cs="Times New Roman"/>
      <w:kern w:val="0"/>
      <w:sz w:val="24"/>
      <w:szCs w:val="20"/>
      <w:lang w:eastAsia="en-US"/>
    </w:rPr>
  </w:style>
  <w:style w:type="table" w:customStyle="1" w:styleId="TableNormal">
    <w:name w:val="Table Normal"/>
    <w:uiPriority w:val="2"/>
    <w:semiHidden/>
    <w:unhideWhenUsed/>
    <w:qFormat/>
    <w:rsid w:val="00191DCB"/>
    <w:rPr>
      <w:sz w:val="24"/>
      <w:szCs w:val="24"/>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rsid w:val="00191DCB"/>
    <w:rPr>
      <w:sz w:val="24"/>
      <w:szCs w:val="24"/>
      <w:lang w:eastAsia="en-US"/>
    </w:rPr>
  </w:style>
  <w:style w:type="paragraph" w:styleId="af6">
    <w:name w:val="Document Map"/>
    <w:basedOn w:val="a"/>
    <w:link w:val="af7"/>
    <w:uiPriority w:val="99"/>
    <w:semiHidden/>
    <w:unhideWhenUsed/>
    <w:rsid w:val="00191DCB"/>
    <w:rPr>
      <w:rFonts w:ascii="宋体" w:eastAsia="宋体"/>
      <w:sz w:val="18"/>
      <w:szCs w:val="18"/>
    </w:rPr>
  </w:style>
  <w:style w:type="character" w:customStyle="1" w:styleId="af7">
    <w:name w:val="文档结构图 字符"/>
    <w:basedOn w:val="a0"/>
    <w:link w:val="af6"/>
    <w:uiPriority w:val="99"/>
    <w:semiHidden/>
    <w:rsid w:val="00191DCB"/>
    <w:rPr>
      <w:rFonts w:ascii="宋体" w:eastAsia="宋体"/>
      <w:sz w:val="18"/>
      <w:szCs w:val="18"/>
    </w:rPr>
  </w:style>
  <w:style w:type="paragraph" w:styleId="af8">
    <w:name w:val="Revision"/>
    <w:hidden/>
    <w:uiPriority w:val="99"/>
    <w:semiHidden/>
    <w:rsid w:val="00191DC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785</Words>
  <Characters>4481</Characters>
  <Application>Microsoft Office Word</Application>
  <DocSecurity>0</DocSecurity>
  <Lines>37</Lines>
  <Paragraphs>10</Paragraphs>
  <ScaleCrop>false</ScaleCrop>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Luo Yiqing 罗旖晴</cp:lastModifiedBy>
  <cp:revision>13</cp:revision>
  <dcterms:created xsi:type="dcterms:W3CDTF">2018-12-18T08:40:00Z</dcterms:created>
  <dcterms:modified xsi:type="dcterms:W3CDTF">2023-12-04T02:18:00Z</dcterms:modified>
</cp:coreProperties>
</file>