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仿宋_GB2312" w:hAnsi="仿宋_GB2312" w:eastAsia="仿宋_GB2312"/>
          <w:b/>
          <w:sz w:val="32"/>
        </w:rPr>
        <w:t>财务报表附注</w:t>
      </w:r>
    </w:p>
    <w:p>
      <w:pPr>
        <w:jc w:val="center"/>
      </w:pPr>
      <w:r>
        <w:rPr>
          <w:rFonts w:ascii="仿宋_GB2312" w:hAnsi="仿宋_GB2312" w:eastAsia="仿宋_GB2312"/>
          <w:b w:val="0"/>
          <w:sz w:val="28"/>
        </w:rPr>
        <w:t>（2025年度）</w:t>
      </w:r>
    </w:p>
    <w:p>
      <w:r>
        <w:fldChar w:fldCharType="begin"/>
      </w:r>
      <w:r>
        <w:instrText xml:space="preserve"> TOC \o "1-3" \h \z \u </w:instrText>
      </w:r>
      <w:r>
        <w:fldChar w:fldCharType="separate"/>
      </w:r>
      <w:r>
        <w:rPr>
          <w:color w:val="808080"/>
        </w:rPr>
        <w:t>目录将在打开文档时自动更新</w:t>
      </w:r>
      <w:r>
        <w:fldChar w:fldCharType="end"/>
      </w:r>
    </w:p>
    <w:p>
      <w:r>
        <w:br w:type="page"/>
      </w:r>
    </w:p>
    <w:p>
      <w:pPr>
        <w:spacing w:before="120" w:after="240" w:line="240" w:lineRule="auto"/>
      </w:pPr>
      <w:r>
        <w:rPr>
          <w:rFonts w:ascii="仿宋_GB2312" w:hAnsi="仿宋_GB2312" w:eastAsia="仿宋_GB2312"/>
          <w:b/>
          <w:sz w:val="24"/>
        </w:rPr>
        <w:t>一、公司基本情况</w:t>
      </w:r>
      <w:bookmarkStart w:id="75355" w:name="note_section_一、1"/>
      <w:bookmarkEnd w:id="75355"/>
    </w:p>
    <w:p>
      <w:pPr>
        <w:spacing w:before="0" w:after="240" w:line="240" w:lineRule="auto"/>
      </w:pPr>
      <w:r>
        <w:rPr>
          <w:rFonts w:ascii="仿宋_GB2312" w:hAnsi="仿宋_GB2312" w:eastAsia="仿宋_GB2312"/>
          <w:b w:val="0"/>
          <w:sz w:val="24"/>
        </w:rPr>
        <w:t>【根据国资委文件附件3的要求披露（以下同）：</w:t>
        <w:br/>
        <w:t>（一）企业历史沿革、注册地、组织形式和总部地址。</w:t>
        <w:br/>
        <w:t>（二）企业的业务性质和主要经营活动。如企业：所处的行业、所提供的主要产品或服务、客户的性质、销售策略、监管环境的性质等。</w:t>
        <w:br/>
        <w:t>（三）母公司以及集团总部的名称。</w:t>
        <w:br/>
        <w:t>（四）财务报告的批准报出者和财务报告批准报出日。</w:t>
        <w:br/>
        <w:t>（五）营业期限有限的企业，还应当披露有关其营业期限的信息。】</w:t>
        <w:br/>
        <w:br/>
        <w:t>XX有限公司（以下简称本公司），系经 文批准设立的有限责任公司，于 年 月 日 工商行政管理局领取了注册号为      的《企业法人营业执照》，注册地址：    ，相应注册资本为  万人民币元，并经        会计师事务所于 年 月 日 号 予以验证。（本公司于 年 月 日注册资本变更为   万人民币元，经 事务所于 年 月 日 号予以验证，并相应换发了注册号为  的《企业法人营业执照》）。公司总部名称：     地址为：     ，法定代表人：    。</w:t>
        <w:br/>
        <w:br/>
        <w:t>本公司实行董事会领导下的总经理负责制。根据《中华人民共和国公司法》和本公司章程的规定，股东会（股东大会）为本公司最高权力机构，各股东按照出资比例行使表决权；董事会由     名董事组成（其中独立董事     人），设董事长1人，副董事长     人，下设     等专门委员会；监事会由     名监事组成，其中股东代表担任的监事     人，职工代表担任的监事     人。</w:t>
        <w:br/>
        <w:br/>
        <w:t>公司设总经理1人，副总经理     人，下设以下部门和分支机构：     。</w:t>
        <w:br/>
        <w:br/>
        <w:t>本公司纳入汇总财务报表的范围共xxx家核算单位，包括：等等。</w:t>
        <w:br/>
        <w:br/>
        <w:t>本公司拥有XX家子公司，包括：XX、XX等等。</w:t>
        <w:br/>
        <w:br/>
        <w:t>本公司所属行业为     ，业务性质为：    ，主要经营活动包括        ，主要业务板块包括：（如旅游饭店业、房地产、出租车、商品零售业）。企业法人营业执照规定经营范围：     。（包括：客户的性质、销售策略、监管环境的性质等。）</w:t>
        <w:br/>
        <w:br/>
        <w:t>本公司的母公司为      ，最终控制方为      。</w:t>
        <w:br/>
        <w:br/>
        <w:t>本公司营业期限自XXXX年XX月XX日至XXXX年XX月XX日。（如未限定经营期限，请删除）</w:t>
        <w:br/>
        <w:br/>
        <w:t>本财务报表及财务报表附注业经本公司第届董事会（总经理办公会/或类似机构）第次会议于2023年月日批准报出。</w:t>
      </w:r>
    </w:p>
    <w:p>
      <w:pPr>
        <w:spacing w:before="120" w:after="240" w:line="240" w:lineRule="auto"/>
      </w:pPr>
      <w:r>
        <w:rPr>
          <w:rFonts w:ascii="仿宋_GB2312" w:hAnsi="仿宋_GB2312" w:eastAsia="仿宋_GB2312"/>
          <w:b/>
          <w:sz w:val="24"/>
        </w:rPr>
        <w:t>二、子公司使用企业集团资产和清偿企业集团债务的重大限制</w:t>
      </w:r>
      <w:bookmarkStart w:id="85829" w:name="note_section_七、子公司使用企业集"/>
      <w:bookmarkEnd w:id="85829"/>
    </w:p>
    <w:p>
      <w:pPr>
        <w:spacing w:before="0" w:after="240" w:line="240" w:lineRule="auto"/>
      </w:pPr>
      <w:r>
        <w:rPr>
          <w:rFonts w:ascii="仿宋_GB2312" w:hAnsi="仿宋_GB2312" w:eastAsia="仿宋_GB2312"/>
          <w:b w:val="0"/>
          <w:sz w:val="24"/>
        </w:rPr>
        <w:t>（1）说明限制内容，包括对母公司或子公司与集团内其他主体相互转移现金或其他资产的限制，以及对集团内主体之间发放股利或进行利润分配、发放或收回贷款或垫款等的限制；</w:t>
        <w:br/>
        <w:br/>
        <w:t>（2）子公司少数股东享有保护性权利，并且该保护性权利对使用集团资产或清偿集团负债的能力存在重大限制的，披露限制的性质和程度；</w:t>
        <w:br/>
        <w:br/>
        <w:t>（3）限制涉及的资产和负债在合并财务报表中的金额。</w:t>
      </w:r>
    </w:p>
    <w:p>
      <w:pPr>
        <w:spacing w:before="120" w:after="240" w:line="240" w:lineRule="auto"/>
      </w:pPr>
      <w:r>
        <w:rPr>
          <w:rFonts w:ascii="仿宋_GB2312" w:hAnsi="仿宋_GB2312" w:eastAsia="仿宋_GB2312"/>
          <w:b/>
          <w:sz w:val="24"/>
        </w:rPr>
        <w:t>三、子公司向母公司转移资金的能力受到严格限制的情况</w:t>
      </w:r>
      <w:bookmarkStart w:id="24750" w:name="note_section_七、子公司向母公司转"/>
      <w:bookmarkEnd w:id="24750"/>
    </w:p>
    <w:p>
      <w:pPr>
        <w:spacing w:before="0" w:after="240" w:line="240" w:lineRule="auto"/>
      </w:pPr>
      <w:r>
        <w:rPr>
          <w:rFonts w:ascii="仿宋_GB2312" w:hAnsi="仿宋_GB2312" w:eastAsia="仿宋_GB2312"/>
          <w:b w:val="0"/>
          <w:sz w:val="24"/>
        </w:rPr>
        <w:t>（一）或有负债（不包括极小可能导致经济利益流出企业的或有负债）。</w:t>
        <w:br/>
        <w:br/>
        <w:t>1.或有负债的种类及其形成原因，包括已贴现商业承兑汇票、未决诉讼、未决仲裁、对外提供担保等形成的或有负债。</w:t>
        <w:br/>
        <w:br/>
        <w:t>2.经济利益流出不确定性的说明。</w:t>
        <w:br/>
        <w:br/>
        <w:t>3.或有负债预计产生的财务影响，以及获得补偿的可能性；无法预计的，应当说明原因。</w:t>
        <w:br/>
        <w:br/>
        <w:t>（二）企业通常不应当披露或有资产。但或有资产很可能会给企业带来经济利益的，应当披露其形成的原因、预计产生的财务影响等。】</w:t>
      </w:r>
    </w:p>
    <w:p>
      <w:pPr>
        <w:spacing w:before="120" w:after="240" w:line="240" w:lineRule="auto"/>
      </w:pPr>
      <w:r>
        <w:rPr>
          <w:rFonts w:ascii="仿宋_GB2312" w:hAnsi="仿宋_GB2312" w:eastAsia="仿宋_GB2312"/>
          <w:b/>
          <w:sz w:val="24"/>
        </w:rPr>
        <w:t>四、本期不再纳入合并范围的原子公司</w:t>
      </w:r>
      <w:bookmarkStart w:id="19111" w:name="note_section_七、本期不再纳入合并"/>
      <w:bookmarkEnd w:id="19111"/>
    </w:p>
    <w:p>
      <w:pPr>
        <w:spacing w:before="0" w:after="240" w:line="240" w:lineRule="auto"/>
      </w:pPr>
      <w:r>
        <w:rPr>
          <w:rFonts w:ascii="仿宋_GB2312" w:hAnsi="仿宋_GB2312" w:eastAsia="仿宋_GB2312"/>
          <w:b w:val="0"/>
          <w:sz w:val="24"/>
        </w:rPr>
        <w:t>### 原子公司的基本情况</w:t>
        <w:br/>
        <w:br/>
        <w:t>### 本期出售的子公司出售日的财务状况</w:t>
        <w:br/>
        <w:br/>
        <w:t>（说明出售日的确定方法）</w:t>
        <w:br/>
        <w:br/>
        <w:t>### 本期出售的子公司处置日的经营成果</w:t>
        <w:br/>
        <w:br/>
        <w:t>【提示：本期因处置部分股权投资或其他原因丧失了对原有子公司控制权的，对于处置后的剩余股权，还应按照《企业会计准则解释第4号》的规定，在附注中披露处置后的剩余股权在丧失控制权日的公允价值、按照公允价值重新计量产生的相关利得或损失的金额，具体披露格式请参考本所“股份公司年审报告模板”】</w:t>
      </w:r>
    </w:p>
    <w:p>
      <w:pPr>
        <w:spacing w:before="120" w:after="240" w:line="240" w:lineRule="auto"/>
      </w:pPr>
      <w:r>
        <w:rPr>
          <w:rFonts w:ascii="仿宋_GB2312" w:hAnsi="仿宋_GB2312" w:eastAsia="仿宋_GB2312"/>
          <w:b/>
          <w:sz w:val="24"/>
        </w:rPr>
        <w:t>序号</w:t>
      </w:r>
    </w:p>
    <w:p>
      <w:pPr>
        <w:spacing w:before="120" w:after="240" w:line="240" w:lineRule="auto"/>
      </w:pPr>
      <w:r>
        <w:rPr>
          <w:rFonts w:ascii="仿宋_GB2312" w:hAnsi="仿宋_GB2312" w:eastAsia="仿宋_GB2312"/>
          <w:b/>
          <w:sz w:val="24"/>
        </w:rPr>
        <w:t>公司名称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公司名称</w:t>
            </w:r>
          </w:p>
        </w:tc>
        <w:tc>
          <w:tcPr>
            <w:tcW w:type="dxa" w:w="2100"/>
            <w:tcBorders>
              <w:bottom w:val="single" w:sz="4" w:space="0" w:color="000000"/>
            </w:tcBorders>
          </w:tcPr>
          <w:p>
            <w:pPr>
              <w:jc w:val="center"/>
            </w:pPr>
            <w:r/>
            <w:r>
              <w:rPr>
                <w:rFonts w:ascii="仿宋_GB2312" w:hAnsi="仿宋_GB2312" w:eastAsia="仿宋_GB2312"/>
                <w:b/>
                <w:sz w:val="24"/>
              </w:rPr>
              <w:t>A公司</w:t>
            </w:r>
          </w:p>
        </w:tc>
        <w:tc>
          <w:tcPr>
            <w:tcW w:type="dxa" w:w="2100"/>
            <w:tcBorders>
              <w:bottom w:val="single" w:sz="4" w:space="0" w:color="000000"/>
            </w:tcBorders>
          </w:tcPr>
          <w:p>
            <w:pPr>
              <w:jc w:val="center"/>
            </w:pPr>
            <w:r/>
            <w:r>
              <w:rPr>
                <w:rFonts w:ascii="仿宋_GB2312" w:hAnsi="仿宋_GB2312" w:eastAsia="仿宋_GB2312"/>
                <w:b/>
                <w:sz w:val="24"/>
              </w:rPr>
              <w:t>B公司</w:t>
            </w:r>
          </w:p>
        </w:tc>
        <w:tc>
          <w:tcPr>
            <w:tcW w:type="dxa" w:w="2100"/>
            <w:tcBorders>
              <w:bottom w:val="single" w:sz="4" w:space="0" w:color="000000"/>
            </w:tcBorders>
          </w:tcPr>
          <w:p>
            <w:pPr>
              <w:jc w:val="center"/>
            </w:pPr>
            <w:r/>
            <w:r>
              <w:rPr>
                <w:rFonts w:ascii="仿宋_GB2312" w:hAnsi="仿宋_GB2312" w:eastAsia="仿宋_GB2312"/>
                <w:b/>
                <w:sz w:val="24"/>
              </w:rPr>
              <w:t>C公司</w:t>
            </w:r>
          </w:p>
        </w:tc>
      </w:tr>
      <w:tr>
        <w:trPr>
          <w:trHeight w:val="397" w:hRule="exact"/>
          <w:cantSplit/>
        </w:trPr>
        <w:tc>
          <w:tcPr>
            <w:tcW w:type="dxa" w:w="2100"/>
          </w:tcPr>
          <w:p>
            <w:r/>
            <w:r>
              <w:rPr>
                <w:rFonts w:ascii="仿宋_GB2312" w:hAnsi="仿宋_GB2312" w:eastAsia="仿宋_GB2312"/>
                <w:b w:val="0"/>
                <w:sz w:val="24"/>
              </w:rPr>
              <w:t>截止日期</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流动资产</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长期股权投资</w:t>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固定资产</w:t>
            </w:r>
          </w:p>
        </w:tc>
        <w:tc>
          <w:tcPr>
            <w:tcW w:type="dxa" w:w="2100"/>
          </w:tcPr>
          <w:p>
            <w:pPr>
              <w:jc w:val="right"/>
            </w:pPr>
            <w:r/>
            <w:r>
              <w:rPr>
                <w:rFonts w:ascii="Arial Narrow" w:hAnsi="Arial Narrow" w:eastAsia="仿宋_GB2312" w:cs="Arial Narrow"/>
                <w:sz w:val="24"/>
              </w:rPr>
              <w:t>39,947,513.34</w:t>
            </w:r>
          </w:p>
        </w:tc>
        <w:tc>
          <w:tcPr>
            <w:tcW w:type="dxa" w:w="2100"/>
          </w:tcPr>
          <w:p>
            <w:pPr>
              <w:jc w:val="right"/>
            </w:pPr>
            <w:r/>
            <w:r>
              <w:rPr>
                <w:rFonts w:ascii="Arial Narrow" w:hAnsi="Arial Narrow" w:eastAsia="仿宋_GB2312" w:cs="Arial Narrow"/>
                <w:sz w:val="24"/>
              </w:rPr>
              <w:t>43,695,654.84</w:t>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无形资产</w:t>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其他非流动资产</w:t>
            </w:r>
          </w:p>
        </w:tc>
        <w:tc>
          <w:tcPr>
            <w:tcW w:type="dxa" w:w="2100"/>
          </w:tcPr>
          <w:p>
            <w:pPr>
              <w:jc w:val="right"/>
            </w:pPr>
            <w:r/>
            <w:r>
              <w:rPr>
                <w:rFonts w:ascii="Arial Narrow" w:hAnsi="Arial Narrow" w:eastAsia="仿宋_GB2312" w:cs="Arial Narrow"/>
                <w:sz w:val="24"/>
              </w:rPr>
              <w:t>1,386,784.09</w:t>
            </w:r>
          </w:p>
        </w:tc>
        <w:tc>
          <w:tcPr>
            <w:tcW w:type="dxa" w:w="2100"/>
          </w:tcPr>
          <w:p>
            <w:pPr>
              <w:jc w:val="right"/>
            </w:pPr>
            <w:r/>
            <w:r>
              <w:rPr>
                <w:rFonts w:ascii="Arial Narrow" w:hAnsi="Arial Narrow" w:eastAsia="仿宋_GB2312" w:cs="Arial Narrow"/>
                <w:sz w:val="24"/>
              </w:rPr>
              <w:t>1,386,784.09</w:t>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流动负债</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非流动负债</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所有者权益</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公司名称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公司名称</w:t>
            </w:r>
          </w:p>
        </w:tc>
        <w:tc>
          <w:tcPr>
            <w:tcW w:type="dxa" w:w="2100"/>
            <w:tcBorders>
              <w:bottom w:val="single" w:sz="4" w:space="0" w:color="000000"/>
            </w:tcBorders>
          </w:tcPr>
          <w:p>
            <w:pPr>
              <w:jc w:val="center"/>
            </w:pPr>
            <w:r/>
            <w:r>
              <w:rPr>
                <w:rFonts w:ascii="仿宋_GB2312" w:hAnsi="仿宋_GB2312" w:eastAsia="仿宋_GB2312"/>
                <w:b/>
                <w:sz w:val="24"/>
              </w:rPr>
              <w:t>A公司</w:t>
            </w:r>
          </w:p>
        </w:tc>
        <w:tc>
          <w:tcPr>
            <w:tcW w:type="dxa" w:w="2100"/>
            <w:tcBorders>
              <w:bottom w:val="single" w:sz="4" w:space="0" w:color="000000"/>
            </w:tcBorders>
          </w:tcPr>
          <w:p>
            <w:pPr>
              <w:jc w:val="center"/>
            </w:pPr>
            <w:r/>
            <w:r>
              <w:rPr>
                <w:rFonts w:ascii="仿宋_GB2312" w:hAnsi="仿宋_GB2312" w:eastAsia="仿宋_GB2312"/>
                <w:b/>
                <w:sz w:val="24"/>
              </w:rPr>
              <w:t>B公司</w:t>
            </w:r>
          </w:p>
        </w:tc>
        <w:tc>
          <w:tcPr>
            <w:tcW w:type="dxa" w:w="2100"/>
            <w:tcBorders>
              <w:bottom w:val="single" w:sz="4" w:space="0" w:color="000000"/>
            </w:tcBorders>
          </w:tcPr>
          <w:p>
            <w:pPr>
              <w:jc w:val="center"/>
            </w:pPr>
            <w:r/>
            <w:r>
              <w:rPr>
                <w:rFonts w:ascii="仿宋_GB2312" w:hAnsi="仿宋_GB2312" w:eastAsia="仿宋_GB2312"/>
                <w:b/>
                <w:sz w:val="24"/>
              </w:rPr>
              <w:t>C公司</w:t>
            </w:r>
          </w:p>
        </w:tc>
      </w:tr>
      <w:tr>
        <w:trPr>
          <w:trHeight w:val="397" w:hRule="exact"/>
          <w:cantSplit/>
        </w:trPr>
        <w:tc>
          <w:tcPr>
            <w:tcW w:type="dxa" w:w="2100"/>
          </w:tcPr>
          <w:p>
            <w:r/>
            <w:r>
              <w:rPr>
                <w:rFonts w:ascii="仿宋_GB2312" w:hAnsi="仿宋_GB2312" w:eastAsia="仿宋_GB2312"/>
                <w:b w:val="0"/>
                <w:sz w:val="24"/>
              </w:rPr>
              <w:t>期间</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营业收入</w:t>
            </w:r>
          </w:p>
        </w:tc>
        <w:tc>
          <w:tcPr>
            <w:tcW w:type="dxa" w:w="2100"/>
          </w:tcPr>
          <w:p>
            <w:pPr>
              <w:jc w:val="right"/>
            </w:pPr>
            <w:r/>
            <w:r>
              <w:rPr>
                <w:rFonts w:ascii="Arial Narrow" w:hAnsi="Arial Narrow" w:eastAsia="仿宋_GB2312" w:cs="Arial Narrow"/>
                <w:sz w:val="24"/>
              </w:rPr>
              <w:t>-38,258,743.63</w:t>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营业成本</w:t>
            </w:r>
          </w:p>
        </w:tc>
        <w:tc>
          <w:tcPr>
            <w:tcW w:type="dxa" w:w="2100"/>
          </w:tcPr>
          <w:p>
            <w:pPr>
              <w:jc w:val="right"/>
            </w:pPr>
            <w:r/>
            <w:r>
              <w:rPr>
                <w:rFonts w:ascii="Arial Narrow" w:hAnsi="Arial Narrow" w:eastAsia="仿宋_GB2312" w:cs="Arial Narrow"/>
                <w:sz w:val="24"/>
              </w:rPr>
              <w:t>32,876,580.33</w:t>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期间费用</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营业利润</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利润总额</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所得税费用</w:t>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净利润</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五、本期发生的同一控制下企业合并情况</w:t>
      </w:r>
      <w:bookmarkStart w:id="73981" w:name="note_section_七、本期发生的同一控"/>
      <w:bookmarkEnd w:id="73981"/>
    </w:p>
    <w:p>
      <w:pPr>
        <w:spacing w:before="0" w:after="240" w:line="240" w:lineRule="auto"/>
      </w:pPr>
      <w:r>
        <w:rPr>
          <w:rFonts w:ascii="仿宋_GB2312" w:hAnsi="仿宋_GB2312" w:eastAsia="仿宋_GB2312"/>
          <w:b w:val="0"/>
          <w:sz w:val="24"/>
        </w:rPr>
        <w:t>（说明合并日的确定依据、支付的对价及被合并方的账面净资产、并披露被合并方自合并当年期初至合并日的收入、净利润、现金流量等情况。）</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公司名称</w:t>
            </w:r>
          </w:p>
        </w:tc>
        <w:tc>
          <w:tcPr>
            <w:tcW w:type="dxa" w:w="1400"/>
            <w:tcBorders>
              <w:bottom w:val="single" w:sz="4" w:space="0" w:color="000000"/>
            </w:tcBorders>
          </w:tcPr>
          <w:p>
            <w:pPr>
              <w:jc w:val="center"/>
            </w:pPr>
            <w:r/>
            <w:r>
              <w:rPr>
                <w:rFonts w:ascii="仿宋_GB2312" w:hAnsi="仿宋_GB2312" w:eastAsia="仿宋_GB2312"/>
                <w:b/>
                <w:sz w:val="24"/>
              </w:rPr>
              <w:t>合并日</w:t>
            </w:r>
          </w:p>
        </w:tc>
        <w:tc>
          <w:tcPr>
            <w:tcW w:type="dxa" w:w="1400"/>
            <w:tcBorders>
              <w:bottom w:val="single" w:sz="4" w:space="0" w:color="000000"/>
            </w:tcBorders>
          </w:tcPr>
          <w:p>
            <w:pPr>
              <w:jc w:val="center"/>
            </w:pPr>
            <w:r/>
            <w:r>
              <w:rPr>
                <w:rFonts w:ascii="仿宋_GB2312" w:hAnsi="仿宋_GB2312" w:eastAsia="仿宋_GB2312"/>
                <w:b/>
                <w:sz w:val="24"/>
              </w:rPr>
              <w:t>账面&lt;br/&gt;净资产</w:t>
            </w:r>
          </w:p>
        </w:tc>
        <w:tc>
          <w:tcPr>
            <w:tcW w:type="dxa" w:w="1400"/>
            <w:tcBorders>
              <w:bottom w:val="single" w:sz="4" w:space="0" w:color="000000"/>
            </w:tcBorders>
          </w:tcPr>
          <w:p>
            <w:pPr>
              <w:jc w:val="center"/>
            </w:pPr>
            <w:r/>
            <w:r>
              <w:rPr>
                <w:rFonts w:ascii="仿宋_GB2312" w:hAnsi="仿宋_GB2312" w:eastAsia="仿宋_GB2312"/>
                <w:b/>
                <w:sz w:val="24"/>
              </w:rPr>
              <w:t>交易对价</w:t>
            </w:r>
          </w:p>
        </w:tc>
        <w:tc>
          <w:tcPr>
            <w:tcW w:type="dxa" w:w="1400"/>
            <w:tcBorders>
              <w:bottom w:val="single" w:sz="4" w:space="0" w:color="000000"/>
            </w:tcBorders>
          </w:tcPr>
          <w:p>
            <w:pPr>
              <w:jc w:val="center"/>
            </w:pPr>
            <w:r/>
            <w:r>
              <w:rPr>
                <w:rFonts w:ascii="仿宋_GB2312" w:hAnsi="仿宋_GB2312" w:eastAsia="仿宋_GB2312"/>
                <w:b/>
                <w:sz w:val="24"/>
              </w:rPr>
              <w:t>实际控&lt;br/&gt;制人</w:t>
            </w:r>
          </w:p>
        </w:tc>
        <w:tc>
          <w:tcPr>
            <w:tcW w:type="dxa" w:w="1400"/>
            <w:tcBorders>
              <w:bottom w:val="single" w:sz="4" w:space="0" w:color="000000"/>
            </w:tcBorders>
          </w:tcPr>
          <w:p>
            <w:pPr>
              <w:jc w:val="center"/>
            </w:pPr>
            <w:r/>
            <w:r>
              <w:rPr>
                <w:rFonts w:ascii="仿宋_GB2312" w:hAnsi="仿宋_GB2312" w:eastAsia="仿宋_GB2312"/>
                <w:b/>
                <w:sz w:val="24"/>
              </w:rPr>
              <w:t>本期初至合并日的相关情况</w:t>
            </w:r>
          </w:p>
        </w:tc>
      </w:tr>
      <w:tr>
        <w:trPr>
          <w:trHeight w:val="397" w:hRule="exact"/>
          <w:cantSplit/>
        </w:trPr>
        <w:tc>
          <w:tcPr>
            <w:tcW w:type="dxa" w:w="1400"/>
          </w:tcPr>
          <w:p>
            <w:r/>
            <w:r>
              <w:rPr>
                <w:rFonts w:ascii="仿宋_GB2312" w:hAnsi="仿宋_GB2312" w:eastAsia="仿宋_GB2312"/>
                <w:b w:val="0"/>
                <w:sz w:val="24"/>
              </w:rPr>
              <w:t>公司名称</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六、本期发生的吸收合并</w:t>
      </w:r>
      <w:bookmarkStart w:id="56109" w:name="note_section_七、本期发生的吸收合"/>
      <w:bookmarkEnd w:id="56109"/>
    </w:p>
    <w:p>
      <w:pPr>
        <w:spacing w:before="0" w:after="240" w:line="240" w:lineRule="auto"/>
      </w:pPr>
      <w:r>
        <w:rPr>
          <w:rFonts w:ascii="仿宋_GB2312" w:hAnsi="仿宋_GB2312" w:eastAsia="仿宋_GB2312"/>
          <w:b w:val="0"/>
          <w:sz w:val="24"/>
        </w:rPr>
        <w:t>（应分别同一控制下和非同一控制下的吸收合并，披露并入的主要资产、负债项目及其金额。）</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吸收合并的类型</w:t>
            </w:r>
          </w:p>
        </w:tc>
        <w:tc>
          <w:tcPr>
            <w:tcW w:type="dxa" w:w="2801"/>
            <w:tcBorders>
              <w:bottom w:val="single" w:sz="4" w:space="0" w:color="000000"/>
            </w:tcBorders>
          </w:tcPr>
          <w:p>
            <w:pPr>
              <w:jc w:val="center"/>
            </w:pPr>
            <w:r/>
            <w:r>
              <w:rPr>
                <w:rFonts w:ascii="仿宋_GB2312" w:hAnsi="仿宋_GB2312" w:eastAsia="仿宋_GB2312"/>
                <w:b/>
                <w:sz w:val="24"/>
              </w:rPr>
              <w:t>并入的主要资产</w:t>
            </w:r>
          </w:p>
        </w:tc>
        <w:tc>
          <w:tcPr>
            <w:tcW w:type="dxa" w:w="2801"/>
            <w:tcBorders>
              <w:bottom w:val="single" w:sz="4" w:space="0" w:color="000000"/>
            </w:tcBorders>
          </w:tcPr>
          <w:p>
            <w:pPr>
              <w:jc w:val="center"/>
            </w:pPr>
            <w:r/>
            <w:r>
              <w:rPr>
                <w:rFonts w:ascii="仿宋_GB2312" w:hAnsi="仿宋_GB2312" w:eastAsia="仿宋_GB2312"/>
                <w:b/>
                <w:sz w:val="24"/>
              </w:rPr>
              <w:t>并入的主要负债</w:t>
            </w:r>
          </w:p>
        </w:tc>
      </w:tr>
      <w:tr>
        <w:trPr>
          <w:trHeight w:val="397" w:hRule="exact"/>
          <w:cantSplit/>
        </w:trPr>
        <w:tc>
          <w:tcPr>
            <w:tcW w:type="dxa" w:w="2801"/>
          </w:tcPr>
          <w:p>
            <w:r/>
            <w:r>
              <w:rPr>
                <w:rFonts w:ascii="仿宋_GB2312" w:hAnsi="仿宋_GB2312" w:eastAsia="仿宋_GB2312"/>
                <w:b w:val="0"/>
                <w:sz w:val="24"/>
              </w:rPr>
              <w:t>吸收合并的类型</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同一控制下吸收合并</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非同一控制下吸收合并</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七、本期发生的非同一控制下企业合并情况</w:t>
      </w:r>
      <w:bookmarkStart w:id="86494" w:name="note_section_七、本期发生的非同一"/>
      <w:bookmarkEnd w:id="86494"/>
    </w:p>
    <w:p>
      <w:pPr>
        <w:spacing w:before="0" w:after="240" w:line="240" w:lineRule="auto"/>
      </w:pPr>
      <w:r>
        <w:rPr>
          <w:rFonts w:ascii="仿宋_GB2312" w:hAnsi="仿宋_GB2312" w:eastAsia="仿宋_GB2312"/>
          <w:b w:val="0"/>
          <w:sz w:val="24"/>
        </w:rPr>
        <w:t>（注：说明企业合并中取得的被购买方的权益比例；购买日的确定依据；或有对价的安排、购买日确认的或有对价的金额及其确定方法和依据，购买日后或有对价的变动及原因，被购买方未达到业绩承诺的，应说明该事项对相关商誉减值测试的影响。分步实现企业合并且在本期取得控制权的交易，应分别说明前期和本期取得股权的时点、成本、比例及方式等。）</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764"/>
        <w:gridCol w:w="764"/>
        <w:gridCol w:w="764"/>
        <w:gridCol w:w="764"/>
        <w:gridCol w:w="764"/>
        <w:gridCol w:w="764"/>
        <w:gridCol w:w="764"/>
        <w:gridCol w:w="764"/>
        <w:gridCol w:w="764"/>
        <w:gridCol w:w="764"/>
        <w:gridCol w:w="764"/>
      </w:tblGrid>
      <w:tr>
        <w:trPr>
          <w:trHeight w:val="397" w:hRule="exact"/>
          <w:cantSplit/>
        </w:trPr>
        <w:tc>
          <w:tcPr>
            <w:tcW w:type="dxa" w:w="764"/>
            <w:tcBorders>
              <w:bottom w:val="single" w:sz="4" w:space="0" w:color="000000"/>
            </w:tcBorders>
          </w:tcPr>
          <w:p>
            <w:pPr>
              <w:jc w:val="center"/>
            </w:pPr>
            <w:r/>
            <w:r>
              <w:rPr>
                <w:rFonts w:ascii="仿宋_GB2312" w:hAnsi="仿宋_GB2312" w:eastAsia="仿宋_GB2312"/>
                <w:b/>
                <w:sz w:val="24"/>
              </w:rPr>
              <w:t>被购买方名称</w:t>
            </w:r>
          </w:p>
        </w:tc>
        <w:tc>
          <w:tcPr>
            <w:tcW w:type="dxa" w:w="764"/>
            <w:tcBorders>
              <w:bottom w:val="single" w:sz="4" w:space="0" w:color="000000"/>
            </w:tcBorders>
          </w:tcPr>
          <w:p>
            <w:pPr>
              <w:jc w:val="center"/>
            </w:pPr>
            <w:r/>
            <w:r>
              <w:rPr>
                <w:rFonts w:ascii="仿宋_GB2312" w:hAnsi="仿宋_GB2312" w:eastAsia="仿宋_GB2312"/>
                <w:b/>
                <w:sz w:val="24"/>
              </w:rPr>
              <w:t>购买日</w:t>
            </w:r>
          </w:p>
        </w:tc>
        <w:tc>
          <w:tcPr>
            <w:tcW w:type="dxa" w:w="764"/>
            <w:tcBorders>
              <w:bottom w:val="single" w:sz="4" w:space="0" w:color="000000"/>
            </w:tcBorders>
          </w:tcPr>
          <w:p>
            <w:pPr>
              <w:jc w:val="center"/>
            </w:pPr>
            <w:r/>
            <w:r>
              <w:rPr>
                <w:rFonts w:ascii="仿宋_GB2312" w:hAnsi="仿宋_GB2312" w:eastAsia="仿宋_GB2312"/>
                <w:b/>
                <w:sz w:val="24"/>
              </w:rPr>
              <w:t>购买日的确定依据</w:t>
            </w:r>
          </w:p>
        </w:tc>
        <w:tc>
          <w:tcPr>
            <w:tcW w:type="dxa" w:w="764"/>
            <w:tcBorders>
              <w:bottom w:val="single" w:sz="4" w:space="0" w:color="000000"/>
            </w:tcBorders>
          </w:tcPr>
          <w:p>
            <w:pPr>
              <w:jc w:val="center"/>
            </w:pPr>
            <w:r/>
            <w:r>
              <w:rPr>
                <w:rFonts w:ascii="仿宋_GB2312" w:hAnsi="仿宋_GB2312" w:eastAsia="仿宋_GB2312"/>
                <w:b/>
                <w:sz w:val="24"/>
              </w:rPr>
              <w:t>购买日前持有被购买方权益比例</w:t>
            </w:r>
          </w:p>
        </w:tc>
        <w:tc>
          <w:tcPr>
            <w:tcW w:type="dxa" w:w="764"/>
            <w:tcBorders>
              <w:bottom w:val="single" w:sz="4" w:space="0" w:color="000000"/>
            </w:tcBorders>
          </w:tcPr>
          <w:p>
            <w:pPr>
              <w:jc w:val="center"/>
            </w:pPr>
            <w:r/>
            <w:r>
              <w:rPr>
                <w:rFonts w:ascii="仿宋_GB2312" w:hAnsi="仿宋_GB2312" w:eastAsia="仿宋_GB2312"/>
                <w:b/>
                <w:sz w:val="24"/>
              </w:rPr>
              <w:t>形成合并时持有的被购买方权益比例（不含合并后的股权增减）</w:t>
            </w:r>
          </w:p>
        </w:tc>
        <w:tc>
          <w:tcPr>
            <w:tcW w:type="dxa" w:w="764"/>
            <w:tcBorders>
              <w:bottom w:val="single" w:sz="4" w:space="0" w:color="000000"/>
            </w:tcBorders>
          </w:tcPr>
          <w:p>
            <w:pPr>
              <w:jc w:val="center"/>
            </w:pPr>
            <w:r/>
            <w:r>
              <w:rPr>
                <w:rFonts w:ascii="仿宋_GB2312" w:hAnsi="仿宋_GB2312" w:eastAsia="仿宋_GB2312"/>
                <w:b/>
                <w:sz w:val="24"/>
              </w:rPr>
              <w:t>购买日被购买方</w:t>
            </w:r>
          </w:p>
        </w:tc>
        <w:tc>
          <w:tcPr>
            <w:tcW w:type="dxa" w:w="764"/>
            <w:tcBorders>
              <w:bottom w:val="single" w:sz="4" w:space="0" w:color="000000"/>
            </w:tcBorders>
          </w:tcPr>
          <w:p>
            <w:pPr>
              <w:jc w:val="center"/>
            </w:pPr>
            <w:r/>
            <w:r>
              <w:rPr>
                <w:rFonts w:ascii="仿宋_GB2312" w:hAnsi="仿宋_GB2312" w:eastAsia="仿宋_GB2312"/>
                <w:b/>
                <w:sz w:val="24"/>
              </w:rPr>
              <w:t>交易对价</w:t>
            </w:r>
          </w:p>
        </w:tc>
        <w:tc>
          <w:tcPr>
            <w:tcW w:type="dxa" w:w="764"/>
            <w:tcBorders>
              <w:bottom w:val="single" w:sz="4" w:space="0" w:color="000000"/>
            </w:tcBorders>
          </w:tcPr>
          <w:p>
            <w:pPr>
              <w:jc w:val="center"/>
            </w:pPr>
            <w:r/>
            <w:r>
              <w:rPr>
                <w:rFonts w:ascii="仿宋_GB2312" w:hAnsi="仿宋_GB2312" w:eastAsia="仿宋_GB2312"/>
                <w:b/>
                <w:sz w:val="24"/>
              </w:rPr>
              <w:t>形成商誉</w:t>
            </w:r>
          </w:p>
        </w:tc>
        <w:tc>
          <w:tcPr>
            <w:tcW w:type="dxa" w:w="764"/>
            <w:tcBorders>
              <w:bottom w:val="single" w:sz="4" w:space="0" w:color="000000"/>
            </w:tcBorders>
          </w:tcPr>
          <w:p>
            <w:pPr>
              <w:jc w:val="center"/>
            </w:pPr>
            <w:r/>
            <w:r>
              <w:rPr>
                <w:rFonts w:ascii="仿宋_GB2312" w:hAnsi="仿宋_GB2312" w:eastAsia="仿宋_GB2312"/>
                <w:b/>
                <w:sz w:val="24"/>
              </w:rPr>
              <w:t>购买日至期末被购买方的收入</w:t>
            </w:r>
          </w:p>
        </w:tc>
        <w:tc>
          <w:tcPr>
            <w:tcW w:type="dxa" w:w="764"/>
            <w:tcBorders>
              <w:bottom w:val="single" w:sz="4" w:space="0" w:color="000000"/>
            </w:tcBorders>
          </w:tcPr>
          <w:p>
            <w:pPr>
              <w:jc w:val="center"/>
            </w:pPr>
            <w:r/>
            <w:r>
              <w:rPr>
                <w:rFonts w:ascii="仿宋_GB2312" w:hAnsi="仿宋_GB2312" w:eastAsia="仿宋_GB2312"/>
                <w:b/>
                <w:sz w:val="24"/>
              </w:rPr>
              <w:t>购买日至期末被购买方的净利润</w:t>
            </w:r>
          </w:p>
        </w:tc>
        <w:tc>
          <w:tcPr>
            <w:tcW w:type="dxa" w:w="764"/>
            <w:tcBorders>
              <w:bottom w:val="single" w:sz="4" w:space="0" w:color="000000"/>
            </w:tcBorders>
          </w:tcPr>
          <w:p>
            <w:pPr>
              <w:jc w:val="center"/>
            </w:pPr>
            <w:r/>
            <w:r>
              <w:rPr>
                <w:rFonts w:ascii="仿宋_GB2312" w:hAnsi="仿宋_GB2312" w:eastAsia="仿宋_GB2312"/>
                <w:b/>
                <w:sz w:val="24"/>
              </w:rPr>
              <w:t>购买日至期末被购买方的现金流量</w:t>
            </w:r>
          </w:p>
        </w:tc>
      </w:tr>
      <w:tr>
        <w:trPr>
          <w:trHeight w:val="397" w:hRule="exact"/>
          <w:cantSplit/>
        </w:trPr>
        <w:tc>
          <w:tcPr>
            <w:tcW w:type="dxa" w:w="764"/>
          </w:tcPr>
          <w:p>
            <w:r/>
            <w:r>
              <w:rPr>
                <w:rFonts w:ascii="仿宋_GB2312" w:hAnsi="仿宋_GB2312" w:eastAsia="仿宋_GB2312"/>
                <w:b w:val="0"/>
                <w:sz w:val="24"/>
              </w:rPr>
              <w:t>被购买方名称</w:t>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r>
      <w:tr>
        <w:trPr>
          <w:trHeight w:val="397" w:hRule="exact"/>
          <w:cantSplit/>
        </w:trPr>
        <w:tc>
          <w:tcPr>
            <w:tcW w:type="dxa" w:w="764"/>
          </w:tcPr>
          <w:p>
            <w:r/>
            <w:r>
              <w:rPr>
                <w:rFonts w:ascii="仿宋_GB2312" w:hAnsi="仿宋_GB2312" w:eastAsia="仿宋_GB2312"/>
                <w:b w:val="0"/>
                <w:sz w:val="24"/>
              </w:rPr>
              <w:t>被购买方名称</w:t>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八、本期新纳入合并范围的主体</w:t>
      </w:r>
      <w:bookmarkStart w:id="51868" w:name="note_section_七、本期新纳入合并范"/>
      <w:bookmarkEnd w:id="51868"/>
    </w:p>
    <w:p>
      <w:pPr>
        <w:spacing w:before="0" w:after="240" w:line="240" w:lineRule="auto"/>
      </w:pPr>
      <w:r>
        <w:rPr>
          <w:rFonts w:ascii="仿宋_GB2312" w:hAnsi="仿宋_GB2312" w:eastAsia="仿宋_GB2312"/>
          <w:b w:val="0"/>
          <w:sz w:val="24"/>
        </w:rPr>
        <w:t>【提示：说明本年新纳入合并范围的子公司、特殊目的主体、通过受托经营或承租等方式形成控制权的经营实体名称及其年末净资产、本年净利润。】</w:t>
      </w:r>
    </w:p>
    <w:p>
      <w:pPr>
        <w:spacing w:before="120" w:after="240" w:line="240" w:lineRule="auto"/>
      </w:pPr>
      <w:r>
        <w:rPr>
          <w:rFonts w:ascii="仿宋_GB2312" w:hAnsi="仿宋_GB2312" w:eastAsia="仿宋_GB2312"/>
          <w:b/>
          <w:sz w:val="24"/>
        </w:rPr>
        <w:t>九、本期纳入合并报表范围的子公司基本情况</w:t>
      </w:r>
      <w:bookmarkStart w:id="93550" w:name="note_section_七、本期纳入合并报表"/>
      <w:bookmarkEnd w:id="93550"/>
    </w:p>
    <w:p>
      <w:pPr>
        <w:spacing w:before="0" w:after="240" w:line="240" w:lineRule="auto"/>
      </w:pPr>
      <w:r>
        <w:rPr>
          <w:rFonts w:ascii="仿宋_GB2312" w:hAnsi="仿宋_GB2312" w:eastAsia="仿宋_GB2312"/>
          <w:b w:val="0"/>
          <w:sz w:val="24"/>
        </w:rPr>
        <w:t>（企业应当按下列格式披露纳入报表合并范围的全部子公司主要情况；大型企业集团合并报表范围可以披露到二级子公司，集团所属重要子公司不分级次全部披露）</w:t>
        <w:br/>
        <w:br/>
        <w:t>（注：企业类型：1.境内非金融子企业，2.境内金融子企业，3.境外子企业，4.事业单位，5.基建单位；</w:t>
        <w:br/>
        <w:br/>
        <w:t>取得方式：1.投资设立，2.同一控制下的企业合并，3.非同一控制下的企业合并，4.其他）</w:t>
        <w:br/>
        <w:br/>
        <w:t>（注：子公司的持股比例不同于表决权比例的，应说明表决权比例及差异原因。）</w:t>
        <w:br/>
        <w:br/>
        <w:t>（注：级次为在整个中央企业集团内的法人级次）</w:t>
      </w:r>
    </w:p>
    <w:p>
      <w:pPr>
        <w:spacing w:before="120" w:after="240" w:line="240" w:lineRule="auto"/>
      </w:pPr>
      <w:r>
        <w:rPr>
          <w:rFonts w:ascii="仿宋_GB2312" w:hAnsi="仿宋_GB2312" w:eastAsia="仿宋_GB2312"/>
          <w:b/>
          <w:sz w:val="24"/>
        </w:rPr>
        <w:t>十、母公司在子公司的所有者权益份额发生变化的情况</w:t>
      </w:r>
      <w:bookmarkStart w:id="85443" w:name="note_section_七、母公司在子公司的"/>
      <w:bookmarkEnd w:id="85443"/>
    </w:p>
    <w:p>
      <w:pPr>
        <w:spacing w:before="0" w:after="240" w:line="240" w:lineRule="auto"/>
      </w:pPr>
      <w:r>
        <w:rPr>
          <w:rFonts w:ascii="仿宋_GB2312" w:hAnsi="仿宋_GB2312" w:eastAsia="仿宋_GB2312"/>
          <w:b w:val="0"/>
          <w:sz w:val="24"/>
        </w:rPr>
        <w:t>在子公司所有者权益份额发生变化的情况</w:t>
        <w:br/>
        <w:br/>
        <w:t>本公司原持有【A公司】90%股权，2023年10月本公司与甲公司签订股权转让协议，约定于2024年12月向甲公司转让A公司20%股权，该股权处置交易未导致本公司丧失对【A公司】的控制权。截至2025年6月30日，股权转让协议已履行完毕，取得交易对价为2600万元，该项交易导致少数股东权益增加2400万元，资本公积增加200万元。</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项目</w:t>
            </w:r>
          </w:p>
        </w:tc>
        <w:tc>
          <w:tcPr>
            <w:tcW w:type="dxa" w:w="2100"/>
            <w:tcBorders>
              <w:bottom w:val="single" w:sz="4" w:space="0" w:color="000000"/>
            </w:tcBorders>
          </w:tcPr>
          <w:p>
            <w:pPr>
              <w:jc w:val="center"/>
            </w:pPr>
            <w:r/>
            <w:r>
              <w:rPr>
                <w:rFonts w:ascii="仿宋_GB2312" w:hAnsi="仿宋_GB2312" w:eastAsia="仿宋_GB2312"/>
                <w:b/>
                <w:sz w:val="24"/>
              </w:rPr>
              <w:t>XX公司</w:t>
            </w:r>
          </w:p>
        </w:tc>
        <w:tc>
          <w:tcPr>
            <w:tcW w:type="dxa" w:w="2100"/>
            <w:tcBorders>
              <w:bottom w:val="single" w:sz="4" w:space="0" w:color="000000"/>
            </w:tcBorders>
          </w:tcPr>
          <w:p>
            <w:pPr>
              <w:jc w:val="center"/>
            </w:pPr>
            <w:r/>
            <w:r>
              <w:rPr>
                <w:rFonts w:ascii="仿宋_GB2312" w:hAnsi="仿宋_GB2312" w:eastAsia="仿宋_GB2312"/>
                <w:b/>
                <w:sz w:val="24"/>
              </w:rPr>
              <w:t>XX公司</w:t>
            </w:r>
          </w:p>
        </w:tc>
        <w:tc>
          <w:tcPr>
            <w:tcW w:type="dxa" w:w="2100"/>
            <w:tcBorders>
              <w:bottom w:val="single" w:sz="4" w:space="0" w:color="000000"/>
            </w:tcBorders>
          </w:tcPr>
          <w:p>
            <w:pPr>
              <w:jc w:val="center"/>
            </w:pPr>
            <w:r/>
            <w:r>
              <w:rPr>
                <w:rFonts w:ascii="仿宋_GB2312" w:hAnsi="仿宋_GB2312" w:eastAsia="仿宋_GB2312"/>
                <w:b/>
                <w:sz w:val="24"/>
              </w:rPr>
              <w:t>可无限量加列</w:t>
            </w:r>
          </w:p>
        </w:tc>
      </w:tr>
      <w:tr>
        <w:trPr>
          <w:trHeight w:val="397" w:hRule="exact"/>
          <w:cantSplit/>
        </w:trPr>
        <w:tc>
          <w:tcPr>
            <w:tcW w:type="dxa" w:w="2100"/>
          </w:tcPr>
          <w:p>
            <w:r/>
            <w:r>
              <w:rPr>
                <w:rFonts w:ascii="仿宋_GB2312" w:hAnsi="仿宋_GB2312" w:eastAsia="仿宋_GB2312"/>
                <w:b w:val="0"/>
                <w:sz w:val="24"/>
              </w:rPr>
              <w:t>购买成本/处置对价</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--现金</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--非现金资产的公允价值</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购买成本/处置对价合计</w:t>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Arial Narrow" w:hAnsi="Arial Narrow" w:eastAsia="仿宋_GB2312" w:cs="Arial Narrow"/>
                <w:sz w:val="24"/>
              </w:rPr>
            </w:r>
          </w:p>
        </w:tc>
      </w:tr>
      <w:tr>
        <w:trPr>
          <w:trHeight w:val="397" w:hRule="exact"/>
          <w:cantSplit/>
        </w:trPr>
        <w:tc>
          <w:tcPr>
            <w:tcW w:type="dxa" w:w="2100"/>
          </w:tcPr>
          <w:p>
            <w:r/>
            <w:r>
              <w:rPr>
                <w:rFonts w:ascii="仿宋_GB2312" w:hAnsi="仿宋_GB2312" w:eastAsia="仿宋_GB2312"/>
                <w:b w:val="0"/>
                <w:sz w:val="24"/>
              </w:rPr>
              <w:t>减：按取得/处置的股权比例计算的子公司净资产份额</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差额</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其中：调整资本公积</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调整盈余公积</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调整未分配利润</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十一、母公司拥有被投资单位表决权不足半数但能对被投资单位形成控制的原因</w:t>
      </w:r>
      <w:bookmarkStart w:id="21255" w:name="note_section_七、母公司拥有被投资"/>
      <w:bookmarkEnd w:id="21255"/>
    </w:p>
    <w:p>
      <w:pPr>
        <w:spacing w:before="0" w:after="240" w:line="240" w:lineRule="auto"/>
      </w:pPr>
      <w:r>
        <w:rPr>
          <w:rFonts w:ascii="仿宋_GB2312" w:hAnsi="仿宋_GB2312" w:eastAsia="仿宋_GB2312"/>
          <w:b w:val="0"/>
          <w:sz w:val="24"/>
        </w:rPr>
        <w:t>本期无此项业务。</w:t>
      </w:r>
    </w:p>
    <w:p>
      <w:pPr>
        <w:spacing w:before="120" w:after="240" w:line="240" w:lineRule="auto"/>
      </w:pPr>
      <w:r>
        <w:rPr>
          <w:rFonts w:ascii="仿宋_GB2312" w:hAnsi="仿宋_GB2312" w:eastAsia="仿宋_GB2312"/>
          <w:b/>
          <w:sz w:val="24"/>
        </w:rPr>
        <w:t>十二、母公司直接或通过其他子公司间接拥有被投资单位半数以上的表决权但未能对其形成控制的</w:t>
      </w:r>
      <w:bookmarkStart w:id="23011" w:name="note_section_七、母公司直接或通过"/>
      <w:bookmarkEnd w:id="23011"/>
    </w:p>
    <w:p>
      <w:pPr>
        <w:spacing w:before="0" w:after="240" w:line="240" w:lineRule="auto"/>
      </w:pPr>
      <w:r>
        <w:rPr>
          <w:rFonts w:ascii="仿宋_GB2312" w:hAnsi="仿宋_GB2312" w:eastAsia="仿宋_GB2312"/>
          <w:b w:val="0"/>
          <w:sz w:val="24"/>
        </w:rPr>
        <w:t>本期无此项业务。</w:t>
      </w:r>
    </w:p>
    <w:p>
      <w:pPr>
        <w:spacing w:before="120" w:after="240" w:line="240" w:lineRule="auto"/>
      </w:pPr>
      <w:r>
        <w:rPr>
          <w:rFonts w:ascii="仿宋_GB2312" w:hAnsi="仿宋_GB2312" w:eastAsia="仿宋_GB2312"/>
          <w:b/>
          <w:sz w:val="24"/>
        </w:rPr>
        <w:t>十三、纳入合并财务报表范围的结构化主体的相关信息</w:t>
      </w:r>
      <w:bookmarkStart w:id="27874" w:name="note_section_七、纳入合并财务报表"/>
      <w:bookmarkEnd w:id="27874"/>
    </w:p>
    <w:p>
      <w:pPr>
        <w:spacing w:before="0" w:after="240" w:line="240" w:lineRule="auto"/>
      </w:pPr>
      <w:r>
        <w:rPr>
          <w:rFonts w:ascii="仿宋_GB2312" w:hAnsi="仿宋_GB2312" w:eastAsia="仿宋_GB2312"/>
          <w:b w:val="0"/>
          <w:sz w:val="24"/>
        </w:rPr>
        <w:t>应披露与结构化主体相关的风险信息，向结构化主体提供财务支持或其他支持，包括帮助结构化主体取得财务支持：</w:t>
        <w:br/>
        <w:br/>
        <w:t>（1）有合同约定的，披露财务支持的合同条款包括可能导致企业承担损失的事项或情况；</w:t>
        <w:br/>
        <w:br/>
        <w:t>（2）在没有合同约定的情况下，披露所提供支持的类型、金额及原因，包括帮助该结构化主体获得财务支持的情况。其中，本期对以前未纳入合并财务报表范围的结构化主体提供了财务支持或其他支持并且该支持导致控制了该结构化主体的，披露决定提供支持的相关因素；</w:t>
        <w:br/>
        <w:br/>
        <w:t>（3）存在提供支持意图的，披露该意图，包括帮助该结构化主体获得财务支持的意图。</w:t>
      </w:r>
    </w:p>
    <w:p>
      <w:pPr>
        <w:spacing w:before="120" w:after="240" w:line="240" w:lineRule="auto"/>
      </w:pPr>
      <w:r>
        <w:rPr>
          <w:rFonts w:ascii="仿宋_GB2312" w:hAnsi="仿宋_GB2312" w:eastAsia="仿宋_GB2312"/>
          <w:b/>
          <w:sz w:val="24"/>
        </w:rPr>
        <w:t>十四、重要非全资子公司情况</w:t>
      </w:r>
      <w:bookmarkStart w:id="86853" w:name="note_section_七、重要非全资子公司"/>
      <w:bookmarkEnd w:id="86853"/>
    </w:p>
    <w:p>
      <w:pPr>
        <w:spacing w:before="0" w:after="240" w:line="240" w:lineRule="auto"/>
      </w:pPr>
      <w:r>
        <w:rPr>
          <w:rFonts w:ascii="仿宋_GB2312" w:hAnsi="仿宋_GB2312" w:eastAsia="仿宋_GB2312"/>
          <w:b w:val="0"/>
          <w:sz w:val="24"/>
        </w:rPr>
        <w:t>### 少数股东</w:t>
        <w:br/>
        <w:br/>
        <w:t>### 主要财务信息</w:t>
        <w:br/>
        <w:br/>
        <w:t>【提示：上述财务数据以合并日子公司可辨认资产和负债的公允价值为基础进行调整；被划分为持有待售资产的，不需要披露该子公司的上述财务信息。】</w:t>
      </w:r>
    </w:p>
    <w:p>
      <w:pPr>
        <w:spacing w:before="120" w:after="240" w:line="240" w:lineRule="auto"/>
      </w:pPr>
      <w:r>
        <w:rPr>
          <w:rFonts w:ascii="仿宋_GB2312" w:hAnsi="仿宋_GB2312" w:eastAsia="仿宋_GB2312"/>
          <w:b/>
          <w:sz w:val="24"/>
        </w:rPr>
        <w:t>序号</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项目</w:t>
            </w:r>
          </w:p>
        </w:tc>
        <w:tc>
          <w:tcPr>
            <w:tcW w:type="dxa" w:w="2100"/>
            <w:tcBorders>
              <w:bottom w:val="single" w:sz="4" w:space="0" w:color="000000"/>
            </w:tcBorders>
          </w:tcPr>
          <w:p>
            <w:pPr>
              <w:jc w:val="center"/>
            </w:pPr>
            <w:r/>
            <w:r>
              <w:rPr>
                <w:rFonts w:ascii="仿宋_GB2312" w:hAnsi="仿宋_GB2312" w:eastAsia="仿宋_GB2312"/>
                <w:b/>
                <w:sz w:val="24"/>
              </w:rPr>
              <w:t>A公司</w:t>
            </w:r>
          </w:p>
        </w:tc>
        <w:tc>
          <w:tcPr>
            <w:tcW w:type="dxa" w:w="2100"/>
            <w:tcBorders>
              <w:bottom w:val="single" w:sz="4" w:space="0" w:color="000000"/>
            </w:tcBorders>
          </w:tcPr>
          <w:p>
            <w:pPr>
              <w:jc w:val="center"/>
            </w:pPr>
            <w:r/>
            <w:r>
              <w:rPr>
                <w:rFonts w:ascii="仿宋_GB2312" w:hAnsi="仿宋_GB2312" w:eastAsia="仿宋_GB2312"/>
                <w:b/>
                <w:sz w:val="24"/>
              </w:rPr>
              <w:t>B公司</w:t>
            </w:r>
          </w:p>
        </w:tc>
        <w:tc>
          <w:tcPr>
            <w:tcW w:type="dxa" w:w="2100"/>
            <w:tcBorders>
              <w:bottom w:val="single" w:sz="4" w:space="0" w:color="000000"/>
            </w:tcBorders>
          </w:tcPr>
          <w:p>
            <w:pPr>
              <w:jc w:val="center"/>
            </w:pPr>
            <w:r/>
            <w:r>
              <w:rPr>
                <w:rFonts w:ascii="仿宋_GB2312" w:hAnsi="仿宋_GB2312" w:eastAsia="仿宋_GB2312"/>
                <w:b/>
                <w:sz w:val="24"/>
              </w:rPr>
              <w:t>C公司</w:t>
            </w:r>
          </w:p>
        </w:tc>
      </w:tr>
      <w:tr>
        <w:trPr>
          <w:trHeight w:val="397" w:hRule="exact"/>
          <w:cantSplit/>
        </w:trPr>
        <w:tc>
          <w:tcPr>
            <w:tcW w:type="dxa" w:w="2100"/>
          </w:tcPr>
          <w:p>
            <w:r/>
            <w:r>
              <w:rPr>
                <w:rFonts w:ascii="仿宋_GB2312" w:hAnsi="仿宋_GB2312" w:eastAsia="仿宋_GB2312"/>
                <w:b w:val="0"/>
                <w:sz w:val="24"/>
              </w:rPr>
              <w:t>项目</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流动资产</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非流动资产</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资产合计</w:t>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Arial Narrow" w:hAnsi="Arial Narrow" w:eastAsia="仿宋_GB2312" w:cs="Arial Narrow"/>
                <w:sz w:val="24"/>
              </w:rPr>
            </w:r>
          </w:p>
        </w:tc>
      </w:tr>
      <w:tr>
        <w:trPr>
          <w:trHeight w:val="397" w:hRule="exact"/>
          <w:cantSplit/>
        </w:trPr>
        <w:tc>
          <w:tcPr>
            <w:tcW w:type="dxa" w:w="2100"/>
          </w:tcPr>
          <w:p>
            <w:r/>
            <w:r>
              <w:rPr>
                <w:rFonts w:ascii="仿宋_GB2312" w:hAnsi="仿宋_GB2312" w:eastAsia="仿宋_GB2312"/>
                <w:b w:val="0"/>
                <w:sz w:val="24"/>
              </w:rPr>
              <w:t>流动负债</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非流动负债</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负债合计</w:t>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Arial Narrow" w:hAnsi="Arial Narrow" w:eastAsia="仿宋_GB2312" w:cs="Arial Narrow"/>
                <w:sz w:val="24"/>
              </w:rPr>
            </w:r>
          </w:p>
        </w:tc>
      </w:tr>
      <w:tr>
        <w:trPr>
          <w:trHeight w:val="397" w:hRule="exact"/>
          <w:cantSplit/>
        </w:trPr>
        <w:tc>
          <w:tcPr>
            <w:tcW w:type="dxa" w:w="2100"/>
          </w:tcPr>
          <w:p>
            <w:r/>
            <w:r>
              <w:rPr>
                <w:rFonts w:ascii="仿宋_GB2312" w:hAnsi="仿宋_GB2312" w:eastAsia="仿宋_GB2312"/>
                <w:b w:val="0"/>
                <w:sz w:val="24"/>
              </w:rPr>
              <w:t>营业收入</w:t>
            </w:r>
          </w:p>
        </w:tc>
        <w:tc>
          <w:tcPr>
            <w:tcW w:type="dxa" w:w="2100"/>
          </w:tcPr>
          <w:p>
            <w:pPr>
              <w:jc w:val="right"/>
            </w:pPr>
            <w:r/>
            <w:r>
              <w:rPr>
                <w:rFonts w:ascii="Arial Narrow" w:hAnsi="Arial Narrow" w:eastAsia="仿宋_GB2312" w:cs="Arial Narrow"/>
                <w:sz w:val="24"/>
              </w:rPr>
              <w:t>-38,258,743.63</w:t>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净利润</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综合收益总额</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经营活动现金流量</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十五、遵循企业会计准则的声明</w:t>
      </w:r>
      <w:bookmarkStart w:id="55875" w:name="note_section_三、1"/>
      <w:bookmarkEnd w:id="55875"/>
    </w:p>
    <w:p>
      <w:pPr>
        <w:spacing w:before="0" w:after="240" w:line="240" w:lineRule="auto"/>
      </w:pPr>
      <w:r>
        <w:rPr>
          <w:rFonts w:ascii="仿宋_GB2312" w:hAnsi="仿宋_GB2312" w:eastAsia="仿宋_GB2312"/>
          <w:b w:val="0"/>
          <w:sz w:val="24"/>
        </w:rPr>
        <w:t>本公司编制的财务报表符合企业会计准则的要求，真实、完整地反映了本公司2025年12月31日的合并及公司财务状况以及2025年度的合并及公司经营成果和合并及公司现金流量等有关信息。</w:t>
        <w:br/>
        <w:br/>
        <w:t>纳入合并范围内的子公司-xxxx执行《xxx会计准则》和《xxxx会计制度》。本财务报表的编制已经对纳入合并范围的xxx公司的财务报表按照财政部发布的企业会计准则及其应用指南、解释及其他有关规定进行了调整。</w:t>
      </w:r>
    </w:p>
    <w:p>
      <w:pPr>
        <w:spacing w:before="120" w:after="240" w:line="240" w:lineRule="auto"/>
      </w:pPr>
      <w:r>
        <w:rPr>
          <w:rFonts w:ascii="仿宋_GB2312" w:hAnsi="仿宋_GB2312" w:eastAsia="仿宋_GB2312"/>
          <w:b/>
          <w:sz w:val="24"/>
        </w:rPr>
        <w:t>十六、1、或有负债</w:t>
      </w:r>
      <w:bookmarkStart w:id="59343" w:name="note_section_九、1、或有负债"/>
      <w:bookmarkEnd w:id="59343"/>
    </w:p>
    <w:p>
      <w:pPr>
        <w:spacing w:before="0" w:after="240" w:line="240" w:lineRule="auto"/>
      </w:pPr>
      <w:r>
        <w:rPr>
          <w:rFonts w:ascii="仿宋_GB2312" w:hAnsi="仿宋_GB2312" w:eastAsia="仿宋_GB2312"/>
          <w:b w:val="0"/>
          <w:sz w:val="24"/>
        </w:rPr>
        <w:t>未决诉讼仲裁形成的或有负债及其财务影响</w:t>
        <w:br/>
        <w:br/>
        <w:t>对重大的未决诉讼或仲裁应进行详细说明，披露未决诉讼或仲裁形成的原因、预计产生的财务影响（如无法预计，应说明理由）、获得补偿的可能性等（对本期度涉及的详细说明）。</w:t>
        <w:br/>
        <w:br/>
        <w:t>以下为示例，仅供参考：</w:t>
        <w:br/>
        <w:br/>
        <w:t>为其他单位提供债务担保形成的或有负债及其财务影响</w:t>
        <w:br/>
        <w:br/>
        <w:t>产品质量保证条款</w:t>
        <w:br/>
        <w:br/>
        <w:t>其他或有负债</w:t>
      </w:r>
    </w:p>
    <w:p>
      <w:pPr>
        <w:spacing w:before="120" w:after="240" w:line="240" w:lineRule="auto"/>
      </w:pPr>
      <w:r>
        <w:rPr>
          <w:rFonts w:ascii="仿宋_GB2312" w:hAnsi="仿宋_GB2312" w:eastAsia="仿宋_GB2312"/>
          <w:b/>
          <w:sz w:val="24"/>
        </w:rPr>
        <w:t>原告</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原告</w:t>
            </w:r>
          </w:p>
        </w:tc>
        <w:tc>
          <w:tcPr>
            <w:tcW w:type="dxa" w:w="1400"/>
            <w:tcBorders>
              <w:bottom w:val="single" w:sz="4" w:space="0" w:color="000000"/>
            </w:tcBorders>
          </w:tcPr>
          <w:p>
            <w:pPr>
              <w:jc w:val="center"/>
            </w:pPr>
            <w:r/>
            <w:r>
              <w:rPr>
                <w:rFonts w:ascii="仿宋_GB2312" w:hAnsi="仿宋_GB2312" w:eastAsia="仿宋_GB2312"/>
                <w:b/>
                <w:sz w:val="24"/>
              </w:rPr>
              <w:t>被告</w:t>
            </w:r>
          </w:p>
        </w:tc>
        <w:tc>
          <w:tcPr>
            <w:tcW w:type="dxa" w:w="1400"/>
            <w:tcBorders>
              <w:bottom w:val="single" w:sz="4" w:space="0" w:color="000000"/>
            </w:tcBorders>
          </w:tcPr>
          <w:p>
            <w:pPr>
              <w:jc w:val="center"/>
            </w:pPr>
            <w:r/>
            <w:r>
              <w:rPr>
                <w:rFonts w:ascii="仿宋_GB2312" w:hAnsi="仿宋_GB2312" w:eastAsia="仿宋_GB2312"/>
                <w:b/>
                <w:sz w:val="24"/>
              </w:rPr>
              <w:t>案由</w:t>
            </w:r>
          </w:p>
        </w:tc>
        <w:tc>
          <w:tcPr>
            <w:tcW w:type="dxa" w:w="1400"/>
            <w:tcBorders>
              <w:bottom w:val="single" w:sz="4" w:space="0" w:color="000000"/>
            </w:tcBorders>
          </w:tcPr>
          <w:p>
            <w:pPr>
              <w:jc w:val="center"/>
            </w:pPr>
            <w:r/>
            <w:r>
              <w:rPr>
                <w:rFonts w:ascii="仿宋_GB2312" w:hAnsi="仿宋_GB2312" w:eastAsia="仿宋_GB2312"/>
                <w:b/>
                <w:sz w:val="24"/>
              </w:rPr>
              <w:t>受理法院</w:t>
            </w:r>
          </w:p>
        </w:tc>
        <w:tc>
          <w:tcPr>
            <w:tcW w:type="dxa" w:w="1400"/>
            <w:tcBorders>
              <w:bottom w:val="single" w:sz="4" w:space="0" w:color="000000"/>
            </w:tcBorders>
          </w:tcPr>
          <w:p>
            <w:pPr>
              <w:jc w:val="center"/>
            </w:pPr>
            <w:r/>
            <w:r>
              <w:rPr>
                <w:rFonts w:ascii="仿宋_GB2312" w:hAnsi="仿宋_GB2312" w:eastAsia="仿宋_GB2312"/>
                <w:b/>
                <w:sz w:val="24"/>
              </w:rPr>
              <w:t>标的额</w:t>
            </w:r>
          </w:p>
        </w:tc>
        <w:tc>
          <w:tcPr>
            <w:tcW w:type="dxa" w:w="1400"/>
            <w:tcBorders>
              <w:bottom w:val="single" w:sz="4" w:space="0" w:color="000000"/>
            </w:tcBorders>
          </w:tcPr>
          <w:p>
            <w:pPr>
              <w:jc w:val="center"/>
            </w:pPr>
            <w:r/>
            <w:r>
              <w:rPr>
                <w:rFonts w:ascii="仿宋_GB2312" w:hAnsi="仿宋_GB2312" w:eastAsia="仿宋_GB2312"/>
                <w:b/>
                <w:sz w:val="24"/>
              </w:rPr>
              <w:t>案件进展情况</w:t>
            </w:r>
          </w:p>
        </w:tc>
      </w:tr>
      <w:tr>
        <w:trPr>
          <w:trHeight w:val="397" w:hRule="exact"/>
          <w:cantSplit/>
        </w:trPr>
        <w:tc>
          <w:tcPr>
            <w:tcW w:type="dxa" w:w="1400"/>
          </w:tcPr>
          <w:p>
            <w:r/>
            <w:r>
              <w:rPr>
                <w:rFonts w:ascii="仿宋_GB2312" w:hAnsi="仿宋_GB2312" w:eastAsia="仿宋_GB2312"/>
                <w:b w:val="0"/>
                <w:sz w:val="24"/>
              </w:rPr>
              <w:t>2025.1-X月</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XXX公司</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被担保单位名称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被担保单位名称</w:t>
            </w:r>
          </w:p>
        </w:tc>
        <w:tc>
          <w:tcPr>
            <w:tcW w:type="dxa" w:w="1680"/>
            <w:tcBorders>
              <w:bottom w:val="single" w:sz="4" w:space="0" w:color="000000"/>
            </w:tcBorders>
          </w:tcPr>
          <w:p>
            <w:pPr>
              <w:jc w:val="center"/>
            </w:pPr>
            <w:r/>
            <w:r>
              <w:rPr>
                <w:rFonts w:ascii="仿宋_GB2312" w:hAnsi="仿宋_GB2312" w:eastAsia="仿宋_GB2312"/>
                <w:b/>
                <w:sz w:val="24"/>
              </w:rPr>
              <w:t>担保事项</w:t>
            </w:r>
          </w:p>
        </w:tc>
        <w:tc>
          <w:tcPr>
            <w:tcW w:type="dxa" w:w="1680"/>
            <w:tcBorders>
              <w:bottom w:val="single" w:sz="4" w:space="0" w:color="000000"/>
            </w:tcBorders>
          </w:tcPr>
          <w:p>
            <w:pPr>
              <w:jc w:val="center"/>
            </w:pPr>
            <w:r/>
            <w:r>
              <w:rPr>
                <w:rFonts w:ascii="仿宋_GB2312" w:hAnsi="仿宋_GB2312" w:eastAsia="仿宋_GB2312"/>
                <w:b/>
                <w:sz w:val="24"/>
              </w:rPr>
              <w:t>金额</w:t>
            </w:r>
          </w:p>
        </w:tc>
        <w:tc>
          <w:tcPr>
            <w:tcW w:type="dxa" w:w="1680"/>
            <w:tcBorders>
              <w:bottom w:val="single" w:sz="4" w:space="0" w:color="000000"/>
            </w:tcBorders>
          </w:tcPr>
          <w:p>
            <w:pPr>
              <w:jc w:val="center"/>
            </w:pPr>
            <w:r/>
            <w:r>
              <w:rPr>
                <w:rFonts w:ascii="仿宋_GB2312" w:hAnsi="仿宋_GB2312" w:eastAsia="仿宋_GB2312"/>
                <w:b/>
                <w:sz w:val="24"/>
              </w:rPr>
              <w:t>期限</w:t>
            </w:r>
          </w:p>
        </w:tc>
        <w:tc>
          <w:tcPr>
            <w:tcW w:type="dxa" w:w="1680"/>
            <w:tcBorders>
              <w:bottom w:val="single" w:sz="4" w:space="0" w:color="000000"/>
            </w:tcBorders>
          </w:tcPr>
          <w:p>
            <w:pPr>
              <w:jc w:val="center"/>
            </w:pPr>
            <w:r/>
            <w:r>
              <w:rPr>
                <w:rFonts w:ascii="仿宋_GB2312" w:hAnsi="仿宋_GB2312" w:eastAsia="仿宋_GB2312"/>
                <w:b/>
                <w:sz w:val="24"/>
              </w:rPr>
              <w:t>备注</w:t>
            </w:r>
          </w:p>
        </w:tc>
      </w:tr>
      <w:tr>
        <w:trPr>
          <w:trHeight w:val="397" w:hRule="exact"/>
          <w:cantSplit/>
        </w:trPr>
        <w:tc>
          <w:tcPr>
            <w:tcW w:type="dxa" w:w="1680"/>
          </w:tcPr>
          <w:p>
            <w:r/>
            <w:r>
              <w:rPr>
                <w:rFonts w:ascii="仿宋_GB2312" w:hAnsi="仿宋_GB2312" w:eastAsia="仿宋_GB2312"/>
                <w:b w:val="0"/>
                <w:sz w:val="24"/>
              </w:rPr>
              <w:t>一、子公司</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二、其他公司</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Arial Narrow" w:hAnsi="Arial Narrow" w:eastAsia="仿宋_GB2312" w:cs="Arial Narrow"/>
                <w:sz w:val="24"/>
              </w:rPr>
            </w:r>
          </w:p>
        </w:tc>
        <w:tc>
          <w:tcPr>
            <w:tcW w:type="dxa" w:w="1680"/>
          </w:tcPr>
          <w:p>
            <w:pPr>
              <w:jc w:val="right"/>
            </w:pPr>
            <w:r/>
            <w:r>
              <w:rPr>
                <w:rFonts w:ascii="Arial Narrow" w:hAnsi="Arial Narrow" w:eastAsia="仿宋_GB2312" w:cs="Arial Narrow"/>
                <w:sz w:val="24"/>
              </w:rPr>
            </w:r>
          </w:p>
        </w:tc>
        <w:tc>
          <w:tcPr>
            <w:tcW w:type="dxa" w:w="1680"/>
          </w:tcPr>
          <w:p>
            <w:pPr>
              <w:jc w:val="right"/>
            </w:pPr>
            <w:r/>
            <w:r>
              <w:rPr>
                <w:rFonts w:ascii="Arial Narrow" w:hAnsi="Arial Narrow" w:eastAsia="仿宋_GB2312" w:cs="Arial Narrow"/>
                <w:sz w:val="24"/>
              </w:rPr>
            </w:r>
          </w:p>
        </w:tc>
        <w:tc>
          <w:tcPr>
            <w:tcW w:type="dxa" w:w="1680"/>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十七、2、或有资产</w:t>
      </w:r>
      <w:bookmarkStart w:id="25372" w:name="note_section_九、2、或有资产"/>
      <w:bookmarkEnd w:id="25372"/>
    </w:p>
    <w:p>
      <w:pPr>
        <w:spacing w:before="0" w:after="240" w:line="240" w:lineRule="auto"/>
      </w:pPr>
      <w:r>
        <w:rPr>
          <w:rFonts w:ascii="仿宋_GB2312" w:hAnsi="仿宋_GB2312" w:eastAsia="仿宋_GB2312"/>
          <w:b w:val="0"/>
          <w:sz w:val="24"/>
        </w:rPr>
        <w:t>【企业通常不应当披露或有资产。但或有资产很可能会给企业带来经济利益的，应当披露其形成的原因、预计产生的财务影响】</w:t>
        <w:br/>
        <w:br/>
        <w:t>（如果公司没有需要在财务报表附注中说明的或有事项，也应予以说明。）</w:t>
        <w:br/>
        <w:br/>
        <w:t>截至2025年12月31日，本公司不存在应披露的未决诉讼、对外担保等或有事项。</w:t>
        <w:br/>
        <w:br/>
        <w:t>（特别提示：如披露了以上一项或多项或有事项，则上述语句修改为：）</w:t>
        <w:br/>
        <w:br/>
        <w:t>截至2025年12月31日，本公司不存在其他应披露的或有事项。</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种类</w:t>
            </w:r>
          </w:p>
        </w:tc>
        <w:tc>
          <w:tcPr>
            <w:tcW w:type="dxa" w:w="2801"/>
            <w:tcBorders>
              <w:bottom w:val="single" w:sz="4" w:space="0" w:color="000000"/>
            </w:tcBorders>
          </w:tcPr>
          <w:p>
            <w:pPr>
              <w:jc w:val="center"/>
            </w:pPr>
            <w:r/>
            <w:r>
              <w:rPr>
                <w:rFonts w:ascii="仿宋_GB2312" w:hAnsi="仿宋_GB2312" w:eastAsia="仿宋_GB2312"/>
                <w:b/>
                <w:sz w:val="24"/>
              </w:rPr>
              <w:t>形成原因</w:t>
            </w:r>
          </w:p>
        </w:tc>
        <w:tc>
          <w:tcPr>
            <w:tcW w:type="dxa" w:w="2801"/>
            <w:tcBorders>
              <w:bottom w:val="single" w:sz="4" w:space="0" w:color="000000"/>
            </w:tcBorders>
          </w:tcPr>
          <w:p>
            <w:pPr>
              <w:jc w:val="center"/>
            </w:pPr>
            <w:r/>
            <w:r>
              <w:rPr>
                <w:rFonts w:ascii="仿宋_GB2312" w:hAnsi="仿宋_GB2312" w:eastAsia="仿宋_GB2312"/>
                <w:b/>
                <w:sz w:val="24"/>
              </w:rPr>
              <w:t>预计产生的财务影响</w:t>
            </w:r>
          </w:p>
        </w:tc>
      </w:tr>
      <w:tr>
        <w:trPr>
          <w:trHeight w:val="397" w:hRule="exact"/>
          <w:cantSplit/>
        </w:trPr>
        <w:tc>
          <w:tcPr>
            <w:tcW w:type="dxa" w:w="2801"/>
          </w:tcPr>
          <w:p>
            <w:r/>
            <w:r>
              <w:rPr>
                <w:rFonts w:ascii="仿宋_GB2312" w:hAnsi="仿宋_GB2312" w:eastAsia="仿宋_GB2312"/>
                <w:b w:val="0"/>
                <w:sz w:val="24"/>
              </w:rPr>
              <w:t>一、子公司</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二、其他公司</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十八、【企业应当在附注中披露与或有事项有关的下列信息：</w:t>
      </w:r>
      <w:bookmarkStart w:id="15232" w:name="note_section_九、【企业应当在附注"/>
      <w:bookmarkEnd w:id="15232"/>
    </w:p>
    <w:p>
      <w:pPr>
        <w:spacing w:before="0" w:after="240" w:line="240" w:lineRule="auto"/>
      </w:pPr>
      <w:r>
        <w:rPr>
          <w:rFonts w:ascii="仿宋_GB2312" w:hAnsi="仿宋_GB2312" w:eastAsia="仿宋_GB2312"/>
          <w:b w:val="0"/>
          <w:sz w:val="24"/>
        </w:rPr>
        <w:t>## 【企业应当在附注中披露与或有事项有关的下列信息：</w:t>
        <w:br/>
        <w:br/>
        <w:t>（一）或有负债（不包括极小可能导致经济利益流出企业的或有负债）。</w:t>
        <w:br/>
        <w:br/>
        <w:t>1.或有负债的种类及其形成原因，包括已贴现商业承兑汇票、未决诉讼、未决仲裁、对外提供担保等形成的或有负债。</w:t>
        <w:br/>
        <w:br/>
        <w:t>2.经济利益流出不确定性的说明。</w:t>
        <w:br/>
        <w:br/>
        <w:t>3.或有负债预计产生的财务影响，以及获得补偿的可能性；无法预计的，应当说明原因。</w:t>
        <w:br/>
        <w:br/>
        <w:t>（二）企业通常不应当披露或有资产。但或有资产很可能会给企业带来经济利益的，应当披露其形成的原因、预计产生的财务影响等。】</w:t>
        <w:br/>
        <w:br/>
        <w:t>## 披露内容参考如下：</w:t>
        <w:br/>
        <w:br/>
        <w:t>## 1、或有负债</w:t>
        <w:br/>
        <w:br/>
        <w:t>### 未决诉讼仲裁形成的或有负债及其财务影响</w:t>
        <w:br/>
        <w:br/>
        <w:t>对重大的未决诉讼或仲裁应进行详细说明，披露未决诉讼或仲裁形成的原因、预计产生的财务影响（如无法预计，应说明理由）、获得补偿的可能性等（对本期度涉及的详细说明）。若预期该项披露对企业造成重大不利影响的，无须披露这些信息，但应当披露该未决诉讼、未决仲裁的性质，以及没有披露这些信息的事实和原因。</w:t>
        <w:br/>
        <w:br/>
        <w:t>以下为示例，仅供参考：</w:t>
        <w:br/>
        <w:br/>
        <w:t>本公司之控股子公司北京公司因有关债务纠纷事宜被他人起诉，诉讼金额为人民币**元，截止本报告公告日，此案正在审理过程中。</w:t>
        <w:br/>
        <w:br/>
        <w:t>【《关于严格执行企业会计准则 切实做好企业2025年年报工作的通知》：在涉及未决诉讼、未决仲裁的情况下，按照《企业会计准则第13号——或有事项》（财会〔2006〕3号，以下简称或有事项准则）第十四条的规定披露有关预计负债、或有负债等的全部或部分信息预期对企业造成重大不利影响的，企业无须披露这些信息，但仍应当披露该未决诉讼、未决仲裁的性质以及未披露这些信息的事实和原因，不得以预期对企业造成重大不利影响为由不作任何披露。】</w:t>
        <w:br/>
        <w:br/>
        <w:t>### 为其他单位提供债务担保形成的或有负债及其财务影响</w:t>
        <w:br/>
        <w:br/>
        <w:t>（包括合并范围内各公司的对外担保、以及母子公司之间的担保事项）</w:t>
        <w:br/>
        <w:br/>
        <w:t>#### 截至2025年12月31 日，本公司为下列单位贷款提供保证</w:t>
        <w:br/>
        <w:br/>
        <w:t>（担保事项包括信用担保、以自有资产抵押对外提供债务担保等。</w:t>
        <w:br/>
        <w:br/>
        <w:t>如能预计被担保单位到期无法偿还债务而需本公司履行担保责任时，应当分别说明形成原因、预计产生的财务影响、获得补偿的可能性。（如无法预计，应说明理由）</w:t>
        <w:br/>
        <w:br/>
        <w:t>房地产开发企业应披露为商品房承购人向银行提供抵押贷款担保的情况，包括尚未结清的担保金额，并说明风险程度</w:t>
        <w:br/>
        <w:br/>
        <w:t>截至2025年X月X 日，本公司为商品房承购人向银行提供抵押贷款担保的情况如下：）</w:t>
        <w:br/>
        <w:br/>
        <w:t>### 产品质量保证条款</w:t>
        <w:br/>
        <w:br/>
        <w:t>### 其他或有负债</w:t>
        <w:br/>
        <w:br/>
        <w:t>## 2、或有资产</w:t>
        <w:br/>
        <w:br/>
        <w:t>【企业通常不应当披露或有资产。但或有资产很可能会给企业带来经济利益的，应当披露其形成的原因、预计产生的财务影响】</w:t>
        <w:br/>
        <w:br/>
        <w:t>（如果公司没有需要在财务报表附注中说明的或有事项，也应予以说明。）</w:t>
        <w:br/>
        <w:br/>
        <w:t>截至2025年12月31日，本公司不存在应披露的未决诉讼、对外担保等或有事项。</w:t>
        <w:br/>
        <w:br/>
        <w:t>（特别提示：如披露了以上一项或多项或有事项，则上述语句修改为：）</w:t>
        <w:br/>
        <w:br/>
        <w:t>截至2025年12月31日，本公司不存在其他应披露的或有事项。</w:t>
      </w:r>
    </w:p>
    <w:p>
      <w:pPr>
        <w:spacing w:before="120" w:after="240" w:line="240" w:lineRule="auto"/>
      </w:pPr>
      <w:r>
        <w:rPr>
          <w:rFonts w:ascii="仿宋_GB2312" w:hAnsi="仿宋_GB2312" w:eastAsia="仿宋_GB2312"/>
          <w:b/>
          <w:sz w:val="24"/>
        </w:rPr>
        <w:t>十九、财务报表编制基础</w:t>
      </w:r>
      <w:bookmarkStart w:id="83677" w:name="note_section_二、1"/>
      <w:bookmarkEnd w:id="83677"/>
    </w:p>
    <w:p>
      <w:pPr>
        <w:spacing w:before="0" w:after="240" w:line="240" w:lineRule="auto"/>
      </w:pPr>
      <w:r>
        <w:rPr>
          <w:rFonts w:ascii="仿宋_GB2312" w:hAnsi="仿宋_GB2312" w:eastAsia="仿宋_GB2312"/>
          <w:b w:val="0"/>
          <w:sz w:val="24"/>
        </w:rPr>
        <w:t>本财务报表按照财政部发布的企业会计准则及其应用指南、解释及其他有关规定（统称“ 企业会计准则”）编制。</w:t>
        <w:br/>
        <w:br/>
        <w:t>本财务报表以持续经营为基础列报。</w:t>
        <w:br/>
        <w:br/>
        <w:t>（企业应评价自报告期末起12个月的持续经营能力。如果评价结果表明对持续能力产生重大怀疑的，企业应说明导致对持续经营能力产生重大怀疑的因素以及企业拟采取的改善措施。）</w:t>
        <w:br/>
        <w:br/>
        <w:t>（本公司或本公司之xxx子公司本年度进行公司制改制，应披露该公司资产、负债的计量基础。例如：本公司于202X年x月x日由全民所有制企业改制为国有独资公司或国有及国有控股企业全资子公司，以xxx对改制后资产、负债进行初始计量。）</w:t>
      </w:r>
    </w:p>
    <w:p>
      <w:pPr>
        <w:spacing w:before="120" w:after="240" w:line="240" w:lineRule="auto"/>
      </w:pPr>
      <w:r>
        <w:rPr>
          <w:rFonts w:ascii="仿宋_GB2312" w:hAnsi="仿宋_GB2312" w:eastAsia="仿宋_GB2312"/>
          <w:b/>
          <w:sz w:val="24"/>
        </w:rPr>
        <w:t>二十、会计估计变更</w:t>
      </w:r>
      <w:bookmarkStart w:id="9290" w:name="note_section_五、会计估计变更"/>
      <w:bookmarkEnd w:id="9290"/>
    </w:p>
    <w:p>
      <w:pPr>
        <w:spacing w:before="0" w:after="240" w:line="240" w:lineRule="auto"/>
      </w:pPr>
      <w:r>
        <w:rPr>
          <w:rFonts w:ascii="仿宋_GB2312" w:hAnsi="仿宋_GB2312" w:eastAsia="仿宋_GB2312"/>
          <w:b w:val="0"/>
          <w:sz w:val="24"/>
        </w:rPr>
        <w:t>## 会计政策变更</w:t>
        <w:br/>
        <w:br/>
        <w:t>（1.会计政策变更的性质、内容和原因。2.当期和各个列报前期财务报表中受影响的项目名称和调整金额。3.无法进行追溯调整的，说明该事实和原因以及开始应用变更后的会计政策的时点、具体应用情况。）</w:t>
        <w:br/>
        <w:br/>
        <w:t>会计政策变更的性质、内容和原因</w:t>
        <w:br/>
        <w:br/>
        <w:t>（财政部于2025年7月8日发布标准仓单交易相关会计处理实施问答。该问答规定企业在期货交易场所通过频繁签订买卖标准仓单的合同以赚取差价、不提取标准仓单对应的商品实物的，通常表明企业具有收到合同标的后在短期内将其再次出售以从短期波动中获取利润的惯例，应当将其签订的买卖标准仓单的合同视同金融工具，并按照《企业会计准则第22号——金融工具》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w:t>
        <w:br/>
        <w:br/>
        <w:t>【《关于严格执行企业会计准则 切实做好企业2025年年报工作的通知》（财会〔2025〕33号）：</w:t>
        <w:br/>
        <w:br/>
        <w:t>根据金融工具确认计量准则，企业在期货交易场所通过频繁签订买卖标准仓单的合同以赚取差价、不提取标准仓单对应的商品实物的，通常表明企业具有收到合同标的后在短期内将其再次出售以从短期波动中获取利润的惯例，企业应当将其签订的买卖标准仓单的合同视同金融工具，并按照金融工具确认计量准则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对于按照前述合同约定取得的标准仓单，如果能够消除或显著减少会计错配的，企业可以在初始确认时选择以公允价值计量且其变动计入当期损益，并一致应用于符合选择条件的所有标准仓单。对于初始确认时已选择以公允价值计量且其变动计入当期损益的标准仓单，企业在后续期间不得撤销该选择。</w:t>
        <w:br/>
        <w:br/>
        <w:t>企业因执行上述标准仓单相关规定而调整会计处理方法的，按照《企业会计准则第28号——会计政策、会计估计变更和差错更正》（财会〔2006〕3号）等相关规定，应当对财务报表可比期间信息进行调整，并在财务报表附注中披露相关情况。】</w:t>
        <w:br/>
        <w:br/>
        <w:t>会计政策变更对企业资产、所有者权益、销售收入、利润、净利润等主要指标的影响数，参考：上述会计政策的变更已采用追溯调整法，调整了2025年年初留存收益及相关项目期初数，其中：xxx项目调增（减）xxx元，xxx项目调增（减）xxx元；利润表2024年度数栏，已按调整后数字填列，其中：xxx项目调增（减）xxx元，xxx项目调增（减）xxx元。上述会计政策变更的累积影响数为xxx元，其中，……。由于会计政策变更，调减了2024年度利润xxx元，净利润xxx元；调减了2025年年初留存收益xxx元，其中，未分配利润调减xxx元，盈余公积调减xxx元。</w:t>
        <w:br/>
        <w:br/>
        <w:t>说明无法进行追溯调整的事实和原因，以及开始应用变更后的会计政策的时点、具体应用情况。</w:t>
        <w:br/>
        <w:br/>
        <w:t>## 会计估计变更</w:t>
        <w:br/>
        <w:br/>
        <w:t>（应披露会计估计变更的内容和原因。对当期和未来期间的影响数。会计估计变更影响数不能确定的，披露这一事实和原因。）</w:t>
        <w:br/>
        <w:br/>
        <w:t>会计估计变更的内容和原因</w:t>
        <w:br/>
        <w:br/>
        <w:t>会计估计变更对企业资产、所有者权益、销售收入、利润、净利润等主要指标的影响数，参考：上述会计估计的变更本公司采用未来适用法，影响2025年xxx项目增加（减少）xxx元，……；影响2025年利润总额xxxx元，净利润xxx元。</w:t>
        <w:br/>
        <w:br/>
        <w:t>说明会计估计变更的影响数不能合理确定的原因</w:t>
        <w:br/>
        <w:br/>
        <w:t>## 重要前期差错更正</w:t>
        <w:br/>
        <w:br/>
        <w:t>（应披露重要前期差错的性质。各个列报前期财务报表中受影响的项目名称和更正金额。无法进行追溯重述的，说明该事实和原因，以及对重要前期差错开始进行更正的时点、具体更正情况。）</w:t>
        <w:br/>
        <w:br/>
        <w:t>重要前期差错的性质</w:t>
        <w:br/>
        <w:br/>
        <w:t>由于更正上述重要前期差错，调整了2025年年初留存收益及相关项目期初数，其中：xxx项目调增（减）xxx元，xxx项目调增（减）xxx元；利润表2022年度数栏，已按调整后数字填列，其中：xxx项目调增（减）xxx元，xxx项目调增（减）xxx元。调减了2023年度利润总额xxx元，净利润xxx元，调减了2025年年初留存收益xxx元，其中，未分配利润调减xxx元，盈余公积调减xxx元。</w:t>
        <w:br/>
        <w:br/>
        <w:t>说明重要前期差错的影响数不能合理确定的理由，以及对差错开始进行更正的时点、具体更正情况。</w:t>
        <w:br/>
        <w:br/>
        <w:t>## 其他调整事项【包括同一控制下企业合并和清产核资】</w:t>
        <w:br/>
        <w:br/>
        <w:t>其他事项调整的内容和原因。【包括其他调整事项的陈述、调整原因以及调整方法】</w:t>
        <w:br/>
        <w:br/>
        <w:t>前期财务报表中受影响的项目名称和调整金额。</w:t>
        <w:br/>
        <w:br/>
        <w:t>## 对期初所有者权益的累积影响</w:t>
        <w:br/>
        <w:br/>
        <w:t>（按上述期初数调整类别汇总披露期初各权益项目的调整情况。）</w:t>
      </w:r>
    </w:p>
    <w:p>
      <w:pPr>
        <w:spacing w:before="120" w:after="240" w:line="240" w:lineRule="auto"/>
      </w:pPr>
      <w:r>
        <w:rPr>
          <w:rFonts w:ascii="仿宋_GB2312" w:hAnsi="仿宋_GB2312" w:eastAsia="仿宋_GB2312"/>
          <w:b/>
          <w:sz w:val="24"/>
        </w:rPr>
        <w:t>二十一、会计政策变更</w:t>
      </w:r>
      <w:bookmarkStart w:id="53365" w:name="note_section_五、会计政策变更"/>
      <w:bookmarkEnd w:id="53365"/>
    </w:p>
    <w:p>
      <w:pPr>
        <w:spacing w:before="0" w:after="240" w:line="240" w:lineRule="auto"/>
      </w:pPr>
      <w:r>
        <w:rPr>
          <w:rFonts w:ascii="仿宋_GB2312" w:hAnsi="仿宋_GB2312" w:eastAsia="仿宋_GB2312"/>
          <w:b w:val="0"/>
          <w:sz w:val="24"/>
        </w:rPr>
        <w:t>（1.会计政策变更的性质、内容和原因。2.当期和各个列报前期财务报表中受影响的项目名称和调整金额。3.无法进行追溯调整的，说明该事实和原因以及开始应用变更后的会计政策的时点、具体应用情况。）</w:t>
        <w:br/>
        <w:br/>
        <w:t>会计政策变更的性质、内容和原因</w:t>
        <w:br/>
        <w:br/>
        <w:t>（财政部于2025年7月8日发布标准仓单交易相关会计处理实施问答。该问答规定企业在期货交易场所通过频繁签订买卖标准仓单的合同以赚取差价、不提取标准仓单对应的商品实物的，通常表明企业具有收到合同标的后在短期内将其再次出售以从短期波动中获取利润的惯例，应当将其签订的买卖标准仓单的合同视同金融工具，并按照《企业会计准则第22号——金融工具》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w:t>
        <w:br/>
        <w:br/>
        <w:t>【《关于严格执行企业会计准则 切实做好企业2025年年报工作的通知》（财会〔2025〕33号）：</w:t>
        <w:br/>
        <w:br/>
        <w:t>根据金融工具确认计量准则，企业在期货交易场所通过频繁签订买卖标准仓单的合同以赚取差价、不提取标准仓单对应的商品实物的，通常表明企业具有收到合同标的后在短期内将其再次出售以从短期波动中获取利润的惯例，企业应当将其签订的买卖标准仓单的合同视同金融工具，并按照金融工具确认计量准则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对于按照前述合同约定取得的标准仓单，如果能够消除或显著减少会计错配的，企业可以在初始确认时选择以公允价值计量且其变动计入当期损益，并一致应用于符合选择条件的所有标准仓单。对于初始确认时已选择以公允价值计量且其变动计入当期损益的标准仓单，企业在后续期间不得撤销该选择。</w:t>
        <w:br/>
        <w:br/>
        <w:t>企业因执行上述标准仓单相关规定而调整会计处理方法的，按照《企业会计准则第28号——会计政策、会计估计变更和差错更正》（财会〔2006〕3号）等相关规定，应当对财务报表可比期间信息进行调整，并在财务报表附注中披露相关情况。】</w:t>
        <w:br/>
        <w:br/>
        <w:t>会计政策变更对企业资产、所有者权益、销售收入、利润、净利润等主要指标的影响数，参考：上述会计政策的变更已采用追溯调整法，调整了2025年年初留存收益及相关项目期初数，其中：xxx项目调增（减）xxx元，xxx项目调增（减）xxx元；利润表2024年度数栏，已按调整后数字填列，其中：xxx项目调增（减）xxx元，xxx项目调增（减）xxx元。上述会计政策变更的累积影响数为xxx元，其中，……。由于会计政策变更，调减了2024年度利润xxx元，净利润xxx元；调减了2025年年初留存收益xxx元，其中，未分配利润调减xxx元，盈余公积调减xxx元。</w:t>
        <w:br/>
        <w:br/>
        <w:t>说明无法进行追溯调整的事实和原因，以及开始应用变更后的会计政策的时点、具体应用情况。</w:t>
      </w:r>
    </w:p>
    <w:p>
      <w:pPr>
        <w:spacing w:before="120" w:after="240" w:line="240" w:lineRule="auto"/>
      </w:pPr>
      <w:r>
        <w:rPr>
          <w:rFonts w:ascii="仿宋_GB2312" w:hAnsi="仿宋_GB2312" w:eastAsia="仿宋_GB2312"/>
          <w:b/>
          <w:sz w:val="24"/>
        </w:rPr>
        <w:t>二十二、其他调整事项【包括同一控制下企业合并和清产核资】</w:t>
      </w:r>
      <w:bookmarkStart w:id="2297" w:name="note_section_五、其他调整事项【包"/>
      <w:bookmarkEnd w:id="2297"/>
    </w:p>
    <w:p>
      <w:pPr>
        <w:spacing w:before="0" w:after="240" w:line="240" w:lineRule="auto"/>
      </w:pPr>
      <w:r>
        <w:rPr>
          <w:rFonts w:ascii="仿宋_GB2312" w:hAnsi="仿宋_GB2312" w:eastAsia="仿宋_GB2312"/>
          <w:b w:val="0"/>
          <w:sz w:val="24"/>
        </w:rPr>
        <w:t>其他事项调整的内容和原因。【包括其他调整事项的陈述、调整原因以及调整方法】</w:t>
        <w:br/>
        <w:br/>
        <w:t>前期财务报表中受影响的项目名称和调整金额。</w:t>
      </w:r>
    </w:p>
    <w:p>
      <w:pPr>
        <w:spacing w:before="120" w:after="240" w:line="240" w:lineRule="auto"/>
      </w:pPr>
      <w:r>
        <w:rPr>
          <w:rFonts w:ascii="仿宋_GB2312" w:hAnsi="仿宋_GB2312" w:eastAsia="仿宋_GB2312"/>
          <w:b/>
          <w:sz w:val="24"/>
        </w:rPr>
        <w:t>二十三、对期初所有者权益的累积影响</w:t>
      </w:r>
      <w:bookmarkStart w:id="5736" w:name="note_section_五、对期初所有者权益"/>
      <w:bookmarkEnd w:id="5736"/>
    </w:p>
    <w:p>
      <w:pPr>
        <w:spacing w:before="0" w:after="240" w:line="240" w:lineRule="auto"/>
      </w:pPr>
      <w:r>
        <w:rPr>
          <w:rFonts w:ascii="仿宋_GB2312" w:hAnsi="仿宋_GB2312" w:eastAsia="仿宋_GB2312"/>
          <w:b w:val="0"/>
          <w:sz w:val="24"/>
        </w:rPr>
        <w:t>（按上述期初数调整类别汇总披露期初各权益项目的调整情况。）</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2025.01.01</w:t>
            </w:r>
          </w:p>
        </w:tc>
        <w:tc>
          <w:tcPr>
            <w:tcW w:type="dxa" w:w="4201"/>
            <w:tcBorders>
              <w:bottom w:val="single" w:sz="4" w:space="0" w:color="000000"/>
            </w:tcBorders>
          </w:tcPr>
          <w:p>
            <w:pPr>
              <w:jc w:val="center"/>
            </w:pPr>
            <w:r/>
            <w:r>
              <w:rPr>
                <w:rFonts w:ascii="仿宋_GB2312" w:hAnsi="仿宋_GB2312" w:eastAsia="仿宋_GB2312"/>
                <w:b/>
                <w:sz w:val="24"/>
              </w:rPr>
              <w:t>2024.01.01</w:t>
            </w:r>
          </w:p>
        </w:tc>
      </w:tr>
      <w:tr>
        <w:trPr>
          <w:trHeight w:val="397" w:hRule="exact"/>
          <w:cantSplit/>
        </w:trPr>
        <w:tc>
          <w:tcPr>
            <w:tcW w:type="dxa" w:w="4201"/>
          </w:tcPr>
          <w:p>
            <w:r/>
            <w:r>
              <w:rPr>
                <w:rFonts w:ascii="仿宋_GB2312" w:hAnsi="仿宋_GB2312" w:eastAsia="仿宋_GB2312"/>
                <w:b w:val="0"/>
                <w:sz w:val="24"/>
              </w:rPr>
              <w:t>追溯调整前余额</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会计政策追溯调整</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会计差错更正追溯调整</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其他</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追溯调整后余额</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二十四、重要前期差错更正</w:t>
      </w:r>
      <w:bookmarkStart w:id="34822" w:name="note_section_五、重要前期差错更正"/>
      <w:bookmarkEnd w:id="34822"/>
    </w:p>
    <w:p>
      <w:pPr>
        <w:spacing w:before="0" w:after="240" w:line="240" w:lineRule="auto"/>
      </w:pPr>
      <w:r>
        <w:rPr>
          <w:rFonts w:ascii="仿宋_GB2312" w:hAnsi="仿宋_GB2312" w:eastAsia="仿宋_GB2312"/>
          <w:b w:val="0"/>
          <w:sz w:val="24"/>
        </w:rPr>
        <w:t>（应披露重要前期差错的性质。各个列报前期财务报表中受影响的项目名称和更正金额。无法进行追溯重述的，说明该事实和原因，以及对重要前期差错开始进行更正的时点、具体更正情况。）</w:t>
        <w:br/>
        <w:br/>
        <w:t>重要前期差错的性质</w:t>
        <w:br/>
        <w:br/>
        <w:t>由于更正上述重要前期差错，调整了2025年年初留存收益及相关项目期初数，其中：xxx项目调增（减）xxx元，xxx项目调增（减）xxx元；利润表2022年度数栏，已按调整后数字填列，其中：xxx项目调增（减）xxx元，xxx项目调增（减）xxx元。调减了2023年度利润总额xxx元，净利润xxx元，调减了2025年年初留存收益xxx元，其中，未分配利润调减xxx元，盈余公积调减xxx元。</w:t>
        <w:br/>
        <w:br/>
        <w:t>说明重要前期差错的影响数不能合理确定的理由，以及对差错开始进行更正的时点、具体更正情况。</w:t>
      </w:r>
    </w:p>
    <w:p>
      <w:pPr>
        <w:spacing w:before="120" w:after="240" w:line="240" w:lineRule="auto"/>
      </w:pPr>
      <w:r>
        <w:rPr>
          <w:rFonts w:ascii="仿宋_GB2312" w:hAnsi="仿宋_GB2312" w:eastAsia="仿宋_GB2312"/>
          <w:b/>
          <w:sz w:val="24"/>
        </w:rPr>
        <w:t>二十五、货币资金</w:t>
      </w:r>
      <w:bookmarkStart w:id="1978" w:name="note_section_八、1"/>
      <w:bookmarkEnd w:id="1978"/>
    </w:p>
    <w:p>
      <w:pPr>
        <w:spacing w:before="0" w:after="240" w:line="240" w:lineRule="auto"/>
      </w:pPr>
      <w:r>
        <w:rPr>
          <w:rFonts w:ascii="仿宋_GB2312" w:hAnsi="仿宋_GB2312" w:eastAsia="仿宋_GB2312"/>
          <w:b w:val="0"/>
          <w:sz w:val="24"/>
        </w:rPr>
        <w:t>（注：如有因抵押、质押或冻结等对使用有限制、存放在境外、有潜在回收风险的款项应单独说明。）</w:t>
        <w:br/>
        <w:br/>
        <w:t>（提示：企业持有由中国人民银行发行的数字人民币，可单独增加“数字货币”二级明细项目）</w:t>
        <w:br/>
        <w:br/>
        <w:t>### 受限制的货币资金明细</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库存现金</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银行存款</w:t>
            </w:r>
          </w:p>
        </w:tc>
        <w:tc>
          <w:tcPr>
            <w:tcW w:type="dxa" w:w="2801"/>
          </w:tcPr>
          <w:p>
            <w:pPr>
              <w:jc w:val="right"/>
            </w:pPr>
            <w:r/>
            <w:r>
              <w:rPr>
                <w:rFonts w:ascii="Arial Narrow" w:hAnsi="Arial Narrow" w:eastAsia="仿宋_GB2312" w:cs="Arial Narrow"/>
                <w:sz w:val="24"/>
              </w:rPr>
              <w:t>42,772,704.06</w:t>
            </w:r>
          </w:p>
        </w:tc>
        <w:tc>
          <w:tcPr>
            <w:tcW w:type="dxa" w:w="2801"/>
          </w:tcPr>
          <w:p>
            <w:pPr>
              <w:jc w:val="right"/>
            </w:pPr>
            <w:r/>
            <w:r>
              <w:rPr>
                <w:rFonts w:ascii="Arial Narrow" w:hAnsi="Arial Narrow" w:eastAsia="仿宋_GB2312" w:cs="Arial Narrow"/>
                <w:sz w:val="24"/>
              </w:rPr>
              <w:t>47,151,610.42</w:t>
            </w:r>
          </w:p>
        </w:tc>
      </w:tr>
      <w:tr>
        <w:trPr>
          <w:trHeight w:val="397" w:hRule="exact"/>
          <w:cantSplit/>
        </w:trPr>
        <w:tc>
          <w:tcPr>
            <w:tcW w:type="dxa" w:w="2801"/>
          </w:tcPr>
          <w:p>
            <w:r/>
            <w:r>
              <w:rPr>
                <w:rFonts w:ascii="仿宋_GB2312" w:hAnsi="仿宋_GB2312" w:eastAsia="仿宋_GB2312"/>
                <w:b w:val="0"/>
                <w:sz w:val="24"/>
              </w:rPr>
              <w:t>其他货币资金</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数字货币</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Arial Narrow" w:hAnsi="Arial Narrow" w:eastAsia="仿宋_GB2312" w:cs="Arial Narrow"/>
                <w:sz w:val="24"/>
              </w:rPr>
              <w:t>42,772,704.06</w:t>
            </w:r>
          </w:p>
        </w:tc>
        <w:tc>
          <w:tcPr>
            <w:tcW w:type="dxa" w:w="2801"/>
          </w:tcPr>
          <w:p>
            <w:pPr>
              <w:jc w:val="right"/>
            </w:pPr>
            <w:r/>
            <w:r>
              <w:rPr>
                <w:rFonts w:ascii="Arial Narrow" w:hAnsi="Arial Narrow" w:eastAsia="仿宋_GB2312" w:cs="Arial Narrow"/>
                <w:sz w:val="24"/>
              </w:rPr>
              <w:t>47,151,610.42</w:t>
            </w:r>
          </w:p>
        </w:tc>
      </w:tr>
      <w:tr>
        <w:trPr>
          <w:trHeight w:val="397" w:hRule="exact"/>
          <w:cantSplit/>
        </w:trPr>
        <w:tc>
          <w:tcPr>
            <w:tcW w:type="dxa" w:w="2801"/>
          </w:tcPr>
          <w:p>
            <w:r/>
            <w:r>
              <w:rPr>
                <w:rFonts w:ascii="仿宋_GB2312" w:hAnsi="仿宋_GB2312" w:eastAsia="仿宋_GB2312"/>
                <w:b w:val="0"/>
                <w:sz w:val="24"/>
              </w:rPr>
              <w:t>其中：存放在境外的款项总额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银行承兑汇票保证金</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信用证保证金</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履约保证金</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用于担保的定期存款或通知存款</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放在境外且资金汇回受到限制的款项</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金融企业法定存款准备金或备付金</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二十六、存货</w:t>
      </w:r>
      <w:bookmarkStart w:id="7225" w:name="note_section_八、10"/>
      <w:bookmarkEnd w:id="7225"/>
    </w:p>
    <w:p>
      <w:pPr>
        <w:spacing w:before="0" w:after="240" w:line="240" w:lineRule="auto"/>
      </w:pPr>
      <w:r>
        <w:rPr>
          <w:rFonts w:ascii="仿宋_GB2312" w:hAnsi="仿宋_GB2312" w:eastAsia="仿宋_GB2312"/>
          <w:b w:val="0"/>
          <w:sz w:val="24"/>
        </w:rPr>
        <w:t>存货分类</w:t>
        <w:br/>
        <w:br/>
        <w:t>（注：其他项中应说明房地产企业土地储备的情况，包括土地储备的面积、本期增加及土地储备期末余额。）</w:t>
        <w:br/>
        <w:br/>
        <w:t>存货跌价准备及合同履约成本减值准备</w:t>
        <w:br/>
        <w:br/>
        <w:t>确认为存货的数据资源</w:t>
        <w:br/>
        <w:br/>
        <w:t>借款费用资本化</w:t>
        <w:br/>
        <w:br/>
        <w:t>合同履约成本本期摊销金额的说明</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项目</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原材料</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自制半成品及在产品</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其中：开发成本</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库存商品（产成品）</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其中：开发产品</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周转材料（包装物、低值易耗品等）</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合同履约成本</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消耗性生物资产</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数据资源</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其中：尚未开发的土地储备(由房地产开发企业填列）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存货种类</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存货种类</w:t>
            </w:r>
          </w:p>
        </w:tc>
        <w:tc>
          <w:tcPr>
            <w:tcW w:type="dxa" w:w="1680"/>
            <w:tcBorders>
              <w:bottom w:val="single" w:sz="4" w:space="0" w:color="000000"/>
            </w:tcBorders>
          </w:tcPr>
          <w:p>
            <w:pPr>
              <w:jc w:val="center"/>
            </w:pPr>
            <w:r/>
            <w:r>
              <w:rPr>
                <w:rFonts w:ascii="仿宋_GB2312" w:hAnsi="仿宋_GB2312" w:eastAsia="仿宋_GB2312"/>
                <w:b/>
                <w:sz w:val="24"/>
              </w:rPr>
              <w:t>期初数</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期末数</w:t>
            </w:r>
          </w:p>
        </w:tc>
      </w:tr>
      <w:tr>
        <w:trPr>
          <w:trHeight w:val="397" w:hRule="exact"/>
          <w:cantSplit/>
        </w:trPr>
        <w:tc>
          <w:tcPr>
            <w:tcW w:type="dxa" w:w="1680"/>
          </w:tcPr>
          <w:p>
            <w:r/>
            <w:r>
              <w:rPr>
                <w:rFonts w:ascii="仿宋_GB2312" w:hAnsi="仿宋_GB2312" w:eastAsia="仿宋_GB2312"/>
                <w:b w:val="0"/>
                <w:sz w:val="24"/>
              </w:rPr>
              <w:t>存货种类</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原材料</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自制半成品及在产品</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其中：开发成本</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库存商品（产成品）</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其中：开发产品</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周转材料</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合同履约成本</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消耗性生物资产</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其中：尚未开发的土地储备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外购的数据资源存货</w:t>
            </w:r>
          </w:p>
        </w:tc>
        <w:tc>
          <w:tcPr>
            <w:tcW w:type="dxa" w:w="1680"/>
            <w:tcBorders>
              <w:bottom w:val="single" w:sz="4" w:space="0" w:color="000000"/>
            </w:tcBorders>
          </w:tcPr>
          <w:p>
            <w:pPr>
              <w:jc w:val="center"/>
            </w:pPr>
            <w:r/>
            <w:r>
              <w:rPr>
                <w:rFonts w:ascii="仿宋_GB2312" w:hAnsi="仿宋_GB2312" w:eastAsia="仿宋_GB2312"/>
                <w:b/>
                <w:sz w:val="24"/>
              </w:rPr>
              <w:t>自行加工的数据资源存货</w:t>
            </w:r>
          </w:p>
        </w:tc>
        <w:tc>
          <w:tcPr>
            <w:tcW w:type="dxa" w:w="1680"/>
            <w:tcBorders>
              <w:bottom w:val="single" w:sz="4" w:space="0" w:color="000000"/>
            </w:tcBorders>
          </w:tcPr>
          <w:p>
            <w:pPr>
              <w:jc w:val="center"/>
            </w:pPr>
            <w:r/>
            <w:r>
              <w:rPr>
                <w:rFonts w:ascii="仿宋_GB2312" w:hAnsi="仿宋_GB2312" w:eastAsia="仿宋_GB2312"/>
                <w:b/>
                <w:sz w:val="24"/>
              </w:rPr>
              <w:t>其他方式取得的数据资源存货</w:t>
            </w:r>
          </w:p>
        </w:tc>
        <w:tc>
          <w:tcPr>
            <w:tcW w:type="dxa" w:w="1680"/>
            <w:tcBorders>
              <w:bottom w:val="single" w:sz="4" w:space="0" w:color="000000"/>
            </w:tcBorders>
          </w:tcPr>
          <w:p>
            <w:pPr>
              <w:jc w:val="center"/>
            </w:pPr>
            <w:r/>
            <w:r>
              <w:rPr>
                <w:rFonts w:ascii="仿宋_GB2312" w:hAnsi="仿宋_GB2312" w:eastAsia="仿宋_GB2312"/>
                <w:b/>
                <w:sz w:val="24"/>
              </w:rPr>
              <w:t>合计</w:t>
            </w:r>
          </w:p>
        </w:tc>
      </w:tr>
      <w:tr>
        <w:trPr>
          <w:trHeight w:val="397" w:hRule="exact"/>
          <w:cantSplit/>
        </w:trPr>
        <w:tc>
          <w:tcPr>
            <w:tcW w:type="dxa" w:w="1680"/>
          </w:tcPr>
          <w:p>
            <w:r/>
            <w:r>
              <w:rPr>
                <w:rFonts w:ascii="仿宋_GB2312" w:hAnsi="仿宋_GB2312" w:eastAsia="仿宋_GB2312"/>
                <w:b w:val="0"/>
                <w:sz w:val="24"/>
              </w:rPr>
              <w:t>一、账面原值</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1.期初余额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2.本期增加金额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其中：购入</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采集加工</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其他增加</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3.本期减少金额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其中：出售</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失效且终止确认</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其他减少</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4.期末余额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二、跌价准备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1.期初余额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2.本期增加金额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3.本期减少金额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其中：转回</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转销</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4.期末余额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三、账面价值</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1.期末账面价值</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2.期初账面价值</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二十七、合同资产</w:t>
      </w:r>
      <w:bookmarkStart w:id="38658" w:name="note_section_八、11"/>
      <w:bookmarkEnd w:id="38658"/>
    </w:p>
    <w:p>
      <w:pPr>
        <w:spacing w:before="0" w:after="240" w:line="240" w:lineRule="auto"/>
      </w:pPr>
      <w:r>
        <w:rPr>
          <w:rFonts w:ascii="仿宋_GB2312" w:hAnsi="仿宋_GB2312" w:eastAsia="仿宋_GB2312"/>
          <w:b w:val="0"/>
          <w:sz w:val="24"/>
        </w:rPr>
        <w:t>### 合同资产情况</w:t>
        <w:br/>
        <w:br/>
        <w:t>### 合同资产减值准备</w:t>
        <w:br/>
        <w:br/>
        <w:t>### 本期合同资产账面价值的重大变动【国资委格式未要求披露】</w:t>
        <w:br/>
        <w:br/>
        <w:t>1、说明履行履约义务的时间与通常的付款时间之间的关系，以及此类因素对合同资产（如果对合同负债产生影响在合同负债科目下说明）账面价值的影响的定量或定性信息。</w:t>
        <w:br/>
        <w:br/>
        <w:t>2、说明合同资产的账面价值在本期内发生的重大变动的情形，包括：</w:t>
        <w:br/>
        <w:br/>
        <w:t>①企业合并导致的变动；</w:t>
        <w:br/>
        <w:br/>
        <w:t>②对收入进行累积追加调整导致的相关合同资产和合同负债的变动，此类调整可能源于估计履约进度的变化、估计交易价格的变化（包括对于可变对价是否受到限制的评估发生变化）或者合同变更；</w:t>
        <w:br/>
        <w:br/>
        <w:t>③对合同对价的权利成为无条件权利（即，合同资产重分类为应收款项）的时间安排发生变化。</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项目</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项目</w:t>
            </w:r>
          </w:p>
        </w:tc>
        <w:tc>
          <w:tcPr>
            <w:tcW w:type="dxa" w:w="2100"/>
            <w:tcBorders>
              <w:bottom w:val="single" w:sz="4" w:space="0" w:color="000000"/>
            </w:tcBorders>
          </w:tcPr>
          <w:p>
            <w:pPr>
              <w:jc w:val="center"/>
            </w:pPr>
            <w:r/>
            <w:r>
              <w:rPr>
                <w:rFonts w:ascii="仿宋_GB2312" w:hAnsi="仿宋_GB2312" w:eastAsia="仿宋_GB2312"/>
                <w:b/>
                <w:sz w:val="24"/>
              </w:rPr>
              <w:t>期初数</w:t>
            </w:r>
          </w:p>
        </w:tc>
        <w:tc>
          <w:tcPr>
            <w:tcW w:type="dxa" w:w="2100"/>
            <w:tcBorders>
              <w:bottom w:val="single" w:sz="4" w:space="0" w:color="000000"/>
            </w:tcBorders>
          </w:tcPr>
          <w:p>
            <w:pPr>
              <w:jc w:val="center"/>
            </w:pPr>
            <w:r/>
            <w:r>
              <w:rPr>
                <w:rFonts w:ascii="仿宋_GB2312" w:hAnsi="仿宋_GB2312" w:eastAsia="仿宋_GB2312"/>
                <w:b/>
                <w:sz w:val="24"/>
              </w:rPr>
              <w:t>本期变动金额</w:t>
            </w:r>
          </w:p>
        </w:tc>
        <w:tc>
          <w:tcPr>
            <w:tcW w:type="dxa" w:w="2100"/>
            <w:tcBorders>
              <w:bottom w:val="single" w:sz="4" w:space="0" w:color="000000"/>
            </w:tcBorders>
          </w:tcPr>
          <w:p>
            <w:pPr>
              <w:jc w:val="center"/>
            </w:pPr>
            <w:r/>
            <w:r>
              <w:rPr>
                <w:rFonts w:ascii="仿宋_GB2312" w:hAnsi="仿宋_GB2312" w:eastAsia="仿宋_GB2312"/>
                <w:b/>
                <w:sz w:val="24"/>
              </w:rPr>
              <w:t>期末数</w:t>
            </w:r>
          </w:p>
        </w:tc>
      </w:tr>
      <w:tr>
        <w:trPr>
          <w:trHeight w:val="397" w:hRule="exact"/>
          <w:cantSplit/>
        </w:trPr>
        <w:tc>
          <w:tcPr>
            <w:tcW w:type="dxa" w:w="2100"/>
          </w:tcPr>
          <w:p>
            <w:r/>
            <w:r>
              <w:rPr>
                <w:rFonts w:ascii="仿宋_GB2312" w:hAnsi="仿宋_GB2312" w:eastAsia="仿宋_GB2312"/>
                <w:b w:val="0"/>
                <w:sz w:val="24"/>
              </w:rPr>
              <w:t>项目</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变动金额</w:t>
            </w:r>
          </w:p>
        </w:tc>
        <w:tc>
          <w:tcPr>
            <w:tcW w:type="dxa" w:w="2801"/>
            <w:tcBorders>
              <w:bottom w:val="single" w:sz="4" w:space="0" w:color="000000"/>
            </w:tcBorders>
          </w:tcPr>
          <w:p>
            <w:pPr>
              <w:jc w:val="center"/>
            </w:pPr>
            <w:r/>
            <w:r>
              <w:rPr>
                <w:rFonts w:ascii="仿宋_GB2312" w:hAnsi="仿宋_GB2312" w:eastAsia="仿宋_GB2312"/>
                <w:b/>
                <w:sz w:val="24"/>
              </w:rPr>
              <w:t>变动原因</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二十八、持有待售资产</w:t>
      </w:r>
      <w:bookmarkStart w:id="57445" w:name="note_section_八、12"/>
      <w:bookmarkEnd w:id="57445"/>
    </w:p>
    <w:p>
      <w:pPr>
        <w:spacing w:before="0" w:after="240" w:line="240" w:lineRule="auto"/>
      </w:pPr>
      <w:r>
        <w:rPr>
          <w:rFonts w:ascii="仿宋_GB2312" w:hAnsi="仿宋_GB2312" w:eastAsia="仿宋_GB2312"/>
          <w:b w:val="0"/>
          <w:sz w:val="24"/>
        </w:rPr>
        <w:t>2.应披露持有待售的非流动资产或处置组的分部信息；</w:t>
        <w:br/>
        <w:br/>
        <w:t>3.应披露持有待售的非流动资产或持有待售的处置组中的资产确认的减值损失及其转回金额；</w:t>
        <w:br/>
        <w:br/>
        <w:t>4.应披露与持有待售的非流动资产或处置组有关的其他综合收益累计金额。】</w:t>
        <w:br/>
        <w:br/>
        <w:t>持有待售资产减值准备</w:t>
        <w:br/>
        <w:br/>
        <w:t>持有待售非流动资产</w:t>
        <w:br/>
        <w:br/>
        <w:t>持有待售处置组中的资产</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项目</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（一）持有待售非流动资产</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其中：固定资产</w:t>
            </w:r>
          </w:p>
        </w:tc>
        <w:tc>
          <w:tcPr>
            <w:tcW w:type="dxa" w:w="2801"/>
          </w:tcPr>
          <w:p>
            <w:pPr>
              <w:jc w:val="right"/>
            </w:pPr>
            <w:r/>
            <w:r>
              <w:rPr>
                <w:rFonts w:ascii="Arial Narrow" w:hAnsi="Arial Narrow" w:eastAsia="仿宋_GB2312" w:cs="Arial Narrow"/>
                <w:sz w:val="24"/>
              </w:rPr>
              <w:t>51,270,217.56</w:t>
            </w:r>
          </w:p>
        </w:tc>
        <w:tc>
          <w:tcPr>
            <w:tcW w:type="dxa" w:w="2801"/>
          </w:tcPr>
          <w:p>
            <w:pPr>
              <w:jc w:val="right"/>
            </w:pPr>
            <w:r/>
            <w:r>
              <w:rPr>
                <w:rFonts w:ascii="Arial Narrow" w:hAnsi="Arial Narrow" w:eastAsia="仿宋_GB2312" w:cs="Arial Narrow"/>
                <w:sz w:val="24"/>
              </w:rPr>
              <w:t>60,067,128.05</w:t>
            </w:r>
          </w:p>
        </w:tc>
      </w:tr>
      <w:tr>
        <w:trPr>
          <w:trHeight w:val="397" w:hRule="exact"/>
          <w:cantSplit/>
        </w:trPr>
        <w:tc>
          <w:tcPr>
            <w:tcW w:type="dxa" w:w="2801"/>
          </w:tcPr>
          <w:p>
            <w:r/>
            <w:r>
              <w:rPr>
                <w:rFonts w:ascii="仿宋_GB2312" w:hAnsi="仿宋_GB2312" w:eastAsia="仿宋_GB2312"/>
                <w:b w:val="0"/>
                <w:sz w:val="24"/>
              </w:rPr>
              <w:t>无形资产</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（二）持有待售处置组中的资产</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其中：子公司A</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分公司B</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Arial Narrow" w:hAnsi="Arial Narrow" w:eastAsia="仿宋_GB2312" w:cs="Arial Narrow"/>
                <w:sz w:val="24"/>
              </w:rPr>
              <w:t>51,270,217.56</w:t>
            </w:r>
          </w:p>
        </w:tc>
        <w:tc>
          <w:tcPr>
            <w:tcW w:type="dxa" w:w="2801"/>
          </w:tcPr>
          <w:p>
            <w:pPr>
              <w:jc w:val="right"/>
            </w:pPr>
            <w:r/>
            <w:r>
              <w:rPr>
                <w:rFonts w:ascii="Arial Narrow" w:hAnsi="Arial Narrow" w:eastAsia="仿宋_GB2312" w:cs="Arial Narrow"/>
                <w:sz w:val="24"/>
              </w:rPr>
              <w:t>60,067,128.05</w:t>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期初数</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期末数</w:t>
            </w:r>
          </w:p>
        </w:tc>
      </w:tr>
      <w:tr>
        <w:trPr>
          <w:trHeight w:val="397" w:hRule="exact"/>
          <w:cantSplit/>
        </w:trPr>
        <w:tc>
          <w:tcPr>
            <w:tcW w:type="dxa" w:w="1680"/>
          </w:tcPr>
          <w:p>
            <w:r/>
            <w:r>
              <w:rPr>
                <w:rFonts w:ascii="仿宋_GB2312" w:hAnsi="仿宋_GB2312" w:eastAsia="仿宋_GB2312"/>
                <w:b w:val="0"/>
                <w:sz w:val="24"/>
              </w:rPr>
              <w:t>项目</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（一）持有待售非流动资产</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其中：固定资产</w:t>
            </w:r>
          </w:p>
        </w:tc>
        <w:tc>
          <w:tcPr>
            <w:tcW w:type="dxa" w:w="1680"/>
          </w:tcPr>
          <w:p>
            <w:pPr>
              <w:jc w:val="right"/>
            </w:pPr>
            <w:r/>
            <w:r>
              <w:rPr>
                <w:rFonts w:ascii="Arial Narrow" w:hAnsi="Arial Narrow" w:eastAsia="仿宋_GB2312" w:cs="Arial Narrow"/>
                <w:sz w:val="24"/>
              </w:rPr>
              <w:t>51,270,217.56</w:t>
            </w:r>
          </w:p>
        </w:tc>
        <w:tc>
          <w:tcPr>
            <w:tcW w:type="dxa" w:w="1680"/>
          </w:tcPr>
          <w:p>
            <w:pPr>
              <w:jc w:val="right"/>
            </w:pPr>
            <w:r/>
            <w:r>
              <w:rPr>
                <w:rFonts w:ascii="Arial Narrow" w:hAnsi="Arial Narrow" w:eastAsia="仿宋_GB2312" w:cs="Arial Narrow"/>
                <w:sz w:val="24"/>
              </w:rPr>
              <w:t>60,067,128.05</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无形资产</w:t>
            </w:r>
          </w:p>
        </w:tc>
        <w:tc>
          <w:tcPr>
            <w:tcW w:type="dxa" w:w="1680"/>
          </w:tcPr>
          <w:p>
            <w:pPr>
              <w:jc w:val="right"/>
            </w:pPr>
            <w:r/>
            <w:r>
              <w:rPr>
                <w:rFonts w:ascii="Arial Narrow" w:hAnsi="Arial Narrow" w:eastAsia="仿宋_GB2312" w:cs="Arial Narrow"/>
                <w:sz w:val="24"/>
              </w:rPr>
            </w:r>
          </w:p>
        </w:tc>
        <w:tc>
          <w:tcPr>
            <w:tcW w:type="dxa" w:w="1680"/>
          </w:tcPr>
          <w:p>
            <w:pPr>
              <w:jc w:val="right"/>
            </w:pPr>
            <w:r/>
            <w:r>
              <w:rPr>
                <w:rFonts w:ascii="Arial Narrow" w:hAnsi="Arial Narrow" w:eastAsia="仿宋_GB2312" w:cs="Arial Narrow"/>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（二）持有待售处置组中的资产</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其中：子公司A</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分公司B</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Arial Narrow" w:hAnsi="Arial Narrow" w:eastAsia="仿宋_GB2312" w:cs="Arial Narrow"/>
                <w:sz w:val="24"/>
              </w:rPr>
              <w:t>51,270,217.56</w:t>
            </w:r>
          </w:p>
        </w:tc>
        <w:tc>
          <w:tcPr>
            <w:tcW w:type="dxa" w:w="1680"/>
          </w:tcPr>
          <w:p>
            <w:pPr>
              <w:jc w:val="right"/>
            </w:pPr>
            <w:r/>
            <w:r>
              <w:rPr>
                <w:rFonts w:ascii="Arial Narrow" w:hAnsi="Arial Narrow" w:eastAsia="仿宋_GB2312" w:cs="Arial Narrow"/>
                <w:sz w:val="24"/>
              </w:rPr>
              <w:t>60,067,128.05</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期末账面价值</w:t>
            </w:r>
          </w:p>
        </w:tc>
        <w:tc>
          <w:tcPr>
            <w:tcW w:type="dxa" w:w="1680"/>
            <w:tcBorders>
              <w:bottom w:val="single" w:sz="4" w:space="0" w:color="000000"/>
            </w:tcBorders>
          </w:tcPr>
          <w:p>
            <w:pPr>
              <w:jc w:val="center"/>
            </w:pPr>
            <w:r/>
            <w:r>
              <w:rPr>
                <w:rFonts w:ascii="仿宋_GB2312" w:hAnsi="仿宋_GB2312" w:eastAsia="仿宋_GB2312"/>
                <w:b/>
                <w:sz w:val="24"/>
              </w:rPr>
              <w:t>期末公允价值</w:t>
            </w:r>
          </w:p>
        </w:tc>
        <w:tc>
          <w:tcPr>
            <w:tcW w:type="dxa" w:w="1680"/>
            <w:tcBorders>
              <w:bottom w:val="single" w:sz="4" w:space="0" w:color="000000"/>
            </w:tcBorders>
          </w:tcPr>
          <w:p>
            <w:pPr>
              <w:jc w:val="center"/>
            </w:pPr>
            <w:r/>
            <w:r>
              <w:rPr>
                <w:rFonts w:ascii="仿宋_GB2312" w:hAnsi="仿宋_GB2312" w:eastAsia="仿宋_GB2312"/>
                <w:b/>
                <w:sz w:val="24"/>
              </w:rPr>
              <w:t>预计处置费用</w:t>
            </w:r>
          </w:p>
        </w:tc>
        <w:tc>
          <w:tcPr>
            <w:tcW w:type="dxa" w:w="1680"/>
            <w:tcBorders>
              <w:bottom w:val="single" w:sz="4" w:space="0" w:color="000000"/>
            </w:tcBorders>
          </w:tcPr>
          <w:p>
            <w:pPr>
              <w:jc w:val="center"/>
            </w:pPr>
            <w:r/>
            <w:r>
              <w:rPr>
                <w:rFonts w:ascii="仿宋_GB2312" w:hAnsi="仿宋_GB2312" w:eastAsia="仿宋_GB2312"/>
                <w:b/>
                <w:sz w:val="24"/>
              </w:rPr>
              <w:t>时间安排</w:t>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期末账面价值</w:t>
            </w:r>
          </w:p>
        </w:tc>
        <w:tc>
          <w:tcPr>
            <w:tcW w:type="dxa" w:w="1680"/>
            <w:tcBorders>
              <w:bottom w:val="single" w:sz="4" w:space="0" w:color="000000"/>
            </w:tcBorders>
          </w:tcPr>
          <w:p>
            <w:pPr>
              <w:jc w:val="center"/>
            </w:pPr>
            <w:r/>
            <w:r>
              <w:rPr>
                <w:rFonts w:ascii="仿宋_GB2312" w:hAnsi="仿宋_GB2312" w:eastAsia="仿宋_GB2312"/>
                <w:b/>
                <w:sz w:val="24"/>
              </w:rPr>
              <w:t>期末公允价值</w:t>
            </w:r>
          </w:p>
        </w:tc>
        <w:tc>
          <w:tcPr>
            <w:tcW w:type="dxa" w:w="1680"/>
            <w:tcBorders>
              <w:bottom w:val="single" w:sz="4" w:space="0" w:color="000000"/>
            </w:tcBorders>
          </w:tcPr>
          <w:p>
            <w:pPr>
              <w:jc w:val="center"/>
            </w:pPr>
            <w:r/>
            <w:r>
              <w:rPr>
                <w:rFonts w:ascii="仿宋_GB2312" w:hAnsi="仿宋_GB2312" w:eastAsia="仿宋_GB2312"/>
                <w:b/>
                <w:sz w:val="24"/>
              </w:rPr>
              <w:t>预计处置费用</w:t>
            </w:r>
          </w:p>
        </w:tc>
        <w:tc>
          <w:tcPr>
            <w:tcW w:type="dxa" w:w="1680"/>
            <w:tcBorders>
              <w:bottom w:val="single" w:sz="4" w:space="0" w:color="000000"/>
            </w:tcBorders>
          </w:tcPr>
          <w:p>
            <w:pPr>
              <w:jc w:val="center"/>
            </w:pPr>
            <w:r/>
            <w:r>
              <w:rPr>
                <w:rFonts w:ascii="仿宋_GB2312" w:hAnsi="仿宋_GB2312" w:eastAsia="仿宋_GB2312"/>
                <w:b/>
                <w:sz w:val="24"/>
              </w:rPr>
              <w:t>时间安排</w:t>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二十九、一年内到期的非流动资产</w:t>
      </w:r>
      <w:bookmarkStart w:id="87128" w:name="note_section_八、13"/>
      <w:bookmarkEnd w:id="87128"/>
    </w:p>
    <w:p>
      <w:pPr>
        <w:spacing w:before="0" w:after="240" w:line="240" w:lineRule="auto"/>
      </w:pPr>
      <w:r>
        <w:rPr>
          <w:rFonts w:ascii="仿宋_GB2312" w:hAnsi="仿宋_GB2312" w:eastAsia="仿宋_GB2312"/>
          <w:b w:val="0"/>
          <w:sz w:val="24"/>
        </w:rPr>
        <w:t>本期无此项业务。</w:t>
      </w:r>
    </w:p>
    <w:p>
      <w:pPr>
        <w:spacing w:before="120" w:after="240" w:line="240" w:lineRule="auto"/>
      </w:pPr>
      <w:r>
        <w:rPr>
          <w:rFonts w:ascii="仿宋_GB2312" w:hAnsi="仿宋_GB2312" w:eastAsia="仿宋_GB2312"/>
          <w:b/>
          <w:sz w:val="24"/>
        </w:rPr>
        <w:t>三十、其他流动资产</w:t>
      </w:r>
      <w:bookmarkStart w:id="88522" w:name="note_section_八、14"/>
      <w:bookmarkEnd w:id="88522"/>
    </w:p>
    <w:p>
      <w:pPr>
        <w:spacing w:before="0" w:after="240" w:line="240" w:lineRule="auto"/>
      </w:pPr>
      <w:r>
        <w:rPr>
          <w:rFonts w:ascii="仿宋_GB2312" w:hAnsi="仿宋_GB2312" w:eastAsia="仿宋_GB2312"/>
          <w:b w:val="0"/>
          <w:sz w:val="24"/>
        </w:rPr>
        <w:t>【提示：待抵扣进项税额，根据“应交税费-应交增值税”科目借方余额分析填列；预缴税金中的增值税额，根据“应交税费-未交增值税”科目以及“应交税费-预交增值税”科目借方余额分析填列；上述重分类事项，如属于其他非流动资产的，应在“其他非流动资产”科目列示。】</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待抵扣进项税额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预缴税金</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委托贷款</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短期债权投资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短期其他债权投资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合同取得成本</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应收退货成本</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碳排放权资产</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31、债权投资</w:t>
      </w:r>
      <w:bookmarkStart w:id="87035" w:name="note_section_八、15"/>
      <w:bookmarkEnd w:id="87035"/>
    </w:p>
    <w:p>
      <w:pPr>
        <w:spacing w:before="0" w:after="240" w:line="240" w:lineRule="auto"/>
      </w:pPr>
      <w:r>
        <w:rPr>
          <w:rFonts w:ascii="仿宋_GB2312" w:hAnsi="仿宋_GB2312" w:eastAsia="仿宋_GB2312"/>
          <w:b w:val="0"/>
          <w:sz w:val="24"/>
        </w:rPr>
        <w:t>### 债权投资情况</w:t>
        <w:br/>
        <w:br/>
        <w:t>### 期末重要的债权投资</w:t>
        <w:br/>
        <w:br/>
        <w:t>### 减值准备计提情况</w:t>
        <w:br/>
        <w:br/>
        <w:t>#### 期末，处于第一阶段的债权投资的减值准备</w:t>
        <w:br/>
        <w:br/>
        <w:t>#### 期末，处于第二阶段的债权投资的减值准备</w:t>
        <w:br/>
        <w:br/>
        <w:t>#### 期末，处于第三阶段的债权投资的减值准备</w:t>
        <w:br/>
        <w:br/>
        <w:t>#### 本期计提、收回或转回的减值准备情况</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项目</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债权项目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债权项目</w:t>
            </w:r>
          </w:p>
        </w:tc>
        <w:tc>
          <w:tcPr>
            <w:tcW w:type="dxa" w:w="1680"/>
            <w:tcBorders>
              <w:bottom w:val="single" w:sz="4" w:space="0" w:color="000000"/>
            </w:tcBorders>
          </w:tcPr>
          <w:p>
            <w:pPr>
              <w:jc w:val="center"/>
            </w:pPr>
            <w:r/>
            <w:r>
              <w:rPr>
                <w:rFonts w:ascii="仿宋_GB2312" w:hAnsi="仿宋_GB2312" w:eastAsia="仿宋_GB2312"/>
                <w:b/>
                <w:sz w:val="24"/>
              </w:rPr>
              <w:t>面值</w:t>
            </w:r>
          </w:p>
        </w:tc>
        <w:tc>
          <w:tcPr>
            <w:tcW w:type="dxa" w:w="1680"/>
            <w:tcBorders>
              <w:bottom w:val="single" w:sz="4" w:space="0" w:color="000000"/>
            </w:tcBorders>
          </w:tcPr>
          <w:p>
            <w:pPr>
              <w:jc w:val="center"/>
            </w:pPr>
            <w:r/>
            <w:r>
              <w:rPr>
                <w:rFonts w:ascii="仿宋_GB2312" w:hAnsi="仿宋_GB2312" w:eastAsia="仿宋_GB2312"/>
                <w:b/>
                <w:sz w:val="24"/>
              </w:rPr>
              <w:t>票面利率%</w:t>
            </w:r>
          </w:p>
        </w:tc>
        <w:tc>
          <w:tcPr>
            <w:tcW w:type="dxa" w:w="1680"/>
            <w:tcBorders>
              <w:bottom w:val="single" w:sz="4" w:space="0" w:color="000000"/>
            </w:tcBorders>
          </w:tcPr>
          <w:p>
            <w:pPr>
              <w:jc w:val="center"/>
            </w:pPr>
            <w:r/>
            <w:r>
              <w:rPr>
                <w:rFonts w:ascii="仿宋_GB2312" w:hAnsi="仿宋_GB2312" w:eastAsia="仿宋_GB2312"/>
                <w:b/>
                <w:sz w:val="24"/>
              </w:rPr>
              <w:t>实际利率（%）</w:t>
            </w:r>
          </w:p>
        </w:tc>
        <w:tc>
          <w:tcPr>
            <w:tcW w:type="dxa" w:w="1680"/>
            <w:tcBorders>
              <w:bottom w:val="single" w:sz="4" w:space="0" w:color="000000"/>
            </w:tcBorders>
          </w:tcPr>
          <w:p>
            <w:pPr>
              <w:jc w:val="center"/>
            </w:pPr>
            <w:r/>
            <w:r>
              <w:rPr>
                <w:rFonts w:ascii="仿宋_GB2312" w:hAnsi="仿宋_GB2312" w:eastAsia="仿宋_GB2312"/>
                <w:b/>
                <w:sz w:val="24"/>
              </w:rPr>
              <w:t>到期日</w:t>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类  别</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类别</w:t>
            </w:r>
          </w:p>
        </w:tc>
        <w:tc>
          <w:tcPr>
            <w:tcW w:type="dxa" w:w="1400"/>
            <w:tcBorders>
              <w:bottom w:val="single" w:sz="4" w:space="0" w:color="000000"/>
            </w:tcBorders>
          </w:tcPr>
          <w:p>
            <w:pPr>
              <w:jc w:val="center"/>
            </w:pPr>
            <w:r/>
            <w:r>
              <w:rPr>
                <w:rFonts w:ascii="仿宋_GB2312" w:hAnsi="仿宋_GB2312" w:eastAsia="仿宋_GB2312"/>
                <w:b/>
                <w:sz w:val="24"/>
              </w:rPr>
              <w:t>账面余额</w:t>
            </w:r>
          </w:p>
        </w:tc>
        <w:tc>
          <w:tcPr>
            <w:tcW w:type="dxa" w:w="1400"/>
            <w:tcBorders>
              <w:bottom w:val="single" w:sz="4" w:space="0" w:color="000000"/>
            </w:tcBorders>
          </w:tcPr>
          <w:p>
            <w:pPr>
              <w:jc w:val="center"/>
            </w:pPr>
            <w:r/>
            <w:r>
              <w:rPr>
                <w:rFonts w:ascii="仿宋_GB2312" w:hAnsi="仿宋_GB2312" w:eastAsia="仿宋_GB2312"/>
                <w:b/>
                <w:sz w:val="24"/>
              </w:rPr>
              <w:t>未来12个月内预期信用损失率(%)</w:t>
            </w:r>
          </w:p>
        </w:tc>
        <w:tc>
          <w:tcPr>
            <w:tcW w:type="dxa" w:w="1400"/>
            <w:tcBorders>
              <w:bottom w:val="single" w:sz="4" w:space="0" w:color="000000"/>
            </w:tcBorders>
          </w:tcPr>
          <w:p>
            <w:pPr>
              <w:jc w:val="center"/>
            </w:pPr>
            <w:r/>
            <w:r>
              <w:rPr>
                <w:rFonts w:ascii="仿宋_GB2312" w:hAnsi="仿宋_GB2312" w:eastAsia="仿宋_GB2312"/>
                <w:b/>
                <w:sz w:val="24"/>
              </w:rPr>
              <w:t>减值准备</w:t>
            </w:r>
          </w:p>
        </w:tc>
        <w:tc>
          <w:tcPr>
            <w:tcW w:type="dxa" w:w="1400"/>
            <w:tcBorders>
              <w:bottom w:val="single" w:sz="4" w:space="0" w:color="000000"/>
            </w:tcBorders>
          </w:tcPr>
          <w:p>
            <w:pPr>
              <w:jc w:val="center"/>
            </w:pPr>
            <w:r/>
            <w:r>
              <w:rPr>
                <w:rFonts w:ascii="仿宋_GB2312" w:hAnsi="仿宋_GB2312" w:eastAsia="仿宋_GB2312"/>
                <w:b/>
                <w:sz w:val="24"/>
              </w:rPr>
              <w:t>账面价值</w:t>
            </w:r>
          </w:p>
        </w:tc>
        <w:tc>
          <w:tcPr>
            <w:tcW w:type="dxa" w:w="1400"/>
            <w:tcBorders>
              <w:bottom w:val="single" w:sz="4" w:space="0" w:color="000000"/>
            </w:tcBorders>
          </w:tcPr>
          <w:p>
            <w:pPr>
              <w:jc w:val="center"/>
            </w:pPr>
            <w:r/>
            <w:r>
              <w:rPr>
                <w:rFonts w:ascii="仿宋_GB2312" w:hAnsi="仿宋_GB2312" w:eastAsia="仿宋_GB2312"/>
                <w:b/>
                <w:sz w:val="24"/>
              </w:rPr>
              <w:t>理由</w:t>
            </w:r>
          </w:p>
        </w:tc>
      </w:tr>
      <w:tr>
        <w:trPr>
          <w:trHeight w:val="397" w:hRule="exact"/>
          <w:cantSplit/>
        </w:trPr>
        <w:tc>
          <w:tcPr>
            <w:tcW w:type="dxa" w:w="1400"/>
          </w:tcPr>
          <w:p>
            <w:r/>
            <w:r>
              <w:rPr>
                <w:rFonts w:ascii="仿宋_GB2312" w:hAnsi="仿宋_GB2312" w:eastAsia="仿宋_GB2312"/>
                <w:b w:val="0"/>
                <w:sz w:val="24"/>
              </w:rPr>
              <w:t>按单项计提坏账准备</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其中：</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按组合计提坏账准备</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其中：</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合计</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类  别</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类别</w:t>
            </w:r>
          </w:p>
        </w:tc>
        <w:tc>
          <w:tcPr>
            <w:tcW w:type="dxa" w:w="1400"/>
            <w:tcBorders>
              <w:bottom w:val="single" w:sz="4" w:space="0" w:color="000000"/>
            </w:tcBorders>
          </w:tcPr>
          <w:p>
            <w:pPr>
              <w:jc w:val="center"/>
            </w:pPr>
            <w:r/>
            <w:r>
              <w:rPr>
                <w:rFonts w:ascii="仿宋_GB2312" w:hAnsi="仿宋_GB2312" w:eastAsia="仿宋_GB2312"/>
                <w:b/>
                <w:sz w:val="24"/>
              </w:rPr>
              <w:t>账面余额</w:t>
            </w:r>
          </w:p>
        </w:tc>
        <w:tc>
          <w:tcPr>
            <w:tcW w:type="dxa" w:w="1400"/>
            <w:tcBorders>
              <w:bottom w:val="single" w:sz="4" w:space="0" w:color="000000"/>
            </w:tcBorders>
          </w:tcPr>
          <w:p>
            <w:pPr>
              <w:jc w:val="center"/>
            </w:pPr>
            <w:r/>
            <w:r>
              <w:rPr>
                <w:rFonts w:ascii="仿宋_GB2312" w:hAnsi="仿宋_GB2312" w:eastAsia="仿宋_GB2312"/>
                <w:b/>
                <w:sz w:val="24"/>
              </w:rPr>
              <w:t>整个存续期预期信用损失率(%)</w:t>
            </w:r>
          </w:p>
        </w:tc>
        <w:tc>
          <w:tcPr>
            <w:tcW w:type="dxa" w:w="1400"/>
            <w:tcBorders>
              <w:bottom w:val="single" w:sz="4" w:space="0" w:color="000000"/>
            </w:tcBorders>
          </w:tcPr>
          <w:p>
            <w:pPr>
              <w:jc w:val="center"/>
            </w:pPr>
            <w:r/>
            <w:r>
              <w:rPr>
                <w:rFonts w:ascii="仿宋_GB2312" w:hAnsi="仿宋_GB2312" w:eastAsia="仿宋_GB2312"/>
                <w:b/>
                <w:sz w:val="24"/>
              </w:rPr>
              <w:t>减值准备</w:t>
            </w:r>
          </w:p>
        </w:tc>
        <w:tc>
          <w:tcPr>
            <w:tcW w:type="dxa" w:w="1400"/>
            <w:tcBorders>
              <w:bottom w:val="single" w:sz="4" w:space="0" w:color="000000"/>
            </w:tcBorders>
          </w:tcPr>
          <w:p>
            <w:pPr>
              <w:jc w:val="center"/>
            </w:pPr>
            <w:r/>
            <w:r>
              <w:rPr>
                <w:rFonts w:ascii="仿宋_GB2312" w:hAnsi="仿宋_GB2312" w:eastAsia="仿宋_GB2312"/>
                <w:b/>
                <w:sz w:val="24"/>
              </w:rPr>
              <w:t>账面价值</w:t>
            </w:r>
          </w:p>
        </w:tc>
        <w:tc>
          <w:tcPr>
            <w:tcW w:type="dxa" w:w="1400"/>
            <w:tcBorders>
              <w:bottom w:val="single" w:sz="4" w:space="0" w:color="000000"/>
            </w:tcBorders>
          </w:tcPr>
          <w:p>
            <w:pPr>
              <w:jc w:val="center"/>
            </w:pPr>
            <w:r/>
            <w:r>
              <w:rPr>
                <w:rFonts w:ascii="仿宋_GB2312" w:hAnsi="仿宋_GB2312" w:eastAsia="仿宋_GB2312"/>
                <w:b/>
                <w:sz w:val="24"/>
              </w:rPr>
              <w:t>理由</w:t>
            </w:r>
          </w:p>
        </w:tc>
      </w:tr>
      <w:tr>
        <w:trPr>
          <w:trHeight w:val="397" w:hRule="exact"/>
          <w:cantSplit/>
        </w:trPr>
        <w:tc>
          <w:tcPr>
            <w:tcW w:type="dxa" w:w="1400"/>
          </w:tcPr>
          <w:p>
            <w:r/>
            <w:r>
              <w:rPr>
                <w:rFonts w:ascii="仿宋_GB2312" w:hAnsi="仿宋_GB2312" w:eastAsia="仿宋_GB2312"/>
                <w:b w:val="0"/>
                <w:sz w:val="24"/>
              </w:rPr>
              <w:t>按单项计提坏账准备</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其中：</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按组合计提坏账准备</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其中：</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合计</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类  别</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类别</w:t>
            </w:r>
          </w:p>
        </w:tc>
        <w:tc>
          <w:tcPr>
            <w:tcW w:type="dxa" w:w="1400"/>
            <w:tcBorders>
              <w:bottom w:val="single" w:sz="4" w:space="0" w:color="000000"/>
            </w:tcBorders>
          </w:tcPr>
          <w:p>
            <w:pPr>
              <w:jc w:val="center"/>
            </w:pPr>
            <w:r/>
            <w:r>
              <w:rPr>
                <w:rFonts w:ascii="仿宋_GB2312" w:hAnsi="仿宋_GB2312" w:eastAsia="仿宋_GB2312"/>
                <w:b/>
                <w:sz w:val="24"/>
              </w:rPr>
              <w:t>账面余额</w:t>
            </w:r>
          </w:p>
        </w:tc>
        <w:tc>
          <w:tcPr>
            <w:tcW w:type="dxa" w:w="1400"/>
            <w:tcBorders>
              <w:bottom w:val="single" w:sz="4" w:space="0" w:color="000000"/>
            </w:tcBorders>
          </w:tcPr>
          <w:p>
            <w:pPr>
              <w:jc w:val="center"/>
            </w:pPr>
            <w:r/>
            <w:r>
              <w:rPr>
                <w:rFonts w:ascii="仿宋_GB2312" w:hAnsi="仿宋_GB2312" w:eastAsia="仿宋_GB2312"/>
                <w:b/>
                <w:sz w:val="24"/>
              </w:rPr>
              <w:t>整个存续期预期信用损失率(%)</w:t>
            </w:r>
          </w:p>
        </w:tc>
        <w:tc>
          <w:tcPr>
            <w:tcW w:type="dxa" w:w="1400"/>
            <w:tcBorders>
              <w:bottom w:val="single" w:sz="4" w:space="0" w:color="000000"/>
            </w:tcBorders>
          </w:tcPr>
          <w:p>
            <w:pPr>
              <w:jc w:val="center"/>
            </w:pPr>
            <w:r/>
            <w:r>
              <w:rPr>
                <w:rFonts w:ascii="仿宋_GB2312" w:hAnsi="仿宋_GB2312" w:eastAsia="仿宋_GB2312"/>
                <w:b/>
                <w:sz w:val="24"/>
              </w:rPr>
              <w:t>减值准备</w:t>
            </w:r>
          </w:p>
        </w:tc>
        <w:tc>
          <w:tcPr>
            <w:tcW w:type="dxa" w:w="1400"/>
            <w:tcBorders>
              <w:bottom w:val="single" w:sz="4" w:space="0" w:color="000000"/>
            </w:tcBorders>
          </w:tcPr>
          <w:p>
            <w:pPr>
              <w:jc w:val="center"/>
            </w:pPr>
            <w:r/>
            <w:r>
              <w:rPr>
                <w:rFonts w:ascii="仿宋_GB2312" w:hAnsi="仿宋_GB2312" w:eastAsia="仿宋_GB2312"/>
                <w:b/>
                <w:sz w:val="24"/>
              </w:rPr>
              <w:t>账面价值</w:t>
            </w:r>
          </w:p>
        </w:tc>
        <w:tc>
          <w:tcPr>
            <w:tcW w:type="dxa" w:w="1400"/>
            <w:tcBorders>
              <w:bottom w:val="single" w:sz="4" w:space="0" w:color="000000"/>
            </w:tcBorders>
          </w:tcPr>
          <w:p>
            <w:pPr>
              <w:jc w:val="center"/>
            </w:pPr>
            <w:r/>
            <w:r>
              <w:rPr>
                <w:rFonts w:ascii="仿宋_GB2312" w:hAnsi="仿宋_GB2312" w:eastAsia="仿宋_GB2312"/>
                <w:b/>
                <w:sz w:val="24"/>
              </w:rPr>
              <w:t>理由</w:t>
            </w:r>
          </w:p>
        </w:tc>
      </w:tr>
      <w:tr>
        <w:trPr>
          <w:trHeight w:val="397" w:hRule="exact"/>
          <w:cantSplit/>
        </w:trPr>
        <w:tc>
          <w:tcPr>
            <w:tcW w:type="dxa" w:w="1400"/>
          </w:tcPr>
          <w:p>
            <w:r/>
            <w:r>
              <w:rPr>
                <w:rFonts w:ascii="仿宋_GB2312" w:hAnsi="仿宋_GB2312" w:eastAsia="仿宋_GB2312"/>
                <w:b w:val="0"/>
                <w:sz w:val="24"/>
              </w:rPr>
              <w:t>按单项计提坏账准备</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其中：</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按组合计提坏账准备</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其中：</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合计</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减值准备</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减值准备</w:t>
            </w:r>
          </w:p>
        </w:tc>
        <w:tc>
          <w:tcPr>
            <w:tcW w:type="dxa" w:w="1680"/>
            <w:tcBorders>
              <w:bottom w:val="single" w:sz="4" w:space="0" w:color="000000"/>
            </w:tcBorders>
          </w:tcPr>
          <w:p>
            <w:pPr>
              <w:jc w:val="center"/>
            </w:pPr>
            <w:r/>
            <w:r>
              <w:rPr>
                <w:rFonts w:ascii="仿宋_GB2312" w:hAnsi="仿宋_GB2312" w:eastAsia="仿宋_GB2312"/>
                <w:b/>
                <w:sz w:val="24"/>
              </w:rPr>
              <w:t>第一阶段</w:t>
            </w:r>
          </w:p>
        </w:tc>
        <w:tc>
          <w:tcPr>
            <w:tcW w:type="dxa" w:w="1680"/>
            <w:tcBorders>
              <w:bottom w:val="single" w:sz="4" w:space="0" w:color="000000"/>
            </w:tcBorders>
          </w:tcPr>
          <w:p>
            <w:pPr>
              <w:jc w:val="center"/>
            </w:pPr>
            <w:r/>
            <w:r>
              <w:rPr>
                <w:rFonts w:ascii="仿宋_GB2312" w:hAnsi="仿宋_GB2312" w:eastAsia="仿宋_GB2312"/>
                <w:b/>
                <w:sz w:val="24"/>
              </w:rPr>
              <w:t>第二阶段</w:t>
            </w:r>
          </w:p>
        </w:tc>
        <w:tc>
          <w:tcPr>
            <w:tcW w:type="dxa" w:w="1680"/>
            <w:tcBorders>
              <w:bottom w:val="single" w:sz="4" w:space="0" w:color="000000"/>
            </w:tcBorders>
          </w:tcPr>
          <w:p>
            <w:pPr>
              <w:jc w:val="center"/>
            </w:pPr>
            <w:r/>
            <w:r>
              <w:rPr>
                <w:rFonts w:ascii="仿宋_GB2312" w:hAnsi="仿宋_GB2312" w:eastAsia="仿宋_GB2312"/>
                <w:b/>
                <w:sz w:val="24"/>
              </w:rPr>
              <w:t>第三阶段</w:t>
            </w:r>
          </w:p>
        </w:tc>
        <w:tc>
          <w:tcPr>
            <w:tcW w:type="dxa" w:w="1680"/>
            <w:tcBorders>
              <w:bottom w:val="single" w:sz="4" w:space="0" w:color="000000"/>
            </w:tcBorders>
          </w:tcPr>
          <w:p>
            <w:pPr>
              <w:jc w:val="center"/>
            </w:pPr>
            <w:r/>
            <w:r>
              <w:rPr>
                <w:rFonts w:ascii="仿宋_GB2312" w:hAnsi="仿宋_GB2312" w:eastAsia="仿宋_GB2312"/>
                <w:b/>
                <w:sz w:val="24"/>
              </w:rPr>
              <w:t>合计</w:t>
            </w:r>
          </w:p>
        </w:tc>
      </w:tr>
      <w:tr>
        <w:trPr>
          <w:trHeight w:val="397" w:hRule="exact"/>
          <w:cantSplit/>
        </w:trPr>
        <w:tc>
          <w:tcPr>
            <w:tcW w:type="dxa" w:w="1680"/>
          </w:tcPr>
          <w:p>
            <w:r/>
            <w:r>
              <w:rPr>
                <w:rFonts w:ascii="仿宋_GB2312" w:hAnsi="仿宋_GB2312" w:eastAsia="仿宋_GB2312"/>
                <w:b w:val="0"/>
                <w:sz w:val="24"/>
              </w:rPr>
              <w:t>减值准备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期初余额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期初余额在本期</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—转入第二阶段</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—转入第三阶段</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—转回第二阶段</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—转回第一阶段</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本期计提</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本期转回</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本期转销</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本期核销</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其他变动</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期末余额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32、其他债权投资</w:t>
      </w:r>
      <w:bookmarkStart w:id="87716" w:name="note_section_八、16"/>
      <w:bookmarkEnd w:id="87716"/>
    </w:p>
    <w:p>
      <w:pPr>
        <w:spacing w:before="0" w:after="240" w:line="240" w:lineRule="auto"/>
      </w:pPr>
      <w:r>
        <w:rPr>
          <w:rFonts w:ascii="仿宋_GB2312" w:hAnsi="仿宋_GB2312" w:eastAsia="仿宋_GB2312"/>
          <w:b w:val="0"/>
          <w:sz w:val="24"/>
        </w:rPr>
        <w:t>### 其他债权投资情况</w:t>
        <w:br/>
        <w:br/>
        <w:t>### 期末重要的其他债权投资</w:t>
        <w:br/>
        <w:br/>
        <w:t>### 减值准备计提情况</w:t>
        <w:br/>
        <w:br/>
        <w:t>参照“附注八、15、债权投资（3）减值准备计提情况”进行披露。</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其他债权投资项目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其他债权投资项目</w:t>
            </w:r>
          </w:p>
        </w:tc>
        <w:tc>
          <w:tcPr>
            <w:tcW w:type="dxa" w:w="1400"/>
            <w:tcBorders>
              <w:bottom w:val="single" w:sz="4" w:space="0" w:color="000000"/>
            </w:tcBorders>
          </w:tcPr>
          <w:p>
            <w:pPr>
              <w:jc w:val="center"/>
            </w:pPr>
            <w:r/>
            <w:r>
              <w:rPr>
                <w:rFonts w:ascii="仿宋_GB2312" w:hAnsi="仿宋_GB2312" w:eastAsia="仿宋_GB2312"/>
                <w:b/>
                <w:sz w:val="24"/>
              </w:rPr>
              <w:t>面值</w:t>
            </w:r>
          </w:p>
        </w:tc>
        <w:tc>
          <w:tcPr>
            <w:tcW w:type="dxa" w:w="1400"/>
            <w:tcBorders>
              <w:bottom w:val="single" w:sz="4" w:space="0" w:color="000000"/>
            </w:tcBorders>
          </w:tcPr>
          <w:p>
            <w:pPr>
              <w:jc w:val="center"/>
            </w:pPr>
            <w:r/>
            <w:r>
              <w:rPr>
                <w:rFonts w:ascii="仿宋_GB2312" w:hAnsi="仿宋_GB2312" w:eastAsia="仿宋_GB2312"/>
                <w:b/>
                <w:sz w:val="24"/>
              </w:rPr>
              <w:t>摊余成本</w:t>
            </w:r>
          </w:p>
        </w:tc>
        <w:tc>
          <w:tcPr>
            <w:tcW w:type="dxa" w:w="1400"/>
            <w:tcBorders>
              <w:bottom w:val="single" w:sz="4" w:space="0" w:color="000000"/>
            </w:tcBorders>
          </w:tcPr>
          <w:p>
            <w:pPr>
              <w:jc w:val="center"/>
            </w:pPr>
            <w:r/>
            <w:r>
              <w:rPr>
                <w:rFonts w:ascii="仿宋_GB2312" w:hAnsi="仿宋_GB2312" w:eastAsia="仿宋_GB2312"/>
                <w:b/>
                <w:sz w:val="24"/>
              </w:rPr>
              <w:t>公允价值</w:t>
            </w:r>
          </w:p>
        </w:tc>
        <w:tc>
          <w:tcPr>
            <w:tcW w:type="dxa" w:w="1400"/>
            <w:tcBorders>
              <w:bottom w:val="single" w:sz="4" w:space="0" w:color="000000"/>
            </w:tcBorders>
          </w:tcPr>
          <w:p>
            <w:pPr>
              <w:jc w:val="center"/>
            </w:pPr>
            <w:r/>
            <w:r>
              <w:rPr>
                <w:rFonts w:ascii="仿宋_GB2312" w:hAnsi="仿宋_GB2312" w:eastAsia="仿宋_GB2312"/>
                <w:b/>
                <w:sz w:val="24"/>
              </w:rPr>
              <w:t>累计计入其他综合收益的公允价值变动金额</w:t>
            </w:r>
          </w:p>
        </w:tc>
        <w:tc>
          <w:tcPr>
            <w:tcW w:type="dxa" w:w="1400"/>
            <w:tcBorders>
              <w:bottom w:val="single" w:sz="4" w:space="0" w:color="000000"/>
            </w:tcBorders>
          </w:tcPr>
          <w:p>
            <w:pPr>
              <w:jc w:val="center"/>
            </w:pPr>
            <w:r/>
            <w:r>
              <w:rPr>
                <w:rFonts w:ascii="仿宋_GB2312" w:hAnsi="仿宋_GB2312" w:eastAsia="仿宋_GB2312"/>
                <w:b/>
                <w:sz w:val="24"/>
              </w:rPr>
              <w:t>已计提减值准备金额</w:t>
            </w:r>
          </w:p>
        </w:tc>
      </w:tr>
      <w:tr>
        <w:trPr>
          <w:trHeight w:val="397" w:hRule="exact"/>
          <w:cantSplit/>
        </w:trPr>
        <w:tc>
          <w:tcPr>
            <w:tcW w:type="dxa" w:w="1400"/>
          </w:tcPr>
          <w:p>
            <w:r/>
            <w:r>
              <w:rPr>
                <w:rFonts w:ascii="仿宋_GB2312" w:hAnsi="仿宋_GB2312" w:eastAsia="仿宋_GB2312"/>
                <w:b w:val="0"/>
                <w:sz w:val="24"/>
              </w:rPr>
              <w:t>合计</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33、长期应收款</w:t>
      </w:r>
      <w:bookmarkStart w:id="24885" w:name="note_section_八、17"/>
      <w:bookmarkEnd w:id="24885"/>
    </w:p>
    <w:p>
      <w:pPr>
        <w:spacing w:before="0" w:after="240" w:line="240" w:lineRule="auto"/>
      </w:pPr>
      <w:r>
        <w:rPr>
          <w:rFonts w:ascii="仿宋_GB2312" w:hAnsi="仿宋_GB2312" w:eastAsia="仿宋_GB2312"/>
          <w:b w:val="0"/>
          <w:sz w:val="24"/>
        </w:rPr>
        <w:t>长期应收款按性质披露</w:t>
        <w:br/>
        <w:br/>
        <w:t>注：报告期内应披露：（1）因金融资产转移而终止确认的长期应收款，资产转移的方式、终止确认的长期应收款金额，以及与终止确认相关的利得或损失。（2）转移长期应收款且</w:t>
        <w:br/>
        <w:br/>
        <w:t>终止确认的长期应收款</w:t>
        <w:br/>
        <w:br/>
        <w:t>转移长期应收款且继续涉入形成的资产、负债的金额</w:t>
        <w:br/>
        <w:br/>
        <w:t>坏账准备计提情况</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项目</w:t>
            </w:r>
          </w:p>
        </w:tc>
        <w:tc>
          <w:tcPr>
            <w:tcW w:type="dxa" w:w="2100"/>
            <w:tcBorders>
              <w:bottom w:val="single" w:sz="4" w:space="0" w:color="000000"/>
            </w:tcBorders>
          </w:tcPr>
          <w:p>
            <w:pPr>
              <w:jc w:val="center"/>
            </w:pPr>
            <w:r/>
            <w:r>
              <w:rPr>
                <w:rFonts w:ascii="仿宋_GB2312" w:hAnsi="仿宋_GB2312" w:eastAsia="仿宋_GB2312"/>
                <w:b/>
                <w:sz w:val="24"/>
              </w:rPr>
              <w:t>期末余额</w:t>
            </w:r>
          </w:p>
        </w:tc>
        <w:tc>
          <w:tcPr>
            <w:tcW w:type="dxa" w:w="2100"/>
            <w:tcBorders>
              <w:bottom w:val="single" w:sz="4" w:space="0" w:color="000000"/>
            </w:tcBorders>
          </w:tcPr>
          <w:p>
            <w:pPr>
              <w:jc w:val="center"/>
            </w:pPr>
            <w:r/>
            <w:r>
              <w:rPr>
                <w:rFonts w:ascii="仿宋_GB2312" w:hAnsi="仿宋_GB2312" w:eastAsia="仿宋_GB2312"/>
                <w:b/>
                <w:sz w:val="24"/>
              </w:rPr>
              <w:t>期初余额</w:t>
            </w:r>
          </w:p>
        </w:tc>
        <w:tc>
          <w:tcPr>
            <w:tcW w:type="dxa" w:w="2100"/>
            <w:tcBorders>
              <w:bottom w:val="single" w:sz="4" w:space="0" w:color="000000"/>
            </w:tcBorders>
          </w:tcPr>
          <w:p>
            <w:pPr>
              <w:jc w:val="center"/>
            </w:pPr>
            <w:r/>
            <w:r>
              <w:rPr>
                <w:rFonts w:ascii="仿宋_GB2312" w:hAnsi="仿宋_GB2312" w:eastAsia="仿宋_GB2312"/>
                <w:b/>
                <w:sz w:val="24"/>
              </w:rPr>
              <w:t>期末折现率区间</w:t>
            </w:r>
          </w:p>
        </w:tc>
      </w:tr>
      <w:tr>
        <w:trPr>
          <w:trHeight w:val="397" w:hRule="exact"/>
          <w:cantSplit/>
        </w:trPr>
        <w:tc>
          <w:tcPr>
            <w:tcW w:type="dxa" w:w="2100"/>
          </w:tcPr>
          <w:p>
            <w:r/>
            <w:r>
              <w:rPr>
                <w:rFonts w:ascii="仿宋_GB2312" w:hAnsi="仿宋_GB2312" w:eastAsia="仿宋_GB2312"/>
                <w:b w:val="0"/>
                <w:sz w:val="24"/>
              </w:rPr>
              <w:t>项目</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融资租赁款</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其中：未实现融资收益</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分期收款销售商品</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分期收款提供劳务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其他</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小计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减：1年内到期的长期应收款</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项目</w:t>
            </w:r>
          </w:p>
        </w:tc>
        <w:tc>
          <w:tcPr>
            <w:tcW w:type="dxa" w:w="2100"/>
            <w:tcBorders>
              <w:bottom w:val="single" w:sz="4" w:space="0" w:color="000000"/>
            </w:tcBorders>
          </w:tcPr>
          <w:p>
            <w:pPr>
              <w:jc w:val="center"/>
            </w:pPr>
            <w:r/>
            <w:r>
              <w:rPr>
                <w:rFonts w:ascii="仿宋_GB2312" w:hAnsi="仿宋_GB2312" w:eastAsia="仿宋_GB2312"/>
                <w:b/>
                <w:sz w:val="24"/>
              </w:rPr>
              <w:t>转移方式</w:t>
            </w:r>
          </w:p>
        </w:tc>
        <w:tc>
          <w:tcPr>
            <w:tcW w:type="dxa" w:w="2100"/>
            <w:tcBorders>
              <w:bottom w:val="single" w:sz="4" w:space="0" w:color="000000"/>
            </w:tcBorders>
          </w:tcPr>
          <w:p>
            <w:pPr>
              <w:jc w:val="center"/>
            </w:pPr>
            <w:r/>
            <w:r>
              <w:rPr>
                <w:rFonts w:ascii="仿宋_GB2312" w:hAnsi="仿宋_GB2312" w:eastAsia="仿宋_GB2312"/>
                <w:b/>
                <w:sz w:val="24"/>
              </w:rPr>
              <w:t>终止确认金额</w:t>
            </w:r>
          </w:p>
        </w:tc>
        <w:tc>
          <w:tcPr>
            <w:tcW w:type="dxa" w:w="2100"/>
            <w:tcBorders>
              <w:bottom w:val="single" w:sz="4" w:space="0" w:color="000000"/>
            </w:tcBorders>
          </w:tcPr>
          <w:p>
            <w:pPr>
              <w:jc w:val="center"/>
            </w:pPr>
            <w:r/>
            <w:r>
              <w:rPr>
                <w:rFonts w:ascii="仿宋_GB2312" w:hAnsi="仿宋_GB2312" w:eastAsia="仿宋_GB2312"/>
                <w:b/>
                <w:sz w:val="24"/>
              </w:rPr>
              <w:t>与终止确认相关的&lt;br/&gt;利得或损失</w:t>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项目</w:t>
            </w:r>
          </w:p>
        </w:tc>
        <w:tc>
          <w:tcPr>
            <w:tcW w:type="dxa" w:w="4201"/>
            <w:tcBorders>
              <w:bottom w:val="single" w:sz="4" w:space="0" w:color="000000"/>
            </w:tcBorders>
          </w:tcPr>
          <w:p>
            <w:pPr>
              <w:jc w:val="center"/>
            </w:pPr>
            <w:r/>
            <w:r>
              <w:rPr>
                <w:rFonts w:ascii="仿宋_GB2312" w:hAnsi="仿宋_GB2312" w:eastAsia="仿宋_GB2312"/>
                <w:b/>
                <w:sz w:val="24"/>
              </w:rPr>
              <w:t>期末数</w:t>
            </w:r>
          </w:p>
        </w:tc>
      </w:tr>
      <w:tr>
        <w:trPr>
          <w:trHeight w:val="397" w:hRule="exact"/>
          <w:cantSplit/>
        </w:trPr>
        <w:tc>
          <w:tcPr>
            <w:tcW w:type="dxa" w:w="4201"/>
          </w:tcPr>
          <w:p>
            <w:r/>
            <w:r>
              <w:rPr>
                <w:rFonts w:ascii="仿宋_GB2312" w:hAnsi="仿宋_GB2312" w:eastAsia="仿宋_GB2312"/>
                <w:b w:val="0"/>
                <w:sz w:val="24"/>
              </w:rPr>
              <w:t>资产：</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资产小计</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负债：</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负债小计</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34、长期股权投资</w:t>
      </w:r>
      <w:bookmarkStart w:id="36645" w:name="note_section_八、18"/>
      <w:bookmarkEnd w:id="36645"/>
    </w:p>
    <w:p>
      <w:pPr>
        <w:spacing w:before="0" w:after="240" w:line="240" w:lineRule="auto"/>
      </w:pPr>
      <w:r>
        <w:rPr>
          <w:rFonts w:ascii="仿宋_GB2312" w:hAnsi="仿宋_GB2312" w:eastAsia="仿宋_GB2312"/>
          <w:b w:val="0"/>
          <w:sz w:val="24"/>
        </w:rPr>
        <w:t>长期股权投资分类</w:t>
        <w:br/>
        <w:br/>
        <w:t>长期股权投资明细</w:t>
        <w:br/>
        <w:br/>
        <w:t>（注：若对被投资单位持股比例与其在被投资单位表决权比例不一致，应说明原因。可索引至附注十一、3）</w:t>
        <w:br/>
        <w:br/>
        <w:t>重要合营企业的主要财务信息</w:t>
        <w:br/>
        <w:br/>
        <w:t>重要联营企业的主要财务信息</w:t>
        <w:br/>
        <w:br/>
        <w:t>不重要合营企业和联营企业的汇总信息</w:t>
        <w:br/>
        <w:br/>
        <w:t>在合营企业和联营企业中权益的相关风险</w:t>
        <w:br/>
        <w:br/>
        <w:t>未纳入合并财务报表范围的结构化主体的相关信息</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680"/>
          </w:tcPr>
          <w:p>
            <w:r/>
            <w:r>
              <w:rPr>
                <w:rFonts w:ascii="仿宋_GB2312" w:hAnsi="仿宋_GB2312" w:eastAsia="仿宋_GB2312"/>
                <w:b w:val="0"/>
                <w:sz w:val="24"/>
              </w:rPr>
              <w:t>对合营企业投资</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对联营企业投资</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小计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减：长期股权投资减值准备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被投资单位</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被投资单位</w:t>
            </w:r>
          </w:p>
        </w:tc>
        <w:tc>
          <w:tcPr>
            <w:tcW w:type="dxa" w:w="1400"/>
            <w:tcBorders>
              <w:bottom w:val="single" w:sz="4" w:space="0" w:color="000000"/>
            </w:tcBorders>
          </w:tcPr>
          <w:p>
            <w:pPr>
              <w:jc w:val="center"/>
            </w:pPr>
            <w:r/>
            <w:r>
              <w:rPr>
                <w:rFonts w:ascii="仿宋_GB2312" w:hAnsi="仿宋_GB2312" w:eastAsia="仿宋_GB2312"/>
                <w:b/>
                <w:sz w:val="24"/>
              </w:rPr>
              <w:t>投资成本</w:t>
            </w:r>
          </w:p>
        </w:tc>
        <w:tc>
          <w:tcPr>
            <w:tcW w:type="dxa" w:w="1400"/>
            <w:tcBorders>
              <w:bottom w:val="single" w:sz="4" w:space="0" w:color="000000"/>
            </w:tcBorders>
          </w:tcPr>
          <w:p>
            <w:pPr>
              <w:jc w:val="center"/>
            </w:pPr>
            <w:r/>
            <w:r>
              <w:rPr>
                <w:rFonts w:ascii="仿宋_GB2312" w:hAnsi="仿宋_GB2312" w:eastAsia="仿宋_GB2312"/>
                <w:b/>
                <w:sz w:val="24"/>
              </w:rPr>
              <w:t>期初余额</w:t>
            </w:r>
          </w:p>
        </w:tc>
        <w:tc>
          <w:tcPr>
            <w:tcW w:type="dxa" w:w="1400"/>
            <w:tcBorders>
              <w:bottom w:val="single" w:sz="4" w:space="0" w:color="000000"/>
            </w:tcBorders>
          </w:tcPr>
          <w:p>
            <w:pPr>
              <w:jc w:val="center"/>
            </w:pPr>
            <w:r/>
            <w:r>
              <w:rPr>
                <w:rFonts w:ascii="仿宋_GB2312" w:hAnsi="仿宋_GB2312" w:eastAsia="仿宋_GB2312"/>
                <w:b/>
                <w:sz w:val="24"/>
              </w:rPr>
              <w:t>本期增减变动</w:t>
            </w:r>
          </w:p>
        </w:tc>
        <w:tc>
          <w:tcPr>
            <w:tcW w:type="dxa" w:w="1400"/>
            <w:tcBorders>
              <w:bottom w:val="single" w:sz="4" w:space="0" w:color="000000"/>
            </w:tcBorders>
          </w:tcPr>
          <w:p>
            <w:pPr>
              <w:jc w:val="center"/>
            </w:pPr>
            <w:r/>
            <w:r>
              <w:rPr>
                <w:rFonts w:ascii="仿宋_GB2312" w:hAnsi="仿宋_GB2312" w:eastAsia="仿宋_GB2312"/>
                <w:b/>
                <w:sz w:val="24"/>
              </w:rPr>
              <w:t>期末余额</w:t>
            </w:r>
          </w:p>
        </w:tc>
        <w:tc>
          <w:tcPr>
            <w:tcW w:type="dxa" w:w="1400"/>
            <w:tcBorders>
              <w:bottom w:val="single" w:sz="4" w:space="0" w:color="000000"/>
            </w:tcBorders>
          </w:tcPr>
          <w:p>
            <w:pPr>
              <w:jc w:val="center"/>
            </w:pPr>
            <w:r/>
            <w:r>
              <w:rPr>
                <w:rFonts w:ascii="仿宋_GB2312" w:hAnsi="仿宋_GB2312" w:eastAsia="仿宋_GB2312"/>
                <w:b/>
                <w:sz w:val="24"/>
              </w:rPr>
              <w:t>减值准备期末余额</w:t>
            </w:r>
          </w:p>
        </w:tc>
      </w:tr>
      <w:tr>
        <w:trPr>
          <w:trHeight w:val="397" w:hRule="exact"/>
          <w:cantSplit/>
        </w:trPr>
        <w:tc>
          <w:tcPr>
            <w:tcW w:type="dxa" w:w="1400"/>
          </w:tcPr>
          <w:p>
            <w:r/>
            <w:r>
              <w:rPr>
                <w:rFonts w:ascii="仿宋_GB2312" w:hAnsi="仿宋_GB2312" w:eastAsia="仿宋_GB2312"/>
                <w:b w:val="0"/>
                <w:sz w:val="24"/>
              </w:rPr>
              <w:t>被投资单位</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一、合营企业</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二、联营企业</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合计</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项目</w:t>
            </w:r>
          </w:p>
        </w:tc>
        <w:tc>
          <w:tcPr>
            <w:tcW w:type="dxa" w:w="2100"/>
            <w:tcBorders>
              <w:bottom w:val="single" w:sz="4" w:space="0" w:color="000000"/>
            </w:tcBorders>
          </w:tcPr>
          <w:p>
            <w:pPr>
              <w:jc w:val="center"/>
            </w:pPr>
            <w:r/>
            <w:r>
              <w:rPr>
                <w:rFonts w:ascii="仿宋_GB2312" w:hAnsi="仿宋_GB2312" w:eastAsia="仿宋_GB2312"/>
                <w:b/>
                <w:sz w:val="24"/>
              </w:rPr>
              <w:t>（A公司）</w:t>
            </w:r>
          </w:p>
        </w:tc>
        <w:tc>
          <w:tcPr>
            <w:tcW w:type="dxa" w:w="2100"/>
            <w:tcBorders>
              <w:bottom w:val="single" w:sz="4" w:space="0" w:color="000000"/>
            </w:tcBorders>
          </w:tcPr>
          <w:p>
            <w:pPr>
              <w:jc w:val="center"/>
            </w:pPr>
            <w:r/>
            <w:r>
              <w:rPr>
                <w:rFonts w:ascii="仿宋_GB2312" w:hAnsi="仿宋_GB2312" w:eastAsia="仿宋_GB2312"/>
                <w:b/>
                <w:sz w:val="24"/>
              </w:rPr>
              <w:t>（B公司）</w:t>
            </w:r>
          </w:p>
        </w:tc>
        <w:tc>
          <w:tcPr>
            <w:tcW w:type="dxa" w:w="2100"/>
            <w:tcBorders>
              <w:bottom w:val="single" w:sz="4" w:space="0" w:color="000000"/>
            </w:tcBorders>
          </w:tcPr>
          <w:p>
            <w:pPr>
              <w:jc w:val="center"/>
            </w:pPr>
            <w:r/>
            <w:r>
              <w:rPr>
                <w:rFonts w:ascii="仿宋_GB2312" w:hAnsi="仿宋_GB2312" w:eastAsia="仿宋_GB2312"/>
                <w:b/>
                <w:sz w:val="24"/>
              </w:rPr>
              <w:t>（C公司）</w:t>
            </w:r>
          </w:p>
        </w:tc>
      </w:tr>
      <w:tr>
        <w:trPr>
          <w:trHeight w:val="397" w:hRule="exact"/>
          <w:cantSplit/>
        </w:trPr>
        <w:tc>
          <w:tcPr>
            <w:tcW w:type="dxa" w:w="2100"/>
          </w:tcPr>
          <w:p>
            <w:r/>
            <w:r>
              <w:rPr>
                <w:rFonts w:ascii="仿宋_GB2312" w:hAnsi="仿宋_GB2312" w:eastAsia="仿宋_GB2312"/>
                <w:b w:val="0"/>
                <w:sz w:val="24"/>
              </w:rPr>
              <w:t>项目</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流动资产</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非流动资产</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资产合计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流动负债</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非流动负债</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负债合计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净资产</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按持股比例计算的净资产份额</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调整事项</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对合营企业权益投资的账面价值</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存在公开报价的权益投资的公允价值</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项目</w:t>
            </w:r>
          </w:p>
        </w:tc>
        <w:tc>
          <w:tcPr>
            <w:tcW w:type="dxa" w:w="2100"/>
            <w:tcBorders>
              <w:bottom w:val="single" w:sz="4" w:space="0" w:color="000000"/>
            </w:tcBorders>
          </w:tcPr>
          <w:p>
            <w:pPr>
              <w:jc w:val="center"/>
            </w:pPr>
            <w:r/>
            <w:r>
              <w:rPr>
                <w:rFonts w:ascii="仿宋_GB2312" w:hAnsi="仿宋_GB2312" w:eastAsia="仿宋_GB2312"/>
                <w:b/>
                <w:sz w:val="24"/>
              </w:rPr>
              <w:t>（A公司）</w:t>
            </w:r>
          </w:p>
        </w:tc>
        <w:tc>
          <w:tcPr>
            <w:tcW w:type="dxa" w:w="2100"/>
            <w:tcBorders>
              <w:bottom w:val="single" w:sz="4" w:space="0" w:color="000000"/>
            </w:tcBorders>
          </w:tcPr>
          <w:p>
            <w:pPr>
              <w:jc w:val="center"/>
            </w:pPr>
            <w:r/>
            <w:r>
              <w:rPr>
                <w:rFonts w:ascii="仿宋_GB2312" w:hAnsi="仿宋_GB2312" w:eastAsia="仿宋_GB2312"/>
                <w:b/>
                <w:sz w:val="24"/>
              </w:rPr>
              <w:t>（B公司）</w:t>
            </w:r>
          </w:p>
        </w:tc>
        <w:tc>
          <w:tcPr>
            <w:tcW w:type="dxa" w:w="2100"/>
            <w:tcBorders>
              <w:bottom w:val="single" w:sz="4" w:space="0" w:color="000000"/>
            </w:tcBorders>
          </w:tcPr>
          <w:p>
            <w:pPr>
              <w:jc w:val="center"/>
            </w:pPr>
            <w:r/>
            <w:r>
              <w:rPr>
                <w:rFonts w:ascii="仿宋_GB2312" w:hAnsi="仿宋_GB2312" w:eastAsia="仿宋_GB2312"/>
                <w:b/>
                <w:sz w:val="24"/>
              </w:rPr>
              <w:t>（C公司）</w:t>
            </w:r>
          </w:p>
        </w:tc>
      </w:tr>
      <w:tr>
        <w:trPr>
          <w:trHeight w:val="397" w:hRule="exact"/>
          <w:cantSplit/>
        </w:trPr>
        <w:tc>
          <w:tcPr>
            <w:tcW w:type="dxa" w:w="2100"/>
          </w:tcPr>
          <w:p>
            <w:r/>
            <w:r>
              <w:rPr>
                <w:rFonts w:ascii="仿宋_GB2312" w:hAnsi="仿宋_GB2312" w:eastAsia="仿宋_GB2312"/>
                <w:b w:val="0"/>
                <w:sz w:val="24"/>
              </w:rPr>
              <w:t>项目</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营业收入</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财务费用</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所得税费用</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净利润</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其他综合收益</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综合收益总额</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企业本期收到的来自合营企业的股利</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项目</w:t>
            </w:r>
          </w:p>
        </w:tc>
        <w:tc>
          <w:tcPr>
            <w:tcW w:type="dxa" w:w="2100"/>
            <w:tcBorders>
              <w:bottom w:val="single" w:sz="4" w:space="0" w:color="000000"/>
            </w:tcBorders>
          </w:tcPr>
          <w:p>
            <w:pPr>
              <w:jc w:val="center"/>
            </w:pPr>
            <w:r/>
            <w:r>
              <w:rPr>
                <w:rFonts w:ascii="仿宋_GB2312" w:hAnsi="仿宋_GB2312" w:eastAsia="仿宋_GB2312"/>
                <w:b/>
                <w:sz w:val="24"/>
              </w:rPr>
              <w:t>（A公司）</w:t>
            </w:r>
          </w:p>
        </w:tc>
        <w:tc>
          <w:tcPr>
            <w:tcW w:type="dxa" w:w="2100"/>
            <w:tcBorders>
              <w:bottom w:val="single" w:sz="4" w:space="0" w:color="000000"/>
            </w:tcBorders>
          </w:tcPr>
          <w:p>
            <w:pPr>
              <w:jc w:val="center"/>
            </w:pPr>
            <w:r/>
            <w:r>
              <w:rPr>
                <w:rFonts w:ascii="仿宋_GB2312" w:hAnsi="仿宋_GB2312" w:eastAsia="仿宋_GB2312"/>
                <w:b/>
                <w:sz w:val="24"/>
              </w:rPr>
              <w:t>（B公司）</w:t>
            </w:r>
          </w:p>
        </w:tc>
        <w:tc>
          <w:tcPr>
            <w:tcW w:type="dxa" w:w="2100"/>
            <w:tcBorders>
              <w:bottom w:val="single" w:sz="4" w:space="0" w:color="000000"/>
            </w:tcBorders>
          </w:tcPr>
          <w:p>
            <w:pPr>
              <w:jc w:val="center"/>
            </w:pPr>
            <w:r/>
            <w:r>
              <w:rPr>
                <w:rFonts w:ascii="仿宋_GB2312" w:hAnsi="仿宋_GB2312" w:eastAsia="仿宋_GB2312"/>
                <w:b/>
                <w:sz w:val="24"/>
              </w:rPr>
              <w:t>（C公司）</w:t>
            </w:r>
          </w:p>
        </w:tc>
      </w:tr>
      <w:tr>
        <w:trPr>
          <w:trHeight w:val="397" w:hRule="exact"/>
          <w:cantSplit/>
        </w:trPr>
        <w:tc>
          <w:tcPr>
            <w:tcW w:type="dxa" w:w="2100"/>
          </w:tcPr>
          <w:p>
            <w:r/>
            <w:r>
              <w:rPr>
                <w:rFonts w:ascii="仿宋_GB2312" w:hAnsi="仿宋_GB2312" w:eastAsia="仿宋_GB2312"/>
                <w:b w:val="0"/>
                <w:sz w:val="24"/>
              </w:rPr>
              <w:t>项目</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流动资产</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非流动资产</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资产合计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流动负债</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非流动负债</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负债合计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净资产</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按持股比例计算的净资产份额</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调整事项</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对联营企业权益投资的账面价值</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存在公开报价的权益投资的公允价值</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项目</w:t>
            </w:r>
          </w:p>
        </w:tc>
        <w:tc>
          <w:tcPr>
            <w:tcW w:type="dxa" w:w="2100"/>
            <w:tcBorders>
              <w:bottom w:val="single" w:sz="4" w:space="0" w:color="000000"/>
            </w:tcBorders>
          </w:tcPr>
          <w:p>
            <w:pPr>
              <w:jc w:val="center"/>
            </w:pPr>
            <w:r/>
            <w:r>
              <w:rPr>
                <w:rFonts w:ascii="仿宋_GB2312" w:hAnsi="仿宋_GB2312" w:eastAsia="仿宋_GB2312"/>
                <w:b/>
                <w:sz w:val="24"/>
              </w:rPr>
              <w:t>（A公司）</w:t>
            </w:r>
          </w:p>
        </w:tc>
        <w:tc>
          <w:tcPr>
            <w:tcW w:type="dxa" w:w="2100"/>
            <w:tcBorders>
              <w:bottom w:val="single" w:sz="4" w:space="0" w:color="000000"/>
            </w:tcBorders>
          </w:tcPr>
          <w:p>
            <w:pPr>
              <w:jc w:val="center"/>
            </w:pPr>
            <w:r/>
            <w:r>
              <w:rPr>
                <w:rFonts w:ascii="仿宋_GB2312" w:hAnsi="仿宋_GB2312" w:eastAsia="仿宋_GB2312"/>
                <w:b/>
                <w:sz w:val="24"/>
              </w:rPr>
              <w:t>（B公司）</w:t>
            </w:r>
          </w:p>
        </w:tc>
        <w:tc>
          <w:tcPr>
            <w:tcW w:type="dxa" w:w="2100"/>
            <w:tcBorders>
              <w:bottom w:val="single" w:sz="4" w:space="0" w:color="000000"/>
            </w:tcBorders>
          </w:tcPr>
          <w:p>
            <w:pPr>
              <w:jc w:val="center"/>
            </w:pPr>
            <w:r/>
            <w:r>
              <w:rPr>
                <w:rFonts w:ascii="仿宋_GB2312" w:hAnsi="仿宋_GB2312" w:eastAsia="仿宋_GB2312"/>
                <w:b/>
                <w:sz w:val="24"/>
              </w:rPr>
              <w:t>（C公司）</w:t>
            </w:r>
          </w:p>
        </w:tc>
      </w:tr>
      <w:tr>
        <w:trPr>
          <w:trHeight w:val="397" w:hRule="exact"/>
          <w:cantSplit/>
        </w:trPr>
        <w:tc>
          <w:tcPr>
            <w:tcW w:type="dxa" w:w="2100"/>
          </w:tcPr>
          <w:p>
            <w:r/>
            <w:r>
              <w:rPr>
                <w:rFonts w:ascii="仿宋_GB2312" w:hAnsi="仿宋_GB2312" w:eastAsia="仿宋_GB2312"/>
                <w:b w:val="0"/>
                <w:sz w:val="24"/>
              </w:rPr>
              <w:t>项目</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营业收入</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净利润</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其他综合收益</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综合收益总额</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企业本期收到的来自联营企业的股利</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本期数</w:t>
            </w:r>
          </w:p>
        </w:tc>
        <w:tc>
          <w:tcPr>
            <w:tcW w:type="dxa" w:w="2801"/>
            <w:tcBorders>
              <w:bottom w:val="single" w:sz="4" w:space="0" w:color="000000"/>
            </w:tcBorders>
          </w:tcPr>
          <w:p>
            <w:pPr>
              <w:jc w:val="center"/>
            </w:pPr>
            <w:r/>
            <w:r>
              <w:rPr>
                <w:rFonts w:ascii="仿宋_GB2312" w:hAnsi="仿宋_GB2312" w:eastAsia="仿宋_GB2312"/>
                <w:b/>
                <w:sz w:val="24"/>
              </w:rPr>
              <w:t>上期数</w:t>
            </w:r>
          </w:p>
        </w:tc>
      </w:tr>
      <w:tr>
        <w:trPr>
          <w:trHeight w:val="397" w:hRule="exact"/>
          <w:cantSplit/>
        </w:trPr>
        <w:tc>
          <w:tcPr>
            <w:tcW w:type="dxa" w:w="2801"/>
          </w:tcPr>
          <w:p>
            <w:r/>
            <w:r>
              <w:rPr>
                <w:rFonts w:ascii="仿宋_GB2312" w:hAnsi="仿宋_GB2312" w:eastAsia="仿宋_GB2312"/>
                <w:b w:val="0"/>
                <w:sz w:val="24"/>
              </w:rPr>
              <w:t>合营企业：</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投资账面价值合计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下列各项按持股比例计算的合计数</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净利润</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其他综合收益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综合收益总额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联营企业：</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投资账面价值合计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下列各项按持股比例计算的合计数</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净利润</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其他综合收益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综合收益总额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被投资单位名称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被投资单位名称</w:t>
            </w:r>
          </w:p>
        </w:tc>
        <w:tc>
          <w:tcPr>
            <w:tcW w:type="dxa" w:w="2100"/>
            <w:tcBorders>
              <w:bottom w:val="single" w:sz="4" w:space="0" w:color="000000"/>
            </w:tcBorders>
          </w:tcPr>
          <w:p>
            <w:pPr>
              <w:jc w:val="center"/>
            </w:pPr>
            <w:r/>
            <w:r>
              <w:rPr>
                <w:rFonts w:ascii="仿宋_GB2312" w:hAnsi="仿宋_GB2312" w:eastAsia="仿宋_GB2312"/>
                <w:b/>
                <w:sz w:val="24"/>
              </w:rPr>
              <w:t>前期累积未确认的损失份额</w:t>
            </w:r>
          </w:p>
        </w:tc>
        <w:tc>
          <w:tcPr>
            <w:tcW w:type="dxa" w:w="2100"/>
            <w:tcBorders>
              <w:bottom w:val="single" w:sz="4" w:space="0" w:color="000000"/>
            </w:tcBorders>
          </w:tcPr>
          <w:p>
            <w:pPr>
              <w:jc w:val="center"/>
            </w:pPr>
            <w:r/>
            <w:r>
              <w:rPr>
                <w:rFonts w:ascii="仿宋_GB2312" w:hAnsi="仿宋_GB2312" w:eastAsia="仿宋_GB2312"/>
                <w:b/>
                <w:sz w:val="24"/>
              </w:rPr>
              <w:t>本期未确认的损失份额（或本期实现净利润的分享额）</w:t>
            </w:r>
          </w:p>
        </w:tc>
        <w:tc>
          <w:tcPr>
            <w:tcW w:type="dxa" w:w="2100"/>
            <w:tcBorders>
              <w:bottom w:val="single" w:sz="4" w:space="0" w:color="000000"/>
            </w:tcBorders>
          </w:tcPr>
          <w:p>
            <w:pPr>
              <w:jc w:val="center"/>
            </w:pPr>
            <w:r/>
            <w:r>
              <w:rPr>
                <w:rFonts w:ascii="仿宋_GB2312" w:hAnsi="仿宋_GB2312" w:eastAsia="仿宋_GB2312"/>
                <w:b/>
                <w:sz w:val="24"/>
              </w:rPr>
              <w:t>本期末累积未确认的损失份额</w:t>
            </w:r>
          </w:p>
        </w:tc>
      </w:tr>
      <w:tr>
        <w:trPr>
          <w:trHeight w:val="397" w:hRule="exact"/>
          <w:cantSplit/>
        </w:trPr>
        <w:tc>
          <w:tcPr>
            <w:tcW w:type="dxa" w:w="2100"/>
          </w:tcPr>
          <w:p>
            <w:r/>
            <w:r>
              <w:rPr>
                <w:rFonts w:ascii="仿宋_GB2312" w:hAnsi="仿宋_GB2312" w:eastAsia="仿宋_GB2312"/>
                <w:b w:val="0"/>
                <w:sz w:val="24"/>
              </w:rPr>
              <w:t>合营企业</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小计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联营企业</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小计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发起&lt;br/&gt;规模</w:t>
            </w:r>
          </w:p>
        </w:tc>
        <w:tc>
          <w:tcPr>
            <w:tcW w:type="dxa" w:w="1680"/>
            <w:tcBorders>
              <w:bottom w:val="single" w:sz="4" w:space="0" w:color="000000"/>
            </w:tcBorders>
          </w:tcPr>
          <w:p>
            <w:pPr>
              <w:jc w:val="center"/>
            </w:pPr>
            <w:r/>
            <w:r>
              <w:rPr>
                <w:rFonts w:ascii="仿宋_GB2312" w:hAnsi="仿宋_GB2312" w:eastAsia="仿宋_GB2312"/>
                <w:b/>
                <w:sz w:val="24"/>
              </w:rPr>
              <w:t>期末数</w:t>
            </w:r>
          </w:p>
        </w:tc>
        <w:tc>
          <w:tcPr>
            <w:tcW w:type="dxa" w:w="1680"/>
            <w:tcBorders>
              <w:bottom w:val="single" w:sz="4" w:space="0" w:color="000000"/>
            </w:tcBorders>
          </w:tcPr>
          <w:p>
            <w:pPr>
              <w:jc w:val="center"/>
            </w:pPr>
            <w:r/>
            <w:r>
              <w:rPr>
                <w:rFonts w:ascii="仿宋_GB2312" w:hAnsi="仿宋_GB2312" w:eastAsia="仿宋_GB2312"/>
                <w:b/>
                <w:sz w:val="24"/>
              </w:rPr>
              <w:t>期初数</w:t>
            </w:r>
          </w:p>
        </w:tc>
        <w:tc>
          <w:tcPr>
            <w:tcW w:type="dxa" w:w="1680"/>
            <w:tcBorders>
              <w:bottom w:val="single" w:sz="4" w:space="0" w:color="000000"/>
            </w:tcBorders>
          </w:tcPr>
          <w:p>
            <w:pPr>
              <w:jc w:val="center"/>
            </w:pPr>
            <w:r/>
            <w:r>
              <w:rPr>
                <w:rFonts w:ascii="仿宋_GB2312" w:hAnsi="仿宋_GB2312" w:eastAsia="仿宋_GB2312"/>
                <w:b/>
                <w:sz w:val="24"/>
              </w:rPr>
              <w:t>列报项目</w:t>
            </w:r>
          </w:p>
        </w:tc>
      </w:tr>
      <w:tr>
        <w:trPr>
          <w:trHeight w:val="397" w:hRule="exact"/>
          <w:cantSplit/>
        </w:trPr>
        <w:tc>
          <w:tcPr>
            <w:tcW w:type="dxa" w:w="1680"/>
          </w:tcPr>
          <w:p>
            <w:r/>
            <w:r>
              <w:rPr>
                <w:rFonts w:ascii="仿宋_GB2312" w:hAnsi="仿宋_GB2312" w:eastAsia="仿宋_GB2312"/>
                <w:b w:val="0"/>
                <w:sz w:val="24"/>
              </w:rPr>
              <w:t>项目</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优先级债券</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次级债券</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信用违约互换（负债）</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结构化主体&lt;br/&gt;类型</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结构化主体&lt;br/&gt;类型</w:t>
            </w:r>
          </w:p>
        </w:tc>
        <w:tc>
          <w:tcPr>
            <w:tcW w:type="dxa" w:w="2801"/>
            <w:tcBorders>
              <w:bottom w:val="single" w:sz="4" w:space="0" w:color="000000"/>
            </w:tcBorders>
          </w:tcPr>
          <w:p>
            <w:pPr>
              <w:jc w:val="center"/>
            </w:pPr>
            <w:r/>
            <w:r>
              <w:rPr>
                <w:rFonts w:ascii="仿宋_GB2312" w:hAnsi="仿宋_GB2312" w:eastAsia="仿宋_GB2312"/>
                <w:b/>
                <w:sz w:val="24"/>
              </w:rPr>
              <w:t>当期从结构化主体获得的收益</w:t>
            </w:r>
          </w:p>
        </w:tc>
        <w:tc>
          <w:tcPr>
            <w:tcW w:type="dxa" w:w="2801"/>
            <w:tcBorders>
              <w:bottom w:val="single" w:sz="4" w:space="0" w:color="000000"/>
            </w:tcBorders>
          </w:tcPr>
          <w:p>
            <w:pPr>
              <w:jc w:val="center"/>
            </w:pPr>
            <w:r/>
            <w:r>
              <w:rPr>
                <w:rFonts w:ascii="仿宋_GB2312" w:hAnsi="仿宋_GB2312" w:eastAsia="仿宋_GB2312"/>
                <w:b/>
                <w:sz w:val="24"/>
              </w:rPr>
              <w:t>当期向结构化主体转移资产账面价值</w:t>
            </w:r>
          </w:p>
        </w:tc>
      </w:tr>
      <w:tr>
        <w:trPr>
          <w:trHeight w:val="397" w:hRule="exact"/>
          <w:cantSplit/>
        </w:trPr>
        <w:tc>
          <w:tcPr>
            <w:tcW w:type="dxa" w:w="2801"/>
          </w:tcPr>
          <w:p>
            <w:r/>
            <w:r>
              <w:rPr>
                <w:rFonts w:ascii="仿宋_GB2312" w:hAnsi="仿宋_GB2312" w:eastAsia="仿宋_GB2312"/>
                <w:b w:val="0"/>
                <w:sz w:val="24"/>
              </w:rPr>
              <w:t>结构化主体&lt;br/&gt;类型</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信用资产证券化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投资基金</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35、其他权益工具投资</w:t>
      </w:r>
      <w:bookmarkStart w:id="65557" w:name="note_section_八、19"/>
      <w:bookmarkEnd w:id="65557"/>
    </w:p>
    <w:p>
      <w:pPr>
        <w:spacing w:before="0" w:after="240" w:line="240" w:lineRule="auto"/>
      </w:pPr>
      <w:r>
        <w:rPr>
          <w:rFonts w:ascii="仿宋_GB2312" w:hAnsi="仿宋_GB2312" w:eastAsia="仿宋_GB2312"/>
          <w:b w:val="0"/>
          <w:sz w:val="24"/>
        </w:rPr>
        <w:t>其他权益工具投资情况</w:t>
        <w:br/>
        <w:br/>
        <w:t>[披露企业将上述各项目指定为以公允价值计量且其变动计入其他综合收益的原因。例如： 由于[项目名称1]是本公司出于战略目的而计划长期持有的投资，因此本公司将其指定</w:t>
        <w:br/>
        <w:br/>
        <w:t>期末其他权益工具投资情况</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项目名称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项目名称</w:t>
            </w:r>
          </w:p>
        </w:tc>
        <w:tc>
          <w:tcPr>
            <w:tcW w:type="dxa" w:w="1400"/>
            <w:tcBorders>
              <w:bottom w:val="single" w:sz="4" w:space="0" w:color="000000"/>
            </w:tcBorders>
          </w:tcPr>
          <w:p>
            <w:pPr>
              <w:jc w:val="center"/>
            </w:pPr>
            <w:r/>
            <w:r>
              <w:rPr>
                <w:rFonts w:ascii="仿宋_GB2312" w:hAnsi="仿宋_GB2312" w:eastAsia="仿宋_GB2312"/>
                <w:b/>
                <w:sz w:val="24"/>
              </w:rPr>
              <w:t>本期确认的股利收入</w:t>
            </w:r>
          </w:p>
        </w:tc>
        <w:tc>
          <w:tcPr>
            <w:tcW w:type="dxa" w:w="1400"/>
            <w:tcBorders>
              <w:bottom w:val="single" w:sz="4" w:space="0" w:color="000000"/>
            </w:tcBorders>
          </w:tcPr>
          <w:p>
            <w:pPr>
              <w:jc w:val="center"/>
            </w:pPr>
            <w:r/>
            <w:r>
              <w:rPr>
                <w:rFonts w:ascii="仿宋_GB2312" w:hAnsi="仿宋_GB2312" w:eastAsia="仿宋_GB2312"/>
                <w:b/>
                <w:sz w:val="24"/>
              </w:rPr>
              <w:t>本期计入其他综合收益的利得或损失</w:t>
            </w:r>
          </w:p>
        </w:tc>
        <w:tc>
          <w:tcPr>
            <w:tcW w:type="dxa" w:w="1400"/>
            <w:tcBorders>
              <w:bottom w:val="single" w:sz="4" w:space="0" w:color="000000"/>
            </w:tcBorders>
          </w:tcPr>
          <w:p>
            <w:pPr>
              <w:jc w:val="center"/>
            </w:pPr>
            <w:r/>
            <w:r>
              <w:rPr>
                <w:rFonts w:ascii="仿宋_GB2312" w:hAnsi="仿宋_GB2312" w:eastAsia="仿宋_GB2312"/>
                <w:b/>
                <w:sz w:val="24"/>
              </w:rPr>
              <w:t>截至期末累计计入其他综合收益的利得或损失</w:t>
            </w:r>
          </w:p>
        </w:tc>
        <w:tc>
          <w:tcPr>
            <w:tcW w:type="dxa" w:w="1400"/>
            <w:tcBorders>
              <w:bottom w:val="single" w:sz="4" w:space="0" w:color="000000"/>
            </w:tcBorders>
          </w:tcPr>
          <w:p>
            <w:pPr>
              <w:jc w:val="center"/>
            </w:pPr>
            <w:r/>
            <w:r>
              <w:rPr>
                <w:rFonts w:ascii="仿宋_GB2312" w:hAnsi="仿宋_GB2312" w:eastAsia="仿宋_GB2312"/>
                <w:b/>
                <w:sz w:val="24"/>
              </w:rPr>
              <w:t>其他综合收益转入留存收益的金额</w:t>
            </w:r>
          </w:p>
        </w:tc>
        <w:tc>
          <w:tcPr>
            <w:tcW w:type="dxa" w:w="1400"/>
            <w:tcBorders>
              <w:bottom w:val="single" w:sz="4" w:space="0" w:color="000000"/>
            </w:tcBorders>
          </w:tcPr>
          <w:p>
            <w:pPr>
              <w:jc w:val="center"/>
            </w:pPr>
            <w:r/>
            <w:r>
              <w:rPr>
                <w:rFonts w:ascii="仿宋_GB2312" w:hAnsi="仿宋_GB2312" w:eastAsia="仿宋_GB2312"/>
                <w:b/>
                <w:sz w:val="24"/>
              </w:rPr>
              <w:t>其他综合收益转入留存收益的原因</w:t>
            </w:r>
          </w:p>
        </w:tc>
      </w:tr>
      <w:tr>
        <w:trPr>
          <w:trHeight w:val="397" w:hRule="exact"/>
          <w:cantSplit/>
        </w:trPr>
        <w:tc>
          <w:tcPr>
            <w:tcW w:type="dxa" w:w="1400"/>
          </w:tcPr>
          <w:p>
            <w:r/>
            <w:r>
              <w:rPr>
                <w:rFonts w:ascii="仿宋_GB2312" w:hAnsi="仿宋_GB2312" w:eastAsia="仿宋_GB2312"/>
                <w:b w:val="0"/>
                <w:sz w:val="24"/>
              </w:rPr>
              <w:t>合计</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36、交易性金融资产</w:t>
      </w:r>
      <w:bookmarkStart w:id="72414" w:name="note_section_八、2"/>
      <w:bookmarkEnd w:id="72414"/>
    </w:p>
    <w:p>
      <w:pPr>
        <w:spacing w:before="0" w:after="240" w:line="240" w:lineRule="auto"/>
      </w:pPr>
      <w:r>
        <w:rPr>
          <w:rFonts w:ascii="仿宋_GB2312" w:hAnsi="仿宋_GB2312" w:eastAsia="仿宋_GB2312"/>
          <w:b w:val="0"/>
          <w:sz w:val="24"/>
        </w:rPr>
        <w:t>（注：应披露公允价值确认依据。）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期末公允价值</w:t>
            </w:r>
          </w:p>
        </w:tc>
        <w:tc>
          <w:tcPr>
            <w:tcW w:type="dxa" w:w="2801"/>
            <w:tcBorders>
              <w:bottom w:val="single" w:sz="4" w:space="0" w:color="000000"/>
            </w:tcBorders>
          </w:tcPr>
          <w:p>
            <w:pPr>
              <w:jc w:val="center"/>
            </w:pPr>
            <w:r/>
            <w:r>
              <w:rPr>
                <w:rFonts w:ascii="仿宋_GB2312" w:hAnsi="仿宋_GB2312" w:eastAsia="仿宋_GB2312"/>
                <w:b/>
                <w:sz w:val="24"/>
              </w:rPr>
              <w:t>期初公允价值</w:t>
            </w:r>
          </w:p>
        </w:tc>
      </w:tr>
      <w:tr>
        <w:trPr>
          <w:trHeight w:val="397" w:hRule="exact"/>
          <w:cantSplit/>
        </w:trPr>
        <w:tc>
          <w:tcPr>
            <w:tcW w:type="dxa" w:w="2801"/>
          </w:tcPr>
          <w:p>
            <w:r/>
            <w:r>
              <w:rPr>
                <w:rFonts w:ascii="仿宋_GB2312" w:hAnsi="仿宋_GB2312" w:eastAsia="仿宋_GB2312"/>
                <w:b w:val="0"/>
                <w:sz w:val="24"/>
              </w:rPr>
              <w:t>分类以公允价值计量且其变动计入当期损益的金融资产</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其中：债务工具投资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权益工具投资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指定为以公允价值计量且其变动计入当期损益的金融资产</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其中：债务工具投资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37、其他非流动金融资产</w:t>
      </w:r>
      <w:bookmarkStart w:id="94766" w:name="note_section_八、20"/>
      <w:bookmarkEnd w:id="94766"/>
    </w:p>
    <w:p>
      <w:pPr>
        <w:spacing w:before="0" w:after="240" w:line="240" w:lineRule="auto"/>
      </w:pPr>
      <w:r>
        <w:rPr>
          <w:rFonts w:ascii="仿宋_GB2312" w:hAnsi="仿宋_GB2312" w:eastAsia="仿宋_GB2312"/>
          <w:b w:val="0"/>
          <w:sz w:val="24"/>
        </w:rPr>
        <w:t>本期无此项业务。</w:t>
      </w:r>
    </w:p>
    <w:p>
      <w:pPr>
        <w:spacing w:before="120" w:after="240" w:line="240" w:lineRule="auto"/>
      </w:pPr>
      <w:r>
        <w:rPr>
          <w:rFonts w:ascii="仿宋_GB2312" w:hAnsi="仿宋_GB2312" w:eastAsia="仿宋_GB2312"/>
          <w:b/>
          <w:sz w:val="24"/>
        </w:rPr>
        <w:t>38、投资性房地产</w:t>
      </w:r>
      <w:bookmarkStart w:id="87452" w:name="note_section_八、21"/>
      <w:bookmarkEnd w:id="87452"/>
    </w:p>
    <w:p>
      <w:pPr>
        <w:spacing w:before="0" w:after="240" w:line="240" w:lineRule="auto"/>
      </w:pPr>
      <w:r>
        <w:rPr>
          <w:rFonts w:ascii="仿宋_GB2312" w:hAnsi="仿宋_GB2312" w:eastAsia="仿宋_GB2312"/>
          <w:b w:val="0"/>
          <w:sz w:val="24"/>
        </w:rPr>
        <w:t>### 以成本计量</w:t>
        <w:br/>
        <w:br/>
        <w:t>① 本期折旧和摊销额XX元。</w:t>
        <w:br/>
        <w:br/>
        <w:t>② 投资性房地产本期减值准备计提额XX元。</w:t>
        <w:br/>
        <w:br/>
        <w:t>### 以公允价值计量</w:t>
        <w:br/>
        <w:br/>
        <w:t>（注：①应披露公允价值确认依据。②说明报告期内改变计量模式的投资性房地产转换的原因及其影响。）</w:t>
        <w:br/>
        <w:br/>
        <w:t>### 未办妥产权证书的投资性房地产</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680"/>
          </w:tcPr>
          <w:p>
            <w:r/>
            <w:r>
              <w:rPr>
                <w:rFonts w:ascii="仿宋_GB2312" w:hAnsi="仿宋_GB2312" w:eastAsia="仿宋_GB2312"/>
                <w:b w:val="0"/>
                <w:sz w:val="24"/>
              </w:rPr>
              <w:t>项目</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一、账面原值合计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1、房屋、建筑物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2、土地使用权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二、累计折旧和累计摊销合计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1、房屋、建筑物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2、土地使用权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三、投资性房地产账面净值合计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1、房屋、建筑物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2、土地使用权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四、投资性房地产减值准备累计金额合计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1、房屋、建筑物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2、土地使用权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五、投资性房地产账面价值合计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1、房屋、建筑物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2、土地使用权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期初公允价值</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期末公允价值</w:t>
            </w:r>
          </w:p>
        </w:tc>
      </w:tr>
      <w:tr>
        <w:trPr>
          <w:trHeight w:val="397" w:hRule="exact"/>
          <w:cantSplit/>
        </w:trPr>
        <w:tc>
          <w:tcPr>
            <w:tcW w:type="dxa" w:w="1680"/>
          </w:tcPr>
          <w:p>
            <w:r/>
            <w:r>
              <w:rPr>
                <w:rFonts w:ascii="仿宋_GB2312" w:hAnsi="仿宋_GB2312" w:eastAsia="仿宋_GB2312"/>
                <w:b w:val="0"/>
                <w:sz w:val="24"/>
              </w:rPr>
              <w:t>项目</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一、成本合计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其中：1、房屋、建筑物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2、土地使用权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二、公允价值变动合计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其中：1、房屋、建筑物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2、土地使用权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三、投资性房地产账面价值合计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其中：1、房屋、建筑物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2、土地使用权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账面价值</w:t>
            </w:r>
          </w:p>
        </w:tc>
        <w:tc>
          <w:tcPr>
            <w:tcW w:type="dxa" w:w="2801"/>
            <w:tcBorders>
              <w:bottom w:val="single" w:sz="4" w:space="0" w:color="000000"/>
            </w:tcBorders>
          </w:tcPr>
          <w:p>
            <w:pPr>
              <w:jc w:val="center"/>
            </w:pPr>
            <w:r/>
            <w:r>
              <w:rPr>
                <w:rFonts w:ascii="仿宋_GB2312" w:hAnsi="仿宋_GB2312" w:eastAsia="仿宋_GB2312"/>
                <w:b/>
                <w:sz w:val="24"/>
              </w:rPr>
              <w:t>原因</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39、固定资产</w:t>
      </w:r>
      <w:bookmarkStart w:id="64045" w:name="note_section_八、22"/>
      <w:bookmarkEnd w:id="64045"/>
    </w:p>
    <w:p>
      <w:pPr>
        <w:spacing w:before="0" w:after="240" w:line="240" w:lineRule="auto"/>
      </w:pPr>
      <w:r>
        <w:rPr>
          <w:rFonts w:ascii="仿宋_GB2312" w:hAnsi="仿宋_GB2312" w:eastAsia="仿宋_GB2312"/>
          <w:b w:val="0"/>
          <w:sz w:val="24"/>
        </w:rPr>
        <w:t>### 固定资产情况</w:t>
        <w:br/>
        <w:br/>
        <w:t>#### 暂时闲置的固定资产情况</w:t>
        <w:br/>
        <w:br/>
        <w:t>#### 未办妥产权证书的固定资产情况</w:t>
        <w:br/>
        <w:br/>
        <w:t>### 固定资产清理</w:t>
        <w:br/>
        <w:br/>
        <w:t>注：说明转入固定资产清理起始时间已超过1年的固定资产清理进展情况。</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期末账面价值</w:t>
            </w:r>
          </w:p>
        </w:tc>
        <w:tc>
          <w:tcPr>
            <w:tcW w:type="dxa" w:w="2801"/>
            <w:tcBorders>
              <w:bottom w:val="single" w:sz="4" w:space="0" w:color="000000"/>
            </w:tcBorders>
          </w:tcPr>
          <w:p>
            <w:pPr>
              <w:jc w:val="center"/>
            </w:pPr>
            <w:r/>
            <w:r>
              <w:rPr>
                <w:rFonts w:ascii="仿宋_GB2312" w:hAnsi="仿宋_GB2312" w:eastAsia="仿宋_GB2312"/>
                <w:b/>
                <w:sz w:val="24"/>
              </w:rPr>
              <w:t>期初账面价值</w:t>
            </w:r>
          </w:p>
        </w:tc>
      </w:tr>
      <w:tr>
        <w:trPr>
          <w:trHeight w:val="397" w:hRule="exact"/>
          <w:cantSplit/>
        </w:trPr>
        <w:tc>
          <w:tcPr>
            <w:tcW w:type="dxa" w:w="2801"/>
          </w:tcPr>
          <w:p>
            <w:r/>
            <w:r>
              <w:rPr>
                <w:rFonts w:ascii="仿宋_GB2312" w:hAnsi="仿宋_GB2312" w:eastAsia="仿宋_GB2312"/>
                <w:b w:val="0"/>
                <w:sz w:val="24"/>
              </w:rPr>
              <w:t>固定资产</w:t>
            </w:r>
          </w:p>
        </w:tc>
        <w:tc>
          <w:tcPr>
            <w:tcW w:type="dxa" w:w="2801"/>
          </w:tcPr>
          <w:p>
            <w:pPr>
              <w:jc w:val="right"/>
            </w:pPr>
            <w:r/>
            <w:r>
              <w:rPr>
                <w:rFonts w:ascii="Arial Narrow" w:hAnsi="Arial Narrow" w:eastAsia="仿宋_GB2312" w:cs="Arial Narrow"/>
                <w:sz w:val="24"/>
              </w:rPr>
              <w:t>51,270,217.56</w:t>
            </w:r>
          </w:p>
        </w:tc>
        <w:tc>
          <w:tcPr>
            <w:tcW w:type="dxa" w:w="2801"/>
          </w:tcPr>
          <w:p>
            <w:pPr>
              <w:jc w:val="right"/>
            </w:pPr>
            <w:r/>
            <w:r>
              <w:rPr>
                <w:rFonts w:ascii="Arial Narrow" w:hAnsi="Arial Narrow" w:eastAsia="仿宋_GB2312" w:cs="Arial Narrow"/>
                <w:sz w:val="24"/>
              </w:rPr>
              <w:t>60,067,128.05</w:t>
            </w:r>
          </w:p>
        </w:tc>
      </w:tr>
      <w:tr>
        <w:trPr>
          <w:trHeight w:val="397" w:hRule="exact"/>
          <w:cantSplit/>
        </w:trPr>
        <w:tc>
          <w:tcPr>
            <w:tcW w:type="dxa" w:w="2801"/>
          </w:tcPr>
          <w:p>
            <w:r/>
            <w:r>
              <w:rPr>
                <w:rFonts w:ascii="仿宋_GB2312" w:hAnsi="仿宋_GB2312" w:eastAsia="仿宋_GB2312"/>
                <w:b w:val="0"/>
                <w:sz w:val="24"/>
              </w:rPr>
              <w:t>固定资产清理</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Arial Narrow" w:hAnsi="Arial Narrow" w:eastAsia="仿宋_GB2312" w:cs="Arial Narrow"/>
                <w:sz w:val="24"/>
              </w:rPr>
              <w:t>51,270,217.56</w:t>
            </w:r>
          </w:p>
        </w:tc>
        <w:tc>
          <w:tcPr>
            <w:tcW w:type="dxa" w:w="2801"/>
          </w:tcPr>
          <w:p>
            <w:pPr>
              <w:jc w:val="right"/>
            </w:pPr>
            <w:r/>
            <w:r>
              <w:rPr>
                <w:rFonts w:ascii="Arial Narrow" w:hAnsi="Arial Narrow" w:eastAsia="仿宋_GB2312" w:cs="Arial Narrow"/>
                <w:sz w:val="24"/>
              </w:rPr>
              <w:t>60,067,128.05</w:t>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680"/>
          </w:tcPr>
          <w:p>
            <w:r/>
            <w:r>
              <w:rPr>
                <w:rFonts w:ascii="仿宋_GB2312" w:hAnsi="仿宋_GB2312" w:eastAsia="仿宋_GB2312"/>
                <w:b w:val="0"/>
                <w:sz w:val="24"/>
              </w:rPr>
              <w:t>一、账面原值合计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其中：土地资产</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房屋、建筑物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机器设备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运输工具</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电子设备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办公设备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酒店业家具</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二、累计折旧合计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其中：土地资产</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房屋、建筑物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机器设备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运输工具</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电子设备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办公设备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酒店业家具</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三、固定资产账面净值合计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其中：土地资产</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房屋、建筑物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机器设备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运输工具</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电子设备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办公设备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酒店业家具</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四、固定资产减值准备合计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其中：土地资产</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房屋、建筑物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机器设备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运输工具</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电子设备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办公设备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酒店业家具</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五、固定资产账面价值合计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其中：土地资产</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房屋、建筑物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机器设备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运输工具</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电子设备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办公设备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酒店业家具</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项目</w:t>
            </w:r>
          </w:p>
        </w:tc>
        <w:tc>
          <w:tcPr>
            <w:tcW w:type="dxa" w:w="1400"/>
            <w:tcBorders>
              <w:bottom w:val="single" w:sz="4" w:space="0" w:color="000000"/>
            </w:tcBorders>
          </w:tcPr>
          <w:p>
            <w:pPr>
              <w:jc w:val="center"/>
            </w:pPr>
            <w:r/>
            <w:r>
              <w:rPr>
                <w:rFonts w:ascii="仿宋_GB2312" w:hAnsi="仿宋_GB2312" w:eastAsia="仿宋_GB2312"/>
                <w:b/>
                <w:sz w:val="24"/>
              </w:rPr>
              <w:t>账面原值</w:t>
            </w:r>
          </w:p>
        </w:tc>
        <w:tc>
          <w:tcPr>
            <w:tcW w:type="dxa" w:w="1400"/>
            <w:tcBorders>
              <w:bottom w:val="single" w:sz="4" w:space="0" w:color="000000"/>
            </w:tcBorders>
          </w:tcPr>
          <w:p>
            <w:pPr>
              <w:jc w:val="center"/>
            </w:pPr>
            <w:r/>
            <w:r>
              <w:rPr>
                <w:rFonts w:ascii="仿宋_GB2312" w:hAnsi="仿宋_GB2312" w:eastAsia="仿宋_GB2312"/>
                <w:b/>
                <w:sz w:val="24"/>
              </w:rPr>
              <w:t>累计折旧</w:t>
            </w:r>
          </w:p>
        </w:tc>
        <w:tc>
          <w:tcPr>
            <w:tcW w:type="dxa" w:w="1400"/>
            <w:tcBorders>
              <w:bottom w:val="single" w:sz="4" w:space="0" w:color="000000"/>
            </w:tcBorders>
          </w:tcPr>
          <w:p>
            <w:pPr>
              <w:jc w:val="center"/>
            </w:pPr>
            <w:r/>
            <w:r>
              <w:rPr>
                <w:rFonts w:ascii="仿宋_GB2312" w:hAnsi="仿宋_GB2312" w:eastAsia="仿宋_GB2312"/>
                <w:b/>
                <w:sz w:val="24"/>
              </w:rPr>
              <w:t>减值准备</w:t>
            </w:r>
          </w:p>
        </w:tc>
        <w:tc>
          <w:tcPr>
            <w:tcW w:type="dxa" w:w="1400"/>
            <w:tcBorders>
              <w:bottom w:val="single" w:sz="4" w:space="0" w:color="000000"/>
            </w:tcBorders>
          </w:tcPr>
          <w:p>
            <w:pPr>
              <w:jc w:val="center"/>
            </w:pPr>
            <w:r/>
            <w:r>
              <w:rPr>
                <w:rFonts w:ascii="仿宋_GB2312" w:hAnsi="仿宋_GB2312" w:eastAsia="仿宋_GB2312"/>
                <w:b/>
                <w:sz w:val="24"/>
              </w:rPr>
              <w:t>账面价值</w:t>
            </w:r>
          </w:p>
        </w:tc>
        <w:tc>
          <w:tcPr>
            <w:tcW w:type="dxa" w:w="1400"/>
            <w:tcBorders>
              <w:bottom w:val="single" w:sz="4" w:space="0" w:color="000000"/>
            </w:tcBorders>
          </w:tcPr>
          <w:p>
            <w:pPr>
              <w:jc w:val="center"/>
            </w:pPr>
            <w:r/>
            <w:r>
              <w:rPr>
                <w:rFonts w:ascii="仿宋_GB2312" w:hAnsi="仿宋_GB2312" w:eastAsia="仿宋_GB2312"/>
                <w:b/>
                <w:sz w:val="24"/>
              </w:rPr>
              <w:t>备注</w:t>
            </w:r>
          </w:p>
        </w:tc>
      </w:tr>
      <w:tr>
        <w:trPr>
          <w:trHeight w:val="397" w:hRule="exact"/>
          <w:cantSplit/>
        </w:trPr>
        <w:tc>
          <w:tcPr>
            <w:tcW w:type="dxa" w:w="1400"/>
          </w:tcPr>
          <w:p>
            <w:r/>
            <w:r>
              <w:rPr>
                <w:rFonts w:ascii="仿宋_GB2312" w:hAnsi="仿宋_GB2312" w:eastAsia="仿宋_GB2312"/>
                <w:b w:val="0"/>
                <w:sz w:val="24"/>
              </w:rPr>
              <w:t>合计</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账面价值</w:t>
            </w:r>
          </w:p>
        </w:tc>
        <w:tc>
          <w:tcPr>
            <w:tcW w:type="dxa" w:w="2801"/>
            <w:tcBorders>
              <w:bottom w:val="single" w:sz="4" w:space="0" w:color="000000"/>
            </w:tcBorders>
          </w:tcPr>
          <w:p>
            <w:pPr>
              <w:jc w:val="center"/>
            </w:pPr>
            <w:r/>
            <w:r>
              <w:rPr>
                <w:rFonts w:ascii="仿宋_GB2312" w:hAnsi="仿宋_GB2312" w:eastAsia="仿宋_GB2312"/>
                <w:b/>
                <w:sz w:val="24"/>
              </w:rPr>
              <w:t>未办妥产权证书原因</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项目</w:t>
            </w:r>
          </w:p>
        </w:tc>
        <w:tc>
          <w:tcPr>
            <w:tcW w:type="dxa" w:w="2100"/>
            <w:tcBorders>
              <w:bottom w:val="single" w:sz="4" w:space="0" w:color="000000"/>
            </w:tcBorders>
          </w:tcPr>
          <w:p>
            <w:pPr>
              <w:jc w:val="center"/>
            </w:pPr>
            <w:r/>
            <w:r>
              <w:rPr>
                <w:rFonts w:ascii="仿宋_GB2312" w:hAnsi="仿宋_GB2312" w:eastAsia="仿宋_GB2312"/>
                <w:b/>
                <w:sz w:val="24"/>
              </w:rPr>
              <w:t>期末账面价值</w:t>
            </w:r>
          </w:p>
        </w:tc>
        <w:tc>
          <w:tcPr>
            <w:tcW w:type="dxa" w:w="2100"/>
            <w:tcBorders>
              <w:bottom w:val="single" w:sz="4" w:space="0" w:color="000000"/>
            </w:tcBorders>
          </w:tcPr>
          <w:p>
            <w:pPr>
              <w:jc w:val="center"/>
            </w:pPr>
            <w:r/>
            <w:r>
              <w:rPr>
                <w:rFonts w:ascii="仿宋_GB2312" w:hAnsi="仿宋_GB2312" w:eastAsia="仿宋_GB2312"/>
                <w:b/>
                <w:sz w:val="24"/>
              </w:rPr>
              <w:t>期初账面价值</w:t>
            </w:r>
          </w:p>
        </w:tc>
        <w:tc>
          <w:tcPr>
            <w:tcW w:type="dxa" w:w="2100"/>
            <w:tcBorders>
              <w:bottom w:val="single" w:sz="4" w:space="0" w:color="000000"/>
            </w:tcBorders>
          </w:tcPr>
          <w:p>
            <w:pPr>
              <w:jc w:val="center"/>
            </w:pPr>
            <w:r/>
            <w:r>
              <w:rPr>
                <w:rFonts w:ascii="仿宋_GB2312" w:hAnsi="仿宋_GB2312" w:eastAsia="仿宋_GB2312"/>
                <w:b/>
                <w:sz w:val="24"/>
              </w:rPr>
              <w:t>转入清理的原因</w:t>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40、在建工程</w:t>
      </w:r>
      <w:bookmarkStart w:id="31085" w:name="note_section_八、23"/>
      <w:bookmarkEnd w:id="31085"/>
    </w:p>
    <w:p>
      <w:pPr>
        <w:spacing w:before="0" w:after="240" w:line="240" w:lineRule="auto"/>
      </w:pPr>
      <w:r>
        <w:rPr>
          <w:rFonts w:ascii="仿宋_GB2312" w:hAnsi="仿宋_GB2312" w:eastAsia="仿宋_GB2312"/>
          <w:b w:val="0"/>
          <w:sz w:val="24"/>
        </w:rPr>
        <w:t>### （1）在建工程情况</w:t>
        <w:br/>
        <w:br/>
        <w:t>### （2）重要在建工程项目本期变动情况</w:t>
        <w:br/>
        <w:br/>
        <w:t>### （3）本期计提在建工程减值准备情况</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项目</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在建工程</w:t>
            </w:r>
          </w:p>
        </w:tc>
        <w:tc>
          <w:tcPr>
            <w:tcW w:type="dxa" w:w="2801"/>
          </w:tcPr>
          <w:p>
            <w:pPr>
              <w:jc w:val="right"/>
            </w:pPr>
            <w:r/>
            <w:r>
              <w:rPr>
                <w:rFonts w:ascii="Arial Narrow" w:hAnsi="Arial Narrow" w:eastAsia="仿宋_GB2312" w:cs="Arial Narrow"/>
                <w:sz w:val="24"/>
              </w:rPr>
              <w:t>7,964,602.00</w:t>
            </w:r>
          </w:p>
        </w:tc>
        <w:tc>
          <w:tcPr>
            <w:tcW w:type="dxa" w:w="2801"/>
          </w:tcPr>
          <w:p>
            <w:pPr>
              <w:jc w:val="right"/>
            </w:pPr>
            <w:r/>
            <w:r>
              <w:rPr>
                <w:rFonts w:ascii="Arial Narrow" w:hAnsi="Arial Narrow" w:eastAsia="仿宋_GB2312" w:cs="Arial Narrow"/>
                <w:sz w:val="24"/>
              </w:rPr>
              <w:t>26,414,959.78</w:t>
            </w:r>
          </w:p>
        </w:tc>
      </w:tr>
      <w:tr>
        <w:trPr>
          <w:trHeight w:val="397" w:hRule="exact"/>
          <w:cantSplit/>
        </w:trPr>
        <w:tc>
          <w:tcPr>
            <w:tcW w:type="dxa" w:w="2801"/>
          </w:tcPr>
          <w:p>
            <w:r/>
            <w:r>
              <w:rPr>
                <w:rFonts w:ascii="仿宋_GB2312" w:hAnsi="仿宋_GB2312" w:eastAsia="仿宋_GB2312"/>
                <w:b w:val="0"/>
                <w:sz w:val="24"/>
              </w:rPr>
              <w:t>工程物资</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Arial Narrow" w:hAnsi="Arial Narrow" w:eastAsia="仿宋_GB2312" w:cs="Arial Narrow"/>
                <w:sz w:val="24"/>
              </w:rPr>
              <w:t>7,964,602.00</w:t>
            </w:r>
          </w:p>
        </w:tc>
        <w:tc>
          <w:tcPr>
            <w:tcW w:type="dxa" w:w="2801"/>
          </w:tcPr>
          <w:p>
            <w:pPr>
              <w:jc w:val="right"/>
            </w:pPr>
            <w:r/>
            <w:r>
              <w:rPr>
                <w:rFonts w:ascii="Arial Narrow" w:hAnsi="Arial Narrow" w:eastAsia="仿宋_GB2312" w:cs="Arial Narrow"/>
                <w:sz w:val="24"/>
              </w:rPr>
              <w:t>26,414,959.78</w:t>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项目</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项目名称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646"/>
        <w:gridCol w:w="646"/>
        <w:gridCol w:w="646"/>
        <w:gridCol w:w="646"/>
        <w:gridCol w:w="646"/>
        <w:gridCol w:w="646"/>
        <w:gridCol w:w="646"/>
        <w:gridCol w:w="646"/>
        <w:gridCol w:w="646"/>
        <w:gridCol w:w="646"/>
        <w:gridCol w:w="646"/>
        <w:gridCol w:w="646"/>
        <w:gridCol w:w="646"/>
      </w:tblGrid>
      <w:tr>
        <w:trPr>
          <w:trHeight w:val="397" w:hRule="exact"/>
          <w:cantSplit/>
        </w:trPr>
        <w:tc>
          <w:tcPr>
            <w:tcW w:type="dxa" w:w="646"/>
            <w:tcBorders>
              <w:bottom w:val="single" w:sz="4" w:space="0" w:color="000000"/>
            </w:tcBorders>
          </w:tcPr>
          <w:p>
            <w:pPr>
              <w:jc w:val="center"/>
            </w:pPr>
            <w:r/>
            <w:r>
              <w:rPr>
                <w:rFonts w:ascii="仿宋_GB2312" w:hAnsi="仿宋_GB2312" w:eastAsia="仿宋_GB2312"/>
                <w:b/>
                <w:sz w:val="24"/>
              </w:rPr>
              <w:t>项目名称</w:t>
            </w:r>
          </w:p>
        </w:tc>
        <w:tc>
          <w:tcPr>
            <w:tcW w:type="dxa" w:w="646"/>
            <w:tcBorders>
              <w:bottom w:val="single" w:sz="4" w:space="0" w:color="000000"/>
            </w:tcBorders>
          </w:tcPr>
          <w:p>
            <w:pPr>
              <w:jc w:val="center"/>
            </w:pPr>
            <w:r/>
            <w:r>
              <w:rPr>
                <w:rFonts w:ascii="仿宋_GB2312" w:hAnsi="仿宋_GB2312" w:eastAsia="仿宋_GB2312"/>
                <w:b/>
                <w:sz w:val="24"/>
              </w:rPr>
              <w:t>预算数</w:t>
            </w:r>
          </w:p>
        </w:tc>
        <w:tc>
          <w:tcPr>
            <w:tcW w:type="dxa" w:w="646"/>
            <w:tcBorders>
              <w:bottom w:val="single" w:sz="4" w:space="0" w:color="000000"/>
            </w:tcBorders>
          </w:tcPr>
          <w:p>
            <w:pPr>
              <w:jc w:val="center"/>
            </w:pPr>
            <w:r/>
            <w:r>
              <w:rPr>
                <w:rFonts w:ascii="仿宋_GB2312" w:hAnsi="仿宋_GB2312" w:eastAsia="仿宋_GB2312"/>
                <w:b/>
                <w:sz w:val="24"/>
              </w:rPr>
              <w:t>期初余额</w:t>
            </w:r>
          </w:p>
        </w:tc>
        <w:tc>
          <w:tcPr>
            <w:tcW w:type="dxa" w:w="646"/>
            <w:tcBorders>
              <w:bottom w:val="single" w:sz="4" w:space="0" w:color="000000"/>
            </w:tcBorders>
          </w:tcPr>
          <w:p>
            <w:pPr>
              <w:jc w:val="center"/>
            </w:pPr>
            <w:r/>
            <w:r>
              <w:rPr>
                <w:rFonts w:ascii="仿宋_GB2312" w:hAnsi="仿宋_GB2312" w:eastAsia="仿宋_GB2312"/>
                <w:b/>
                <w:sz w:val="24"/>
              </w:rPr>
              <w:t>本期&lt;br/&gt;增加</w:t>
            </w:r>
          </w:p>
        </w:tc>
        <w:tc>
          <w:tcPr>
            <w:tcW w:type="dxa" w:w="646"/>
            <w:tcBorders>
              <w:bottom w:val="single" w:sz="4" w:space="0" w:color="000000"/>
            </w:tcBorders>
          </w:tcPr>
          <w:p>
            <w:pPr>
              <w:jc w:val="center"/>
            </w:pPr>
            <w:r/>
            <w:r>
              <w:rPr>
                <w:rFonts w:ascii="仿宋_GB2312" w:hAnsi="仿宋_GB2312" w:eastAsia="仿宋_GB2312"/>
                <w:b/>
                <w:sz w:val="24"/>
              </w:rPr>
              <w:t>本期转入固&lt;br/&gt;定资产金额</w:t>
            </w:r>
          </w:p>
        </w:tc>
        <w:tc>
          <w:tcPr>
            <w:tcW w:type="dxa" w:w="646"/>
            <w:tcBorders>
              <w:bottom w:val="single" w:sz="4" w:space="0" w:color="000000"/>
            </w:tcBorders>
          </w:tcPr>
          <w:p>
            <w:pPr>
              <w:jc w:val="center"/>
            </w:pPr>
            <w:r/>
            <w:r>
              <w:rPr>
                <w:rFonts w:ascii="仿宋_GB2312" w:hAnsi="仿宋_GB2312" w:eastAsia="仿宋_GB2312"/>
                <w:b/>
                <w:sz w:val="24"/>
              </w:rPr>
              <w:t>本期其他&lt;br/&gt;减少金额</w:t>
            </w:r>
          </w:p>
        </w:tc>
        <w:tc>
          <w:tcPr>
            <w:tcW w:type="dxa" w:w="646"/>
            <w:tcBorders>
              <w:bottom w:val="single" w:sz="4" w:space="0" w:color="000000"/>
            </w:tcBorders>
          </w:tcPr>
          <w:p>
            <w:pPr>
              <w:jc w:val="center"/>
            </w:pPr>
            <w:r/>
            <w:r>
              <w:rPr>
                <w:rFonts w:ascii="仿宋_GB2312" w:hAnsi="仿宋_GB2312" w:eastAsia="仿宋_GB2312"/>
                <w:b/>
                <w:sz w:val="24"/>
              </w:rPr>
              <w:t>期末&lt;br/&gt;余额</w:t>
            </w:r>
          </w:p>
        </w:tc>
        <w:tc>
          <w:tcPr>
            <w:tcW w:type="dxa" w:w="646"/>
            <w:tcBorders>
              <w:bottom w:val="single" w:sz="4" w:space="0" w:color="000000"/>
            </w:tcBorders>
          </w:tcPr>
          <w:p>
            <w:pPr>
              <w:jc w:val="center"/>
            </w:pPr>
            <w:r/>
            <w:r>
              <w:rPr>
                <w:rFonts w:ascii="仿宋_GB2312" w:hAnsi="仿宋_GB2312" w:eastAsia="仿宋_GB2312"/>
                <w:b/>
                <w:sz w:val="24"/>
              </w:rPr>
              <w:t>工程累计投入占&lt;br/&gt;预算比例(%)</w:t>
            </w:r>
          </w:p>
        </w:tc>
        <w:tc>
          <w:tcPr>
            <w:tcW w:type="dxa" w:w="646"/>
            <w:tcBorders>
              <w:bottom w:val="single" w:sz="4" w:space="0" w:color="000000"/>
            </w:tcBorders>
          </w:tcPr>
          <w:p>
            <w:pPr>
              <w:jc w:val="center"/>
            </w:pPr>
            <w:r/>
            <w:r>
              <w:rPr>
                <w:rFonts w:ascii="仿宋_GB2312" w:hAnsi="仿宋_GB2312" w:eastAsia="仿宋_GB2312"/>
                <w:b/>
                <w:sz w:val="24"/>
              </w:rPr>
              <w:t>工程&lt;br/&gt;进度</w:t>
            </w:r>
          </w:p>
        </w:tc>
        <w:tc>
          <w:tcPr>
            <w:tcW w:type="dxa" w:w="646"/>
            <w:tcBorders>
              <w:bottom w:val="single" w:sz="4" w:space="0" w:color="000000"/>
            </w:tcBorders>
          </w:tcPr>
          <w:p>
            <w:pPr>
              <w:jc w:val="center"/>
            </w:pPr>
            <w:r/>
            <w:r>
              <w:rPr>
                <w:rFonts w:ascii="仿宋_GB2312" w:hAnsi="仿宋_GB2312" w:eastAsia="仿宋_GB2312"/>
                <w:b/>
                <w:sz w:val="24"/>
              </w:rPr>
              <w:t>利息资本化&lt;br/&gt;累计金额</w:t>
            </w:r>
          </w:p>
        </w:tc>
        <w:tc>
          <w:tcPr>
            <w:tcW w:type="dxa" w:w="646"/>
            <w:tcBorders>
              <w:bottom w:val="single" w:sz="4" w:space="0" w:color="000000"/>
            </w:tcBorders>
          </w:tcPr>
          <w:p>
            <w:pPr>
              <w:jc w:val="center"/>
            </w:pPr>
            <w:r/>
            <w:r>
              <w:rPr>
                <w:rFonts w:ascii="仿宋_GB2312" w:hAnsi="仿宋_GB2312" w:eastAsia="仿宋_GB2312"/>
                <w:b/>
                <w:sz w:val="24"/>
              </w:rPr>
              <w:t>其中：本期利息&lt;br/&gt;资本化金额</w:t>
            </w:r>
          </w:p>
        </w:tc>
        <w:tc>
          <w:tcPr>
            <w:tcW w:type="dxa" w:w="646"/>
            <w:tcBorders>
              <w:bottom w:val="single" w:sz="4" w:space="0" w:color="000000"/>
            </w:tcBorders>
          </w:tcPr>
          <w:p>
            <w:pPr>
              <w:jc w:val="center"/>
            </w:pPr>
            <w:r/>
            <w:r>
              <w:rPr>
                <w:rFonts w:ascii="仿宋_GB2312" w:hAnsi="仿宋_GB2312" w:eastAsia="仿宋_GB2312"/>
                <w:b/>
                <w:sz w:val="24"/>
              </w:rPr>
              <w:t>本期利息&lt;br/&gt;资本化率(%)</w:t>
            </w:r>
          </w:p>
        </w:tc>
        <w:tc>
          <w:tcPr>
            <w:tcW w:type="dxa" w:w="646"/>
            <w:tcBorders>
              <w:bottom w:val="single" w:sz="4" w:space="0" w:color="000000"/>
            </w:tcBorders>
          </w:tcPr>
          <w:p>
            <w:pPr>
              <w:jc w:val="center"/>
            </w:pPr>
            <w:r/>
            <w:r>
              <w:rPr>
                <w:rFonts w:ascii="仿宋_GB2312" w:hAnsi="仿宋_GB2312" w:eastAsia="仿宋_GB2312"/>
                <w:b/>
                <w:sz w:val="24"/>
              </w:rPr>
              <w:t>资金&lt;br/&gt;来源</w:t>
            </w:r>
          </w:p>
        </w:tc>
      </w:tr>
      <w:tr>
        <w:trPr>
          <w:trHeight w:val="397" w:hRule="exact"/>
          <w:cantSplit/>
        </w:trPr>
        <w:tc>
          <w:tcPr>
            <w:tcW w:type="dxa" w:w="646"/>
          </w:tcPr>
          <w:p>
            <w:r/>
            <w:r>
              <w:rPr>
                <w:rFonts w:ascii="仿宋_GB2312" w:hAnsi="仿宋_GB2312" w:eastAsia="仿宋_GB2312"/>
                <w:b w:val="0"/>
                <w:sz w:val="24"/>
              </w:rPr>
              <w:t>1.</w:t>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r>
      <w:tr>
        <w:trPr>
          <w:trHeight w:val="397" w:hRule="exact"/>
          <w:cantSplit/>
        </w:trPr>
        <w:tc>
          <w:tcPr>
            <w:tcW w:type="dxa" w:w="646"/>
          </w:tcPr>
          <w:p>
            <w:r/>
            <w:r>
              <w:rPr>
                <w:rFonts w:ascii="仿宋_GB2312" w:hAnsi="仿宋_GB2312" w:eastAsia="仿宋_GB2312"/>
                <w:b w:val="0"/>
                <w:sz w:val="24"/>
              </w:rPr>
              <w:t>2.</w:t>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r>
      <w:tr>
        <w:trPr>
          <w:trHeight w:val="397" w:hRule="exact"/>
          <w:cantSplit/>
        </w:trPr>
        <w:tc>
          <w:tcPr>
            <w:tcW w:type="dxa" w:w="646"/>
          </w:tcPr>
          <w:p>
            <w:r/>
            <w:r>
              <w:rPr>
                <w:rFonts w:ascii="仿宋_GB2312" w:hAnsi="仿宋_GB2312" w:eastAsia="仿宋_GB2312"/>
                <w:b w:val="0"/>
                <w:sz w:val="24"/>
              </w:rPr>
              <w:t>3.</w:t>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r>
      <w:tr>
        <w:trPr>
          <w:trHeight w:val="397" w:hRule="exact"/>
          <w:cantSplit/>
        </w:trPr>
        <w:tc>
          <w:tcPr>
            <w:tcW w:type="dxa" w:w="646"/>
          </w:tcPr>
          <w:p>
            <w:r/>
            <w:r>
              <w:rPr>
                <w:rFonts w:ascii="仿宋_GB2312" w:hAnsi="仿宋_GB2312" w:eastAsia="仿宋_GB2312"/>
                <w:b w:val="0"/>
                <w:sz w:val="24"/>
              </w:rPr>
              <w:t>4.</w:t>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r>
      <w:tr>
        <w:trPr>
          <w:trHeight w:val="397" w:hRule="exact"/>
          <w:cantSplit/>
        </w:trPr>
        <w:tc>
          <w:tcPr>
            <w:tcW w:type="dxa" w:w="646"/>
          </w:tcPr>
          <w:p>
            <w:r/>
            <w:r>
              <w:rPr>
                <w:rFonts w:ascii="仿宋_GB2312" w:hAnsi="仿宋_GB2312" w:eastAsia="仿宋_GB2312"/>
                <w:b w:val="0"/>
                <w:sz w:val="24"/>
              </w:rPr>
              <w:t>5.</w:t>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r>
      <w:tr>
        <w:trPr>
          <w:trHeight w:val="397" w:hRule="exact"/>
          <w:cantSplit/>
        </w:trPr>
        <w:tc>
          <w:tcPr>
            <w:tcW w:type="dxa" w:w="646"/>
          </w:tcPr>
          <w:p>
            <w:r/>
            <w:r>
              <w:rPr>
                <w:rFonts w:ascii="仿宋_GB2312" w:hAnsi="仿宋_GB2312" w:eastAsia="仿宋_GB2312"/>
                <w:b w:val="0"/>
                <w:sz w:val="24"/>
              </w:rPr>
              <w:t>…….</w:t>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r>
      <w:tr>
        <w:trPr>
          <w:trHeight w:val="397" w:hRule="exact"/>
          <w:cantSplit/>
        </w:trPr>
        <w:tc>
          <w:tcPr>
            <w:tcW w:type="dxa" w:w="646"/>
          </w:tcPr>
          <w:p>
            <w:r/>
            <w:r>
              <w:rPr>
                <w:rFonts w:ascii="仿宋_GB2312" w:hAnsi="仿宋_GB2312" w:eastAsia="仿宋_GB2312"/>
                <w:b w:val="0"/>
                <w:sz w:val="24"/>
              </w:rPr>
              <w:t>合计</w:t>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c>
          <w:tcPr>
            <w:tcW w:type="dxa" w:w="646"/>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本期计提金额</w:t>
            </w:r>
          </w:p>
        </w:tc>
        <w:tc>
          <w:tcPr>
            <w:tcW w:type="dxa" w:w="2801"/>
            <w:tcBorders>
              <w:bottom w:val="single" w:sz="4" w:space="0" w:color="000000"/>
            </w:tcBorders>
          </w:tcPr>
          <w:p>
            <w:pPr>
              <w:jc w:val="center"/>
            </w:pPr>
            <w:r/>
            <w:r>
              <w:rPr>
                <w:rFonts w:ascii="仿宋_GB2312" w:hAnsi="仿宋_GB2312" w:eastAsia="仿宋_GB2312"/>
                <w:b/>
                <w:sz w:val="24"/>
              </w:rPr>
              <w:t>计提原因</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41、生产性生物资产</w:t>
      </w:r>
      <w:bookmarkStart w:id="76128" w:name="note_section_八、24"/>
      <w:bookmarkEnd w:id="76128"/>
    </w:p>
    <w:p>
      <w:pPr>
        <w:spacing w:before="0" w:after="240" w:line="240" w:lineRule="auto"/>
      </w:pPr>
      <w:r>
        <w:rPr>
          <w:rFonts w:ascii="仿宋_GB2312" w:hAnsi="仿宋_GB2312" w:eastAsia="仿宋_GB2312"/>
          <w:b w:val="0"/>
          <w:sz w:val="24"/>
        </w:rPr>
        <w:t>以成本计量</w:t>
        <w:br/>
        <w:br/>
        <w:t>①各类生物资产的期末实物数量，如有天然起源的生物资产，还应披露该资产的类别、取得方式和数量等。</w:t>
        <w:br/>
        <w:br/>
        <w:t>②各类生产性生物资产的预计使用寿命、预计净残值、折旧方法、累计折旧和减值准备累计金额。）</w:t>
        <w:br/>
        <w:br/>
        <w:t>以公允价值计量</w:t>
        <w:br/>
        <w:br/>
        <w:t>说明生产性生物资产相关的风险情况与管理措施。</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期初账面价值</w:t>
            </w:r>
          </w:p>
        </w:tc>
        <w:tc>
          <w:tcPr>
            <w:tcW w:type="dxa" w:w="1680"/>
            <w:tcBorders>
              <w:bottom w:val="single" w:sz="4" w:space="0" w:color="000000"/>
            </w:tcBorders>
          </w:tcPr>
          <w:p>
            <w:pPr>
              <w:jc w:val="center"/>
            </w:pPr>
            <w:r/>
            <w:r>
              <w:rPr>
                <w:rFonts w:ascii="仿宋_GB2312" w:hAnsi="仿宋_GB2312" w:eastAsia="仿宋_GB2312"/>
                <w:b/>
                <w:sz w:val="24"/>
              </w:rPr>
              <w:t>本期增加额</w:t>
            </w:r>
          </w:p>
        </w:tc>
        <w:tc>
          <w:tcPr>
            <w:tcW w:type="dxa" w:w="1680"/>
            <w:tcBorders>
              <w:bottom w:val="single" w:sz="4" w:space="0" w:color="000000"/>
            </w:tcBorders>
          </w:tcPr>
          <w:p>
            <w:pPr>
              <w:jc w:val="center"/>
            </w:pPr>
            <w:r/>
            <w:r>
              <w:rPr>
                <w:rFonts w:ascii="仿宋_GB2312" w:hAnsi="仿宋_GB2312" w:eastAsia="仿宋_GB2312"/>
                <w:b/>
                <w:sz w:val="24"/>
              </w:rPr>
              <w:t>本期减少额</w:t>
            </w:r>
          </w:p>
        </w:tc>
        <w:tc>
          <w:tcPr>
            <w:tcW w:type="dxa" w:w="1680"/>
            <w:tcBorders>
              <w:bottom w:val="single" w:sz="4" w:space="0" w:color="000000"/>
            </w:tcBorders>
          </w:tcPr>
          <w:p>
            <w:pPr>
              <w:jc w:val="center"/>
            </w:pPr>
            <w:r/>
            <w:r>
              <w:rPr>
                <w:rFonts w:ascii="仿宋_GB2312" w:hAnsi="仿宋_GB2312" w:eastAsia="仿宋_GB2312"/>
                <w:b/>
                <w:sz w:val="24"/>
              </w:rPr>
              <w:t>期末账面价值</w:t>
            </w:r>
          </w:p>
        </w:tc>
      </w:tr>
      <w:tr>
        <w:trPr>
          <w:trHeight w:val="397" w:hRule="exact"/>
          <w:cantSplit/>
        </w:trPr>
        <w:tc>
          <w:tcPr>
            <w:tcW w:type="dxa" w:w="1680"/>
          </w:tcPr>
          <w:p>
            <w:r/>
            <w:r>
              <w:rPr>
                <w:rFonts w:ascii="仿宋_GB2312" w:hAnsi="仿宋_GB2312" w:eastAsia="仿宋_GB2312"/>
                <w:b w:val="0"/>
                <w:sz w:val="24"/>
              </w:rPr>
              <w:t>一、种植业</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其中：1．</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二、畜牧养殖业</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其中：1．</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三、林业</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其中：1．</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四、水产业</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其中：1．</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期初账面价值</w:t>
            </w:r>
          </w:p>
        </w:tc>
        <w:tc>
          <w:tcPr>
            <w:tcW w:type="dxa" w:w="1680"/>
            <w:tcBorders>
              <w:bottom w:val="single" w:sz="4" w:space="0" w:color="000000"/>
            </w:tcBorders>
          </w:tcPr>
          <w:p>
            <w:pPr>
              <w:jc w:val="center"/>
            </w:pPr>
            <w:r/>
            <w:r>
              <w:rPr>
                <w:rFonts w:ascii="仿宋_GB2312" w:hAnsi="仿宋_GB2312" w:eastAsia="仿宋_GB2312"/>
                <w:b/>
                <w:sz w:val="24"/>
              </w:rPr>
              <w:t>本期增加额</w:t>
            </w:r>
          </w:p>
        </w:tc>
        <w:tc>
          <w:tcPr>
            <w:tcW w:type="dxa" w:w="1680"/>
            <w:tcBorders>
              <w:bottom w:val="single" w:sz="4" w:space="0" w:color="000000"/>
            </w:tcBorders>
          </w:tcPr>
          <w:p>
            <w:pPr>
              <w:jc w:val="center"/>
            </w:pPr>
            <w:r/>
            <w:r>
              <w:rPr>
                <w:rFonts w:ascii="仿宋_GB2312" w:hAnsi="仿宋_GB2312" w:eastAsia="仿宋_GB2312"/>
                <w:b/>
                <w:sz w:val="24"/>
              </w:rPr>
              <w:t>本期减少额</w:t>
            </w:r>
          </w:p>
        </w:tc>
        <w:tc>
          <w:tcPr>
            <w:tcW w:type="dxa" w:w="1680"/>
            <w:tcBorders>
              <w:bottom w:val="single" w:sz="4" w:space="0" w:color="000000"/>
            </w:tcBorders>
          </w:tcPr>
          <w:p>
            <w:pPr>
              <w:jc w:val="center"/>
            </w:pPr>
            <w:r/>
            <w:r>
              <w:rPr>
                <w:rFonts w:ascii="仿宋_GB2312" w:hAnsi="仿宋_GB2312" w:eastAsia="仿宋_GB2312"/>
                <w:b/>
                <w:sz w:val="24"/>
              </w:rPr>
              <w:t>期末账面价值</w:t>
            </w:r>
          </w:p>
        </w:tc>
      </w:tr>
      <w:tr>
        <w:trPr>
          <w:trHeight w:val="397" w:hRule="exact"/>
          <w:cantSplit/>
        </w:trPr>
        <w:tc>
          <w:tcPr>
            <w:tcW w:type="dxa" w:w="1680"/>
          </w:tcPr>
          <w:p>
            <w:r/>
            <w:r>
              <w:rPr>
                <w:rFonts w:ascii="仿宋_GB2312" w:hAnsi="仿宋_GB2312" w:eastAsia="仿宋_GB2312"/>
                <w:b w:val="0"/>
                <w:sz w:val="24"/>
              </w:rPr>
              <w:t>一、种植业</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其中：1．</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二、畜牧养殖业</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其中：1．</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三、林业</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其中：1．</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四、水产业</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其中：1．</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42、油气资产</w:t>
      </w:r>
      <w:bookmarkStart w:id="40856" w:name="note_section_八、25"/>
      <w:bookmarkEnd w:id="40856"/>
    </w:p>
    <w:p>
      <w:pPr>
        <w:spacing w:before="0" w:after="240" w:line="240" w:lineRule="auto"/>
      </w:pPr>
      <w:r>
        <w:rPr>
          <w:rFonts w:ascii="仿宋_GB2312" w:hAnsi="仿宋_GB2312" w:eastAsia="仿宋_GB2312"/>
          <w:b w:val="0"/>
          <w:sz w:val="24"/>
        </w:rPr>
        <w:t>### 当期在国内和国外发生的取得矿区权益、油气勘探和油气开发各项支出的总额。</w:t>
        <w:br/>
        <w:br/>
        <w:t>### 油气资产分类</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本期增加额</w:t>
            </w:r>
          </w:p>
        </w:tc>
        <w:tc>
          <w:tcPr>
            <w:tcW w:type="dxa" w:w="1680"/>
            <w:tcBorders>
              <w:bottom w:val="single" w:sz="4" w:space="0" w:color="000000"/>
            </w:tcBorders>
          </w:tcPr>
          <w:p>
            <w:pPr>
              <w:jc w:val="center"/>
            </w:pPr>
            <w:r/>
            <w:r>
              <w:rPr>
                <w:rFonts w:ascii="仿宋_GB2312" w:hAnsi="仿宋_GB2312" w:eastAsia="仿宋_GB2312"/>
                <w:b/>
                <w:sz w:val="24"/>
              </w:rPr>
              <w:t>本期减少额</w:t>
            </w:r>
          </w:p>
        </w:tc>
        <w:tc>
          <w:tcPr>
            <w:tcW w:type="dxa" w:w="168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680"/>
          </w:tcPr>
          <w:p>
            <w:r/>
            <w:r>
              <w:rPr>
                <w:rFonts w:ascii="仿宋_GB2312" w:hAnsi="仿宋_GB2312" w:eastAsia="仿宋_GB2312"/>
                <w:b w:val="0"/>
                <w:sz w:val="24"/>
              </w:rPr>
              <w:t>一、原价合计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其中：1．探明矿区权益</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2．未探明矿区权益</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3．井及相关设施</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二、累计折耗合计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其中：1．探明矿区权益</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2．井及相关设施</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三、油气资产减值准备累计金额合计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其中：1．探明矿区权益</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2．未探明矿区权益</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3．井及相关设施</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四、油气资产账面价值合计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其中：1．探明矿区权益</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2．未探明矿区权益</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3．井及相关设施</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43、使用权资产</w:t>
      </w:r>
      <w:bookmarkStart w:id="13939" w:name="note_section_八、26"/>
      <w:bookmarkEnd w:id="13939"/>
    </w:p>
    <w:p>
      <w:pPr>
        <w:spacing w:before="0" w:after="240" w:line="240" w:lineRule="auto"/>
      </w:pPr>
      <w:r>
        <w:rPr>
          <w:rFonts w:ascii="仿宋_GB2312" w:hAnsi="仿宋_GB2312" w:eastAsia="仿宋_GB2312"/>
          <w:b w:val="0"/>
          <w:sz w:val="24"/>
        </w:rPr>
        <w:t>本期无此项业务。</w:t>
      </w:r>
    </w:p>
    <w:p>
      <w:pPr>
        <w:spacing w:before="120" w:after="240" w:line="240" w:lineRule="auto"/>
      </w:pPr>
      <w:r>
        <w:rPr>
          <w:rFonts w:ascii="仿宋_GB2312" w:hAnsi="仿宋_GB2312" w:eastAsia="仿宋_GB2312"/>
          <w:b/>
          <w:sz w:val="24"/>
        </w:rPr>
        <w:t>44、无形资产</w:t>
      </w:r>
      <w:bookmarkStart w:id="70084" w:name="note_section_八、27"/>
      <w:bookmarkEnd w:id="70084"/>
    </w:p>
    <w:p>
      <w:pPr>
        <w:spacing w:before="0" w:after="240" w:line="240" w:lineRule="auto"/>
      </w:pPr>
      <w:r>
        <w:rPr>
          <w:rFonts w:ascii="仿宋_GB2312" w:hAnsi="仿宋_GB2312" w:eastAsia="仿宋_GB2312"/>
          <w:b w:val="0"/>
          <w:sz w:val="24"/>
        </w:rPr>
        <w:t>### 无形资产情况</w:t>
        <w:br/>
        <w:br/>
        <w:t>（①披露未办妥产权证书的土地使用权有关情况，说明未办妥产权证书的原因和预计办结时间。</w:t>
        <w:br/>
        <w:br/>
        <w:t>②本公司使用寿命不确定的无形资产的判断依据。</w:t>
        <w:br/>
        <w:br/>
        <w:t>③抵押、担保的土地使用权。</w:t>
        <w:br/>
        <w:br/>
        <w:t>④无形资产减值准备计提及减少原因。</w:t>
        <w:br/>
        <w:br/>
        <w:t>⑤本期发生以明显高于账面价值的价格出售无形资产交易的，应详细说明交易作价的基础和依据，如：估值模型、重要参数的选取依据和估值过程，以及必要的敏感性分析。）</w:t>
        <w:br/>
        <w:br/>
        <w:t>### 确认为无形资产的数据资源</w:t>
        <w:br/>
        <w:br/>
        <w:t>（《企业数据资源相关会计处理暂行规定》：（2）对于使用寿命有限的数据资源无形资产，企业应当披露其使用寿命的估计情况及摊销方法；对于使用寿命不确定的数据资源无形资产，企业应当披露其账面价值及使用寿命不确定的判断依据。（3）企业应当按照《企业会计准则第28号——会计政策、会计估计变更和差错更正》（财会〔2006〕3号）的规定，披露对数据资源无形资产的摊销期、摊销方法或残值的变更内容、原因以及对当期和未来期间的影响数。（4）企业应当单独披露对企业财务报表具有重要影响的单项数据资源无形资产的内容、账面价值和剩余摊销期限。（5）企业应当披露所有权或使用权受到限制的数据资源无形资产，以及用于担保的数据资源无形资产的账面价值、当期摊销额等情况。（6）企业应当披露计入当期损益和确认为无形资产的数据资源研究开发支出金额。（7）企业应当按照《企业会计准则第8号——资产减值》（财会〔2006〕3号）等规定，披露与数据资源无形资产减值有关的信息。（8）企业应当按照《企业会计准则第42号——持有待售的非流动资产、处置组和终止经营》（财会〔2017〕13号）等规定，披露划分为持有待售类别的数据资源无形资产有关信息。</w:t>
        <w:br/>
        <w:br/>
        <w:t>企业对数据资源进行评估且评估结果对企业财务报表具有重要影响的，应当披露评估依据的信息来源，评估结论成立的假设前提和限制条件，评估方法的选择，各重要参数的来源、分析、比较与测算过程等信息。）</w:t>
        <w:br/>
        <w:br/>
        <w:t>【提示：上述信息，若已在会计政策、其他项目附注中披露，可索引至相关内容。】</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本期增加额</w:t>
            </w:r>
          </w:p>
        </w:tc>
        <w:tc>
          <w:tcPr>
            <w:tcW w:type="dxa" w:w="1680"/>
            <w:tcBorders>
              <w:bottom w:val="single" w:sz="4" w:space="0" w:color="000000"/>
            </w:tcBorders>
          </w:tcPr>
          <w:p>
            <w:pPr>
              <w:jc w:val="center"/>
            </w:pPr>
            <w:r/>
            <w:r>
              <w:rPr>
                <w:rFonts w:ascii="仿宋_GB2312" w:hAnsi="仿宋_GB2312" w:eastAsia="仿宋_GB2312"/>
                <w:b/>
                <w:sz w:val="24"/>
              </w:rPr>
              <w:t>本期减少额</w:t>
            </w:r>
          </w:p>
        </w:tc>
        <w:tc>
          <w:tcPr>
            <w:tcW w:type="dxa" w:w="168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680"/>
          </w:tcPr>
          <w:p>
            <w:r/>
            <w:r>
              <w:rPr>
                <w:rFonts w:ascii="仿宋_GB2312" w:hAnsi="仿宋_GB2312" w:eastAsia="仿宋_GB2312"/>
                <w:b w:val="0"/>
                <w:sz w:val="24"/>
              </w:rPr>
              <w:t>一、原价合计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其中：软件</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土地使用权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专利权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非专利技术</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商标权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著作权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特许权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采矿权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探矿权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数据资源</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二、累计摊销合计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其中：软件</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土地使用权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专利权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非专利技术</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商标权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著作权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特许权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采矿权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探矿权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数据资源</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三、无形资产减值准备合计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其中：软件</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土地使用权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专利权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非专利技术</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商标权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著作权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特许权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采矿权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探矿权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数据资源</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四、账面价值合计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其中：软件</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土地使用权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专利权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非专利技术</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商标权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著作权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特许权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采矿权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探矿权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数据资源</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外购的数据资源无形资产</w:t>
            </w:r>
          </w:p>
        </w:tc>
        <w:tc>
          <w:tcPr>
            <w:tcW w:type="dxa" w:w="1680"/>
            <w:tcBorders>
              <w:bottom w:val="single" w:sz="4" w:space="0" w:color="000000"/>
            </w:tcBorders>
          </w:tcPr>
          <w:p>
            <w:pPr>
              <w:jc w:val="center"/>
            </w:pPr>
            <w:r/>
            <w:r>
              <w:rPr>
                <w:rFonts w:ascii="仿宋_GB2312" w:hAnsi="仿宋_GB2312" w:eastAsia="仿宋_GB2312"/>
                <w:b/>
                <w:sz w:val="24"/>
              </w:rPr>
              <w:t>自行开发的数据资源无形资产</w:t>
            </w:r>
          </w:p>
        </w:tc>
        <w:tc>
          <w:tcPr>
            <w:tcW w:type="dxa" w:w="1680"/>
            <w:tcBorders>
              <w:bottom w:val="single" w:sz="4" w:space="0" w:color="000000"/>
            </w:tcBorders>
          </w:tcPr>
          <w:p>
            <w:pPr>
              <w:jc w:val="center"/>
            </w:pPr>
            <w:r/>
            <w:r>
              <w:rPr>
                <w:rFonts w:ascii="仿宋_GB2312" w:hAnsi="仿宋_GB2312" w:eastAsia="仿宋_GB2312"/>
                <w:b/>
                <w:sz w:val="24"/>
              </w:rPr>
              <w:t>其他方式取得的数据资源无形资产</w:t>
            </w:r>
          </w:p>
        </w:tc>
        <w:tc>
          <w:tcPr>
            <w:tcW w:type="dxa" w:w="1680"/>
            <w:tcBorders>
              <w:bottom w:val="single" w:sz="4" w:space="0" w:color="000000"/>
            </w:tcBorders>
          </w:tcPr>
          <w:p>
            <w:pPr>
              <w:jc w:val="center"/>
            </w:pPr>
            <w:r/>
            <w:r>
              <w:rPr>
                <w:rFonts w:ascii="仿宋_GB2312" w:hAnsi="仿宋_GB2312" w:eastAsia="仿宋_GB2312"/>
                <w:b/>
                <w:sz w:val="24"/>
              </w:rPr>
              <w:t>合计</w:t>
            </w:r>
          </w:p>
        </w:tc>
      </w:tr>
      <w:tr>
        <w:trPr>
          <w:trHeight w:val="397" w:hRule="exact"/>
          <w:cantSplit/>
        </w:trPr>
        <w:tc>
          <w:tcPr>
            <w:tcW w:type="dxa" w:w="1680"/>
          </w:tcPr>
          <w:p>
            <w:r/>
            <w:r>
              <w:rPr>
                <w:rFonts w:ascii="仿宋_GB2312" w:hAnsi="仿宋_GB2312" w:eastAsia="仿宋_GB2312"/>
                <w:b w:val="0"/>
                <w:sz w:val="24"/>
              </w:rPr>
              <w:t>一、账面原值</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1.期初余额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2.本期增加金额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其中：购入</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内部研发</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其他增加</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3.本期减少金额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其中：处置</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失效且终止确认</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其他减少</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4.期末余额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二、累计摊销</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1.期初余额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2.本期增加金额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3.本期减少金额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其中：处置</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失效且终止确认</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其他减少</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4.期末余额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三、减值准备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1.期初余额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2.本期增加金额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3.本期减少金额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4.期末余额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四、账面价值</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1.期末账面价值</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2.期初账面价值</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45、开发支出</w:t>
      </w:r>
      <w:bookmarkStart w:id="10802" w:name="note_section_八、28"/>
      <w:bookmarkEnd w:id="10802"/>
    </w:p>
    <w:p>
      <w:pPr>
        <w:spacing w:before="0" w:after="240" w:line="240" w:lineRule="auto"/>
      </w:pPr>
      <w:r>
        <w:rPr>
          <w:rFonts w:ascii="仿宋_GB2312" w:hAnsi="仿宋_GB2312" w:eastAsia="仿宋_GB2312"/>
          <w:b w:val="0"/>
          <w:sz w:val="24"/>
        </w:rPr>
        <w:t>注：披露资本化开始时点、资本化的具体依据、截至期末的研发进度等。</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680"/>
          </w:tcPr>
          <w:p>
            <w:r/>
            <w:r>
              <w:rPr>
                <w:rFonts w:ascii="仿宋_GB2312" w:hAnsi="仿宋_GB2312" w:eastAsia="仿宋_GB2312"/>
                <w:b w:val="0"/>
                <w:sz w:val="24"/>
              </w:rPr>
              <w:t>项目</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其中：数据资源</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46、商誉</w:t>
      </w:r>
      <w:bookmarkStart w:id="48120" w:name="note_section_八、29"/>
      <w:bookmarkEnd w:id="48120"/>
    </w:p>
    <w:p>
      <w:pPr>
        <w:spacing w:before="0" w:after="240" w:line="240" w:lineRule="auto"/>
      </w:pPr>
      <w:r>
        <w:rPr>
          <w:rFonts w:ascii="仿宋_GB2312" w:hAnsi="仿宋_GB2312" w:eastAsia="仿宋_GB2312"/>
          <w:b w:val="0"/>
          <w:sz w:val="24"/>
        </w:rPr>
        <w:t>### （1）商誉账面原值</w:t>
        <w:br/>
        <w:br/>
        <w:t>### （2）商誉减值准备</w:t>
        <w:br/>
        <w:br/>
        <w:t>（商誉的减值测试方法和减值准备计提方法，详细说明减值原因、减值金额确认依据。）</w:t>
        <w:br/>
        <w:br/>
        <w:t>本公司采用预计未来现金流现值的方法计算资产组的可收回金额。本公司根据管理层批准的财务预算预计未来5年内现金流量，其后年度采用的现金流量增长率预计为XX%（上期：XX%），不会超过资产组经营业务的长期平均增长率。管理层根据过往表现及其对市场发展的预期编制上述财务预算。计算未来现金流现值所采用的税前折现率为XX%（上期：XX%），已反映了相对于有关分部的风险。根据减值测试的结果，本期期末商誉未发生减值（上期期末：无）。【或：本期期末对商誉计提减值准备XX元（上期期末：XX元）。】</w:t>
      </w:r>
    </w:p>
    <w:p>
      <w:pPr>
        <w:spacing w:before="120" w:after="240" w:line="240" w:lineRule="auto"/>
      </w:pPr>
      <w:r>
        <w:rPr>
          <w:rFonts w:ascii="仿宋_GB2312" w:hAnsi="仿宋_GB2312" w:eastAsia="仿宋_GB2312"/>
          <w:b/>
          <w:sz w:val="24"/>
        </w:rPr>
        <w:t>被投资单位名称或形成商誉的事项</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被投资单位名称或形成商誉的事项</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被投资单位名称或形成商誉的事项</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被投资单位名称或形成商誉的事项</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47、衍生金融资产</w:t>
      </w:r>
      <w:bookmarkStart w:id="13057" w:name="note_section_八、3"/>
      <w:bookmarkEnd w:id="13057"/>
    </w:p>
    <w:p>
      <w:pPr>
        <w:spacing w:before="0" w:after="240" w:line="240" w:lineRule="auto"/>
      </w:pPr>
      <w:r>
        <w:rPr>
          <w:rFonts w:ascii="仿宋_GB2312" w:hAnsi="仿宋_GB2312" w:eastAsia="仿宋_GB2312"/>
          <w:b w:val="0"/>
          <w:sz w:val="24"/>
        </w:rPr>
        <w:t>（注：披露金额较大的前十项及其产生的原因，其余汇总填列。）</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48、长期待摊费用</w:t>
      </w:r>
      <w:bookmarkStart w:id="6370" w:name="note_section_八、30"/>
      <w:bookmarkEnd w:id="6370"/>
    </w:p>
    <w:p>
      <w:pPr>
        <w:spacing w:before="0" w:after="240" w:line="240" w:lineRule="auto"/>
      </w:pPr>
      <w:r>
        <w:rPr>
          <w:rFonts w:ascii="仿宋_GB2312" w:hAnsi="仿宋_GB2312" w:eastAsia="仿宋_GB2312"/>
          <w:b w:val="0"/>
          <w:sz w:val="24"/>
        </w:rPr>
        <w:t>本期无此项业务。</w:t>
      </w:r>
    </w:p>
    <w:p>
      <w:pPr>
        <w:spacing w:before="120" w:after="240" w:line="240" w:lineRule="auto"/>
      </w:pPr>
      <w:r>
        <w:rPr>
          <w:rFonts w:ascii="仿宋_GB2312" w:hAnsi="仿宋_GB2312" w:eastAsia="仿宋_GB2312"/>
          <w:b/>
          <w:sz w:val="24"/>
        </w:rPr>
        <w:t>49、递延所得税资产和递延所得税负债</w:t>
      </w:r>
      <w:bookmarkStart w:id="76212" w:name="note_section_八、31"/>
      <w:bookmarkEnd w:id="76212"/>
    </w:p>
    <w:p>
      <w:pPr>
        <w:spacing w:before="0" w:after="240" w:line="240" w:lineRule="auto"/>
      </w:pPr>
      <w:r>
        <w:rPr>
          <w:rFonts w:ascii="仿宋_GB2312" w:hAnsi="仿宋_GB2312" w:eastAsia="仿宋_GB2312"/>
          <w:b w:val="0"/>
          <w:sz w:val="24"/>
        </w:rPr>
        <w:t>### 未经抵销的递延所得税资产和递延所得税负债</w:t>
        <w:br/>
        <w:br/>
        <w:t>【提示：资产减值准备，含“持有待售资产减值准备”】</w:t>
        <w:br/>
        <w:br/>
        <w:t>【注：计入其他综合收益的其他金融资产为计入其他综合收益的其他债权投资、其他权益工具投资。】</w:t>
        <w:br/>
        <w:br/>
        <w:t>### 以抵销后净额列示的递延所得税资产或负债</w:t>
        <w:br/>
        <w:br/>
        <w:t>### 未确认递延所得税资产明细</w:t>
        <w:br/>
        <w:br/>
        <w:t>### 未确认递延所得税资产的可抵扣亏损将于以下年度到期</w:t>
        <w:br/>
        <w:br/>
        <w:t>【注：无法在资产负债表日确定全部可抵扣亏损情况的，可只填写能确定部分的金额及其到期年度，并在备注栏予以说明。】</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项目</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一、递延所得税资产</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信用减值准备</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资产减值准备</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交易性金融工具、衍生金融工具的估值</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计入其他综合收益的其他金融资产公允价值变动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租赁负债</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t>540,605.18</w:t>
            </w:r>
          </w:p>
        </w:tc>
      </w:tr>
      <w:tr>
        <w:trPr>
          <w:trHeight w:val="397" w:hRule="exact"/>
          <w:cantSplit/>
        </w:trPr>
        <w:tc>
          <w:tcPr>
            <w:tcW w:type="dxa" w:w="2801"/>
          </w:tcPr>
          <w:p>
            <w:r/>
            <w:r>
              <w:rPr>
                <w:rFonts w:ascii="仿宋_GB2312" w:hAnsi="仿宋_GB2312" w:eastAsia="仿宋_GB2312"/>
                <w:b w:val="0"/>
                <w:sz w:val="24"/>
              </w:rPr>
              <w:t>开办费</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可抵扣亏损</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t>540,605.18</w:t>
            </w:r>
          </w:p>
        </w:tc>
      </w:tr>
      <w:tr>
        <w:trPr>
          <w:trHeight w:val="397" w:hRule="exact"/>
          <w:cantSplit/>
        </w:trPr>
        <w:tc>
          <w:tcPr>
            <w:tcW w:type="dxa" w:w="2801"/>
          </w:tcPr>
          <w:p>
            <w:r/>
            <w:r>
              <w:rPr>
                <w:rFonts w:ascii="仿宋_GB2312" w:hAnsi="仿宋_GB2312" w:eastAsia="仿宋_GB2312"/>
                <w:b w:val="0"/>
                <w:sz w:val="24"/>
              </w:rPr>
              <w:t>二、递延所得税负债</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交易性金融工具、衍生金融工具的估值</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计入其他综合收益的其他金融资产公允价值变动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使用权资产</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t>852,201.87</w:t>
            </w:r>
          </w:p>
        </w:tc>
      </w:tr>
      <w:tr>
        <w:trPr>
          <w:trHeight w:val="397" w:hRule="exact"/>
          <w:cantSplit/>
        </w:trPr>
        <w:tc>
          <w:tcPr>
            <w:tcW w:type="dxa" w:w="2801"/>
          </w:tcPr>
          <w:p>
            <w:r/>
            <w:r>
              <w:rPr>
                <w:rFonts w:ascii="仿宋_GB2312" w:hAnsi="仿宋_GB2312" w:eastAsia="仿宋_GB2312"/>
                <w:b w:val="0"/>
                <w:sz w:val="24"/>
              </w:rPr>
              <w:t>……</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t>852,201.87</w:t>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w:t>
            </w:r>
          </w:p>
        </w:tc>
        <w:tc>
          <w:tcPr>
            <w:tcW w:type="dxa" w:w="2801"/>
            <w:tcBorders>
              <w:bottom w:val="single" w:sz="4" w:space="0" w:color="000000"/>
            </w:tcBorders>
          </w:tcPr>
          <w:p>
            <w:pPr>
              <w:jc w:val="center"/>
            </w:pPr>
            <w:r/>
            <w:r>
              <w:rPr>
                <w:rFonts w:ascii="仿宋_GB2312" w:hAnsi="仿宋_GB2312" w:eastAsia="仿宋_GB2312"/>
                <w:b/>
                <w:sz w:val="24"/>
              </w:rPr>
              <w:t>期初</w:t>
            </w:r>
          </w:p>
        </w:tc>
      </w:tr>
      <w:tr>
        <w:trPr>
          <w:trHeight w:val="397" w:hRule="exact"/>
          <w:cantSplit/>
        </w:trPr>
        <w:tc>
          <w:tcPr>
            <w:tcW w:type="dxa" w:w="2801"/>
          </w:tcPr>
          <w:p>
            <w:r/>
            <w:r>
              <w:rPr>
                <w:rFonts w:ascii="仿宋_GB2312" w:hAnsi="仿宋_GB2312" w:eastAsia="仿宋_GB2312"/>
                <w:b w:val="0"/>
                <w:sz w:val="24"/>
              </w:rPr>
              <w:t>项目</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一、递延所得税资产</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二、递延所得税负债</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可抵扣暂时性差异</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可抵扣亏损</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年  份</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年份</w:t>
            </w:r>
          </w:p>
        </w:tc>
        <w:tc>
          <w:tcPr>
            <w:tcW w:type="dxa" w:w="2100"/>
            <w:tcBorders>
              <w:bottom w:val="single" w:sz="4" w:space="0" w:color="000000"/>
            </w:tcBorders>
          </w:tcPr>
          <w:p>
            <w:pPr>
              <w:jc w:val="center"/>
            </w:pPr>
            <w:r/>
            <w:r>
              <w:rPr>
                <w:rFonts w:ascii="仿宋_GB2312" w:hAnsi="仿宋_GB2312" w:eastAsia="仿宋_GB2312"/>
                <w:b/>
                <w:sz w:val="24"/>
              </w:rPr>
              <w:t>期末余额</w:t>
            </w:r>
          </w:p>
        </w:tc>
        <w:tc>
          <w:tcPr>
            <w:tcW w:type="dxa" w:w="2100"/>
            <w:tcBorders>
              <w:bottom w:val="single" w:sz="4" w:space="0" w:color="000000"/>
            </w:tcBorders>
          </w:tcPr>
          <w:p>
            <w:pPr>
              <w:jc w:val="center"/>
            </w:pPr>
            <w:r/>
            <w:r>
              <w:rPr>
                <w:rFonts w:ascii="仿宋_GB2312" w:hAnsi="仿宋_GB2312" w:eastAsia="仿宋_GB2312"/>
                <w:b/>
                <w:sz w:val="24"/>
              </w:rPr>
              <w:t>期初余额</w:t>
            </w:r>
          </w:p>
        </w:tc>
        <w:tc>
          <w:tcPr>
            <w:tcW w:type="dxa" w:w="2100"/>
            <w:tcBorders>
              <w:bottom w:val="single" w:sz="4" w:space="0" w:color="000000"/>
            </w:tcBorders>
          </w:tcPr>
          <w:p>
            <w:pPr>
              <w:jc w:val="center"/>
            </w:pPr>
            <w:r/>
            <w:r>
              <w:rPr>
                <w:rFonts w:ascii="仿宋_GB2312" w:hAnsi="仿宋_GB2312" w:eastAsia="仿宋_GB2312"/>
                <w:b/>
                <w:sz w:val="24"/>
              </w:rPr>
              <w:t>备注</w:t>
            </w:r>
          </w:p>
        </w:tc>
      </w:tr>
      <w:tr>
        <w:trPr>
          <w:trHeight w:val="397" w:hRule="exact"/>
          <w:cantSplit/>
        </w:trPr>
        <w:tc>
          <w:tcPr>
            <w:tcW w:type="dxa" w:w="2100"/>
          </w:tcPr>
          <w:p>
            <w:r/>
            <w:r>
              <w:rPr>
                <w:rFonts w:ascii="仿宋_GB2312" w:hAnsi="仿宋_GB2312" w:eastAsia="仿宋_GB2312"/>
                <w:b w:val="0"/>
                <w:sz w:val="24"/>
              </w:rPr>
              <w:t>2025年</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2026年</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2027年</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2028年</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2029年</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2030年</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2031年</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2032年</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2033年</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2034年</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2035年</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无使用期限</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50、其他非流动资产</w:t>
      </w:r>
      <w:bookmarkStart w:id="54281" w:name="note_section_八、32"/>
      <w:bookmarkEnd w:id="54281"/>
    </w:p>
    <w:p>
      <w:pPr>
        <w:spacing w:before="0" w:after="240" w:line="240" w:lineRule="auto"/>
      </w:pPr>
      <w:r>
        <w:rPr>
          <w:rFonts w:ascii="仿宋_GB2312" w:hAnsi="仿宋_GB2312" w:eastAsia="仿宋_GB2312"/>
          <w:b w:val="0"/>
          <w:sz w:val="24"/>
        </w:rPr>
        <w:t>[披露与合同取得成本有关的资产相关的信息，包括确定该资产金额所做的判断、该资产的摊销方法、按该资产主要类别披露的期末账面价值以及本期确认的摊销及减值损失金额等。例如：</w:t>
        <w:br/>
        <w:br/>
        <w:t>本公司管理层预计，为了取得XX合同而支付给中介机构的增量佣金支出可以收回。因此，本公司将相关金额资本化确认为合同取得成本，在相关收入确认时进行摊销。2020年，这些佣金支出在发生时被确认为销售费用。]</w:t>
        <w:br/>
        <w:br/>
        <w:t>[本公司将摊销期限未超过一年的合同取得成本于其发生时计入当期损益。]</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预付长期资产购置款</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合同资产</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合同取得成本</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合同履约成本</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应收退货成本</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bl>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[佣金支出]</w:t>
            </w:r>
          </w:p>
        </w:tc>
        <w:tc>
          <w:tcPr>
            <w:tcW w:type="dxa" w:w="4201"/>
            <w:tcBorders>
              <w:bottom w:val="single" w:sz="4" w:space="0" w:color="000000"/>
            </w:tcBorders>
          </w:tcPr>
          <w:p>
            <w:pPr>
              <w:jc w:val="center"/>
            </w:pPr>
            <w:r/>
            <w:r>
              <w:rPr>
                <w:rFonts w:ascii="仿宋_GB2312" w:hAnsi="仿宋_GB2312" w:eastAsia="仿宋_GB2312"/>
                <w:b/>
                <w:sz w:val="24"/>
              </w:rPr>
              <w:t>合计</w:t>
            </w:r>
          </w:p>
        </w:tc>
      </w:tr>
      <w:tr>
        <w:trPr>
          <w:trHeight w:val="397" w:hRule="exact"/>
          <w:cantSplit/>
        </w:trPr>
        <w:tc>
          <w:tcPr>
            <w:tcW w:type="dxa" w:w="4201"/>
          </w:tcPr>
          <w:p>
            <w:r/>
            <w:r>
              <w:rPr>
                <w:rFonts w:ascii="仿宋_GB2312" w:hAnsi="仿宋_GB2312" w:eastAsia="仿宋_GB2312"/>
                <w:b w:val="0"/>
                <w:sz w:val="24"/>
              </w:rPr>
              <w:t>期初余额</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本年增加</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本年摊销</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期末余额</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51、短期借款</w:t>
      </w:r>
      <w:bookmarkStart w:id="99392" w:name="note_section_八、33"/>
      <w:bookmarkEnd w:id="99392"/>
    </w:p>
    <w:p>
      <w:pPr>
        <w:spacing w:before="0" w:after="240" w:line="240" w:lineRule="auto"/>
      </w:pPr>
      <w:r>
        <w:rPr>
          <w:rFonts w:ascii="仿宋_GB2312" w:hAnsi="仿宋_GB2312" w:eastAsia="仿宋_GB2312"/>
          <w:b w:val="0"/>
          <w:sz w:val="24"/>
        </w:rPr>
        <w:t>### 短期借款分类</w:t>
        <w:br/>
        <w:br/>
        <w:t>### 已逾期未偿还的短期借款情况</w:t>
        <w:br/>
        <w:br/>
        <w:t>① 资产负债表日后已偿还金额XX元。</w:t>
        <w:br/>
        <w:br/>
        <w:t>②（包括已到期短期借款或展期的，若已到期的短期借款获得展期，应说明展期条件、新的到期日。）</w:t>
      </w:r>
    </w:p>
    <w:p>
      <w:pPr>
        <w:spacing w:before="120" w:after="240" w:line="240" w:lineRule="auto"/>
      </w:pPr>
      <w:r>
        <w:rPr>
          <w:rFonts w:ascii="仿宋_GB2312" w:hAnsi="仿宋_GB2312" w:eastAsia="仿宋_GB2312"/>
          <w:b/>
          <w:sz w:val="24"/>
        </w:rPr>
        <w:t>借款类别</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借款类别</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质押借款</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抵押借款</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保证借款</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信用借款</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债权单位</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债权单位</w:t>
            </w:r>
          </w:p>
        </w:tc>
        <w:tc>
          <w:tcPr>
            <w:tcW w:type="dxa" w:w="1680"/>
            <w:tcBorders>
              <w:bottom w:val="single" w:sz="4" w:space="0" w:color="000000"/>
            </w:tcBorders>
          </w:tcPr>
          <w:p>
            <w:pPr>
              <w:jc w:val="center"/>
            </w:pPr>
            <w:r/>
            <w:r>
              <w:rPr>
                <w:rFonts w:ascii="仿宋_GB2312" w:hAnsi="仿宋_GB2312" w:eastAsia="仿宋_GB2312"/>
                <w:b/>
                <w:sz w:val="24"/>
              </w:rPr>
              <w:t>期末余额</w:t>
            </w:r>
          </w:p>
        </w:tc>
        <w:tc>
          <w:tcPr>
            <w:tcW w:type="dxa" w:w="1680"/>
            <w:tcBorders>
              <w:bottom w:val="single" w:sz="4" w:space="0" w:color="000000"/>
            </w:tcBorders>
          </w:tcPr>
          <w:p>
            <w:pPr>
              <w:jc w:val="center"/>
            </w:pPr>
            <w:r/>
            <w:r>
              <w:rPr>
                <w:rFonts w:ascii="仿宋_GB2312" w:hAnsi="仿宋_GB2312" w:eastAsia="仿宋_GB2312"/>
                <w:b/>
                <w:sz w:val="24"/>
              </w:rPr>
              <w:t>借款利率（%）</w:t>
            </w:r>
          </w:p>
        </w:tc>
        <w:tc>
          <w:tcPr>
            <w:tcW w:type="dxa" w:w="1680"/>
            <w:tcBorders>
              <w:bottom w:val="single" w:sz="4" w:space="0" w:color="000000"/>
            </w:tcBorders>
          </w:tcPr>
          <w:p>
            <w:pPr>
              <w:jc w:val="center"/>
            </w:pPr>
            <w:r/>
            <w:r>
              <w:rPr>
                <w:rFonts w:ascii="仿宋_GB2312" w:hAnsi="仿宋_GB2312" w:eastAsia="仿宋_GB2312"/>
                <w:b/>
                <w:sz w:val="24"/>
              </w:rPr>
              <w:t>逾期时间（月）</w:t>
            </w:r>
          </w:p>
        </w:tc>
        <w:tc>
          <w:tcPr>
            <w:tcW w:type="dxa" w:w="1680"/>
            <w:tcBorders>
              <w:bottom w:val="single" w:sz="4" w:space="0" w:color="000000"/>
            </w:tcBorders>
          </w:tcPr>
          <w:p>
            <w:pPr>
              <w:jc w:val="center"/>
            </w:pPr>
            <w:r/>
            <w:r>
              <w:rPr>
                <w:rFonts w:ascii="仿宋_GB2312" w:hAnsi="仿宋_GB2312" w:eastAsia="仿宋_GB2312"/>
                <w:b/>
                <w:sz w:val="24"/>
              </w:rPr>
              <w:t>逾期利率</w:t>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52、交易性金融负债</w:t>
      </w:r>
      <w:bookmarkStart w:id="10987" w:name="note_section_八、34"/>
      <w:bookmarkEnd w:id="10987"/>
    </w:p>
    <w:p>
      <w:pPr>
        <w:spacing w:before="0" w:after="240" w:line="240" w:lineRule="auto"/>
      </w:pPr>
      <w:r>
        <w:rPr>
          <w:rFonts w:ascii="仿宋_GB2312" w:hAnsi="仿宋_GB2312" w:eastAsia="仿宋_GB2312"/>
          <w:b w:val="0"/>
          <w:sz w:val="24"/>
        </w:rPr>
        <w:t>注： [对于指定为以公允价值计量且其变动计入当期损益的金融负债，需区分企业自身信用风险变动引起的该金融负债公允价值变动金额计入其他综合收益和该金融负债 (包括企</w:t>
        <w:br/>
        <w:br/>
        <w:t>对于指定为以公允价值计量且其变动计入当期损益的金融负债，202X年公允价值的变动情况如下表所示：</w:t>
        <w:br/>
        <w:br/>
        <w:t>202X年12月31日，指定为以公允价值计量且其变动计入当期损益的金融负债的账面价值与按合同约定到期应支付债权人金额之间的差额为人民币[XX]元。]</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期末公允价值</w:t>
            </w:r>
          </w:p>
        </w:tc>
        <w:tc>
          <w:tcPr>
            <w:tcW w:type="dxa" w:w="2801"/>
            <w:tcBorders>
              <w:bottom w:val="single" w:sz="4" w:space="0" w:color="000000"/>
            </w:tcBorders>
          </w:tcPr>
          <w:p>
            <w:pPr>
              <w:jc w:val="center"/>
            </w:pPr>
            <w:r/>
            <w:r>
              <w:rPr>
                <w:rFonts w:ascii="仿宋_GB2312" w:hAnsi="仿宋_GB2312" w:eastAsia="仿宋_GB2312"/>
                <w:b/>
                <w:sz w:val="24"/>
              </w:rPr>
              <w:t>期初公允价值</w:t>
            </w:r>
          </w:p>
        </w:tc>
      </w:tr>
      <w:tr>
        <w:trPr>
          <w:trHeight w:val="397" w:hRule="exact"/>
          <w:cantSplit/>
        </w:trPr>
        <w:tc>
          <w:tcPr>
            <w:tcW w:type="dxa" w:w="2801"/>
          </w:tcPr>
          <w:p>
            <w:r/>
            <w:r>
              <w:rPr>
                <w:rFonts w:ascii="仿宋_GB2312" w:hAnsi="仿宋_GB2312" w:eastAsia="仿宋_GB2312"/>
                <w:b w:val="0"/>
                <w:sz w:val="24"/>
              </w:rPr>
              <w:t>交易性金融负债</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其中：发行的交易性债券</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指定为以公允价值计量且其变动计入当期损益的金融负债</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项目</w:t>
            </w:r>
          </w:p>
        </w:tc>
        <w:tc>
          <w:tcPr>
            <w:tcW w:type="dxa" w:w="2100"/>
            <w:tcBorders>
              <w:bottom w:val="single" w:sz="4" w:space="0" w:color="000000"/>
            </w:tcBorders>
          </w:tcPr>
          <w:p>
            <w:pPr>
              <w:jc w:val="center"/>
            </w:pPr>
            <w:r/>
            <w:r>
              <w:rPr>
                <w:rFonts w:ascii="仿宋_GB2312" w:hAnsi="仿宋_GB2312" w:eastAsia="仿宋_GB2312"/>
                <w:b/>
                <w:sz w:val="24"/>
              </w:rPr>
              <w:t>202X年公允价值变动额</w:t>
            </w:r>
          </w:p>
        </w:tc>
        <w:tc>
          <w:tcPr>
            <w:tcW w:type="dxa" w:w="2100"/>
            <w:tcBorders>
              <w:bottom w:val="single" w:sz="4" w:space="0" w:color="000000"/>
            </w:tcBorders>
          </w:tcPr>
          <w:p>
            <w:pPr>
              <w:jc w:val="center"/>
            </w:pPr>
            <w:r/>
            <w:r>
              <w:rPr>
                <w:rFonts w:ascii="仿宋_GB2312" w:hAnsi="仿宋_GB2312" w:eastAsia="仿宋_GB2312"/>
                <w:b/>
                <w:sz w:val="24"/>
              </w:rPr>
              <w:t>因自身信用风险变动引起的公允价值本年变动额</w:t>
            </w:r>
          </w:p>
        </w:tc>
        <w:tc>
          <w:tcPr>
            <w:tcW w:type="dxa" w:w="2100"/>
            <w:tcBorders>
              <w:bottom w:val="single" w:sz="4" w:space="0" w:color="000000"/>
            </w:tcBorders>
          </w:tcPr>
          <w:p>
            <w:pPr>
              <w:jc w:val="center"/>
            </w:pPr>
            <w:r/>
            <w:r>
              <w:rPr>
                <w:rFonts w:ascii="仿宋_GB2312" w:hAnsi="仿宋_GB2312" w:eastAsia="仿宋_GB2312"/>
                <w:b/>
                <w:sz w:val="24"/>
              </w:rPr>
              <w:t>因自身信用风险变动引起的公允价值累计变动额</w:t>
            </w:r>
          </w:p>
        </w:tc>
      </w:tr>
      <w:tr>
        <w:trPr>
          <w:trHeight w:val="397" w:hRule="exact"/>
          <w:cantSplit/>
        </w:trPr>
        <w:tc>
          <w:tcPr>
            <w:tcW w:type="dxa" w:w="2100"/>
          </w:tcPr>
          <w:p>
            <w:r/>
            <w:r>
              <w:rPr>
                <w:rFonts w:ascii="仿宋_GB2312" w:hAnsi="仿宋_GB2312" w:eastAsia="仿宋_GB2312"/>
                <w:b w:val="0"/>
                <w:sz w:val="24"/>
              </w:rPr>
              <w:t>发行的普通债权</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53、衍生金融负债</w:t>
      </w:r>
      <w:bookmarkStart w:id="1267" w:name="note_section_八、35"/>
      <w:bookmarkEnd w:id="1267"/>
    </w:p>
    <w:p>
      <w:pPr>
        <w:spacing w:before="0" w:after="240" w:line="240" w:lineRule="auto"/>
      </w:pPr>
      <w:r>
        <w:rPr>
          <w:rFonts w:ascii="仿宋_GB2312" w:hAnsi="仿宋_GB2312" w:eastAsia="仿宋_GB2312"/>
          <w:b w:val="0"/>
          <w:sz w:val="24"/>
        </w:rPr>
        <w:t>注：披露金额较大的前十项及其产生的原因，其余汇总填列。</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54、应付票据</w:t>
      </w:r>
      <w:bookmarkStart w:id="24712" w:name="note_section_八、36"/>
      <w:bookmarkEnd w:id="24712"/>
    </w:p>
    <w:p>
      <w:pPr>
        <w:spacing w:before="0" w:after="240" w:line="240" w:lineRule="auto"/>
      </w:pPr>
      <w:r>
        <w:rPr>
          <w:rFonts w:ascii="仿宋_GB2312" w:hAnsi="仿宋_GB2312" w:eastAsia="仿宋_GB2312"/>
          <w:b w:val="0"/>
          <w:sz w:val="24"/>
        </w:rPr>
        <w:t>注：企业应说明本期已到期未支付的应付票据总金额。</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类别</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商业承兑汇票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银行承兑汇票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55、应付账款</w:t>
      </w:r>
      <w:bookmarkStart w:id="31962" w:name="note_section_八、37"/>
      <w:bookmarkEnd w:id="31962"/>
    </w:p>
    <w:p>
      <w:pPr>
        <w:spacing w:before="0" w:after="240" w:line="240" w:lineRule="auto"/>
      </w:pPr>
      <w:r>
        <w:rPr>
          <w:rFonts w:ascii="仿宋_GB2312" w:hAnsi="仿宋_GB2312" w:eastAsia="仿宋_GB2312"/>
          <w:b w:val="0"/>
          <w:sz w:val="24"/>
        </w:rPr>
        <w:t>### 账龄超过1 年的重要应付账款</w:t>
      </w:r>
    </w:p>
    <w:p>
      <w:pPr>
        <w:spacing w:before="120" w:after="240" w:line="240" w:lineRule="auto"/>
      </w:pPr>
      <w:r>
        <w:rPr>
          <w:rFonts w:ascii="仿宋_GB2312" w:hAnsi="仿宋_GB2312" w:eastAsia="仿宋_GB2312"/>
          <w:b/>
          <w:sz w:val="24"/>
        </w:rPr>
        <w:t>账  龄</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账龄</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1年以内（含1年）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1至2年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2至3年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3年以上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债权单位名称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债权单位名称</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未偿还原因</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56、预收款项</w:t>
      </w:r>
      <w:bookmarkStart w:id="26784" w:name="note_section_八、38"/>
      <w:bookmarkEnd w:id="26784"/>
    </w:p>
    <w:p>
      <w:pPr>
        <w:spacing w:before="0" w:after="240" w:line="240" w:lineRule="auto"/>
      </w:pPr>
      <w:r>
        <w:rPr>
          <w:rFonts w:ascii="仿宋_GB2312" w:hAnsi="仿宋_GB2312" w:eastAsia="仿宋_GB2312"/>
          <w:b w:val="0"/>
          <w:sz w:val="24"/>
        </w:rPr>
        <w:t>### 账龄超过1年的重要预收款项</w:t>
      </w:r>
    </w:p>
    <w:p>
      <w:pPr>
        <w:spacing w:before="120" w:after="240" w:line="240" w:lineRule="auto"/>
      </w:pPr>
      <w:r>
        <w:rPr>
          <w:rFonts w:ascii="仿宋_GB2312" w:hAnsi="仿宋_GB2312" w:eastAsia="仿宋_GB2312"/>
          <w:b/>
          <w:sz w:val="24"/>
        </w:rPr>
        <w:t>账  龄</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账龄</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1年以内（含1年）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1年以上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债权单位名称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债权单位名称</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未结转原因</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57、合同负债</w:t>
      </w:r>
      <w:bookmarkStart w:id="12720" w:name="note_section_八、39"/>
      <w:bookmarkEnd w:id="12720"/>
    </w:p>
    <w:p>
      <w:pPr>
        <w:spacing w:before="0" w:after="240" w:line="240" w:lineRule="auto"/>
      </w:pPr>
      <w:r>
        <w:rPr>
          <w:rFonts w:ascii="仿宋_GB2312" w:hAnsi="仿宋_GB2312" w:eastAsia="仿宋_GB2312"/>
          <w:b w:val="0"/>
          <w:sz w:val="24"/>
        </w:rPr>
        <w:t>1、在本期确认的包括在合同负债期初账面价值中的收入；以及前期已经履行（或部分履行）的履约义务在本期确认的收入（例如，交易价格的变动）。</w:t>
        <w:br/>
        <w:br/>
        <w:t>2、履行履约义务的时间与通常的付款时间之间的关系，以及此类因素对合同负债（如果对合同资产产生影响在合同负债科目下说明）账面价值的影响的定量或定性信息。</w:t>
        <w:br/>
        <w:br/>
        <w:t>3、合同负债的账面价值在本期内发生的重大变动的情形包括：</w:t>
        <w:br/>
        <w:br/>
        <w:t>①企业合并导致的变动；</w:t>
        <w:br/>
        <w:br/>
        <w:t>②对收入进行累积追加调整导致的相关合同资产和合同负债的变动，此类调整可能源于估计履约进度的变化、估计交易价格的变化（包括对于可变对价是否受到限制的评估发生变化）或者合同变更；</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变动金额</w:t>
            </w:r>
          </w:p>
        </w:tc>
        <w:tc>
          <w:tcPr>
            <w:tcW w:type="dxa" w:w="2801"/>
            <w:tcBorders>
              <w:bottom w:val="single" w:sz="4" w:space="0" w:color="000000"/>
            </w:tcBorders>
          </w:tcPr>
          <w:p>
            <w:pPr>
              <w:jc w:val="center"/>
            </w:pPr>
            <w:r/>
            <w:r>
              <w:rPr>
                <w:rFonts w:ascii="仿宋_GB2312" w:hAnsi="仿宋_GB2312" w:eastAsia="仿宋_GB2312"/>
                <w:b/>
                <w:sz w:val="24"/>
              </w:rPr>
              <w:t>变动原因</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58、应收票据</w:t>
      </w:r>
      <w:bookmarkStart w:id="12691" w:name="note_section_八、4"/>
      <w:bookmarkEnd w:id="12691"/>
    </w:p>
    <w:p>
      <w:pPr>
        <w:spacing w:before="0" w:after="240" w:line="240" w:lineRule="auto"/>
      </w:pPr>
      <w:r>
        <w:rPr>
          <w:rFonts w:ascii="仿宋_GB2312" w:hAnsi="仿宋_GB2312" w:eastAsia="仿宋_GB2312"/>
          <w:b w:val="0"/>
          <w:sz w:val="24"/>
        </w:rPr>
        <w:t>应收票据分类</w:t>
        <w:br/>
        <w:br/>
        <w:t>坏账准备计提情况</w:t>
        <w:br/>
        <w:br/>
        <w:t>#### 按坏账准备计提方法分类披露应收票据</w:t>
        <w:br/>
        <w:br/>
        <w:t>本期计提、收回或转回的应收票据坏账准备情况</w:t>
        <w:br/>
        <w:br/>
        <w:t>期末已质押的应收票据</w:t>
        <w:br/>
        <w:br/>
        <w:t>期末已背书或贴现且在资产负债表日尚未到期的应收票据</w:t>
        <w:br/>
        <w:br/>
        <w:t>期末因出票人未履约而转为应收账款的票据</w:t>
        <w:br/>
        <w:br/>
        <w:t>本期实际核销的应收票据</w:t>
      </w:r>
    </w:p>
    <w:p>
      <w:pPr>
        <w:spacing w:before="120" w:after="240" w:line="240" w:lineRule="auto"/>
      </w:pPr>
      <w:r>
        <w:rPr>
          <w:rFonts w:ascii="仿宋_GB2312" w:hAnsi="仿宋_GB2312" w:eastAsia="仿宋_GB2312"/>
          <w:b/>
          <w:sz w:val="24"/>
        </w:rPr>
        <w:t>票据种类</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票据种类</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票据种类</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银行承兑汇票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商业承兑汇票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类  别</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类别</w:t>
            </w:r>
          </w:p>
        </w:tc>
        <w:tc>
          <w:tcPr>
            <w:tcW w:type="dxa" w:w="4201"/>
            <w:tcBorders>
              <w:bottom w:val="single" w:sz="4" w:space="0" w:color="000000"/>
            </w:tcBorders>
          </w:tcPr>
          <w:p>
            <w:pPr>
              <w:jc w:val="center"/>
            </w:pPr>
            <w:r/>
            <w:r>
              <w:rPr>
                <w:rFonts w:ascii="仿宋_GB2312" w:hAnsi="仿宋_GB2312" w:eastAsia="仿宋_GB2312"/>
                <w:b/>
                <w:sz w:val="24"/>
              </w:rPr>
              <w:t>期末数</w:t>
            </w:r>
          </w:p>
        </w:tc>
      </w:tr>
      <w:tr>
        <w:trPr>
          <w:trHeight w:val="397" w:hRule="exact"/>
          <w:cantSplit/>
        </w:trPr>
        <w:tc>
          <w:tcPr>
            <w:tcW w:type="dxa" w:w="4201"/>
          </w:tcPr>
          <w:p>
            <w:r/>
            <w:r>
              <w:rPr>
                <w:rFonts w:ascii="仿宋_GB2312" w:hAnsi="仿宋_GB2312" w:eastAsia="仿宋_GB2312"/>
                <w:b w:val="0"/>
                <w:sz w:val="24"/>
              </w:rPr>
              <w:t>类别</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类别</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按单项计提坏账准备</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按组合计提坏账准备</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合计</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类  别</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类别</w:t>
            </w:r>
          </w:p>
        </w:tc>
        <w:tc>
          <w:tcPr>
            <w:tcW w:type="dxa" w:w="42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4201"/>
          </w:tcPr>
          <w:p>
            <w:r/>
            <w:r>
              <w:rPr>
                <w:rFonts w:ascii="仿宋_GB2312" w:hAnsi="仿宋_GB2312" w:eastAsia="仿宋_GB2312"/>
                <w:b w:val="0"/>
                <w:sz w:val="24"/>
              </w:rPr>
              <w:t>类别</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类别</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按单项计提坏账准备</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按组合计提坏账准备</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合计</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承兑人名称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承兑人名称</w:t>
            </w:r>
          </w:p>
        </w:tc>
        <w:tc>
          <w:tcPr>
            <w:tcW w:type="dxa" w:w="4201"/>
            <w:tcBorders>
              <w:bottom w:val="single" w:sz="4" w:space="0" w:color="000000"/>
            </w:tcBorders>
          </w:tcPr>
          <w:p>
            <w:pPr>
              <w:jc w:val="center"/>
            </w:pPr>
            <w:r/>
            <w:r>
              <w:rPr>
                <w:rFonts w:ascii="仿宋_GB2312" w:hAnsi="仿宋_GB2312" w:eastAsia="仿宋_GB2312"/>
                <w:b/>
                <w:sz w:val="24"/>
              </w:rPr>
              <w:t>期末数</w:t>
            </w:r>
          </w:p>
        </w:tc>
      </w:tr>
      <w:tr>
        <w:trPr>
          <w:trHeight w:val="397" w:hRule="exact"/>
          <w:cantSplit/>
        </w:trPr>
        <w:tc>
          <w:tcPr>
            <w:tcW w:type="dxa" w:w="4201"/>
          </w:tcPr>
          <w:p>
            <w:r/>
            <w:r>
              <w:rPr>
                <w:rFonts w:ascii="仿宋_GB2312" w:hAnsi="仿宋_GB2312" w:eastAsia="仿宋_GB2312"/>
                <w:b w:val="0"/>
                <w:sz w:val="24"/>
              </w:rPr>
              <w:t>承兑人名称</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合计</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承兑人名称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承兑人名称</w:t>
            </w:r>
          </w:p>
        </w:tc>
        <w:tc>
          <w:tcPr>
            <w:tcW w:type="dxa" w:w="4201"/>
            <w:tcBorders>
              <w:bottom w:val="single" w:sz="4" w:space="0" w:color="000000"/>
            </w:tcBorders>
          </w:tcPr>
          <w:p>
            <w:pPr>
              <w:jc w:val="center"/>
            </w:pPr>
            <w:r/>
            <w:r>
              <w:rPr>
                <w:rFonts w:ascii="仿宋_GB2312" w:hAnsi="仿宋_GB2312" w:eastAsia="仿宋_GB2312"/>
                <w:b/>
                <w:sz w:val="24"/>
              </w:rPr>
              <w:t>期末数</w:t>
            </w:r>
          </w:p>
        </w:tc>
      </w:tr>
      <w:tr>
        <w:trPr>
          <w:trHeight w:val="397" w:hRule="exact"/>
          <w:cantSplit/>
        </w:trPr>
        <w:tc>
          <w:tcPr>
            <w:tcW w:type="dxa" w:w="4201"/>
          </w:tcPr>
          <w:p>
            <w:r/>
            <w:r>
              <w:rPr>
                <w:rFonts w:ascii="仿宋_GB2312" w:hAnsi="仿宋_GB2312" w:eastAsia="仿宋_GB2312"/>
                <w:b w:val="0"/>
                <w:sz w:val="24"/>
              </w:rPr>
              <w:t>承兑人名称</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商业承兑汇票小计</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出票人类型或账龄</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银行承兑汇票小计</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出票人类型或账龄</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合计</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类别</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类别</w:t>
            </w:r>
          </w:p>
        </w:tc>
        <w:tc>
          <w:tcPr>
            <w:tcW w:type="dxa" w:w="2100"/>
            <w:tcBorders>
              <w:bottom w:val="single" w:sz="4" w:space="0" w:color="000000"/>
            </w:tcBorders>
          </w:tcPr>
          <w:p>
            <w:pPr>
              <w:jc w:val="center"/>
            </w:pPr>
            <w:r/>
            <w:r>
              <w:rPr>
                <w:rFonts w:ascii="仿宋_GB2312" w:hAnsi="仿宋_GB2312" w:eastAsia="仿宋_GB2312"/>
                <w:b/>
                <w:sz w:val="24"/>
              </w:rPr>
              <w:t>期初数</w:t>
            </w:r>
          </w:p>
        </w:tc>
        <w:tc>
          <w:tcPr>
            <w:tcW w:type="dxa" w:w="2100"/>
            <w:tcBorders>
              <w:bottom w:val="single" w:sz="4" w:space="0" w:color="000000"/>
            </w:tcBorders>
          </w:tcPr>
          <w:p>
            <w:pPr>
              <w:jc w:val="center"/>
            </w:pPr>
            <w:r/>
            <w:r>
              <w:rPr>
                <w:rFonts w:ascii="仿宋_GB2312" w:hAnsi="仿宋_GB2312" w:eastAsia="仿宋_GB2312"/>
                <w:b/>
                <w:sz w:val="24"/>
              </w:rPr>
              <w:t>本期变动情况</w:t>
            </w:r>
          </w:p>
        </w:tc>
        <w:tc>
          <w:tcPr>
            <w:tcW w:type="dxa" w:w="2100"/>
            <w:tcBorders>
              <w:bottom w:val="single" w:sz="4" w:space="0" w:color="000000"/>
            </w:tcBorders>
          </w:tcPr>
          <w:p>
            <w:pPr>
              <w:jc w:val="center"/>
            </w:pPr>
            <w:r/>
            <w:r>
              <w:rPr>
                <w:rFonts w:ascii="仿宋_GB2312" w:hAnsi="仿宋_GB2312" w:eastAsia="仿宋_GB2312"/>
                <w:b/>
                <w:sz w:val="24"/>
              </w:rPr>
              <w:t>期末数</w:t>
            </w:r>
          </w:p>
        </w:tc>
      </w:tr>
      <w:tr>
        <w:trPr>
          <w:trHeight w:val="397" w:hRule="exact"/>
          <w:cantSplit/>
        </w:trPr>
        <w:tc>
          <w:tcPr>
            <w:tcW w:type="dxa" w:w="2100"/>
          </w:tcPr>
          <w:p>
            <w:r/>
            <w:r>
              <w:rPr>
                <w:rFonts w:ascii="仿宋_GB2312" w:hAnsi="仿宋_GB2312" w:eastAsia="仿宋_GB2312"/>
                <w:b w:val="0"/>
                <w:sz w:val="24"/>
              </w:rPr>
              <w:t>类别</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单项计提预期信用损失的应收票据</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按组合计提预期信用损失的应收票据</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其中：</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承兑人名称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承兑人名称</w:t>
            </w:r>
          </w:p>
        </w:tc>
        <w:tc>
          <w:tcPr>
            <w:tcW w:type="dxa" w:w="1680"/>
            <w:tcBorders>
              <w:bottom w:val="single" w:sz="4" w:space="0" w:color="000000"/>
            </w:tcBorders>
          </w:tcPr>
          <w:p>
            <w:pPr>
              <w:jc w:val="center"/>
            </w:pPr>
            <w:r/>
            <w:r>
              <w:rPr>
                <w:rFonts w:ascii="仿宋_GB2312" w:hAnsi="仿宋_GB2312" w:eastAsia="仿宋_GB2312"/>
                <w:b/>
                <w:sz w:val="24"/>
              </w:rPr>
              <w:t>转回或收回金额</w:t>
            </w:r>
          </w:p>
        </w:tc>
        <w:tc>
          <w:tcPr>
            <w:tcW w:type="dxa" w:w="1680"/>
            <w:tcBorders>
              <w:bottom w:val="single" w:sz="4" w:space="0" w:color="000000"/>
            </w:tcBorders>
          </w:tcPr>
          <w:p>
            <w:pPr>
              <w:jc w:val="center"/>
            </w:pPr>
            <w:r/>
            <w:r>
              <w:rPr>
                <w:rFonts w:ascii="仿宋_GB2312" w:hAnsi="仿宋_GB2312" w:eastAsia="仿宋_GB2312"/>
                <w:b/>
                <w:sz w:val="24"/>
              </w:rPr>
              <w:t>转回或收回方式</w:t>
            </w:r>
          </w:p>
        </w:tc>
        <w:tc>
          <w:tcPr>
            <w:tcW w:type="dxa" w:w="1680"/>
            <w:tcBorders>
              <w:bottom w:val="single" w:sz="4" w:space="0" w:color="000000"/>
            </w:tcBorders>
          </w:tcPr>
          <w:p>
            <w:pPr>
              <w:jc w:val="center"/>
            </w:pPr>
            <w:r/>
            <w:r>
              <w:rPr>
                <w:rFonts w:ascii="仿宋_GB2312" w:hAnsi="仿宋_GB2312" w:eastAsia="仿宋_GB2312"/>
                <w:b/>
                <w:sz w:val="24"/>
              </w:rPr>
              <w:t>转回&lt;br/&gt;原因</w:t>
            </w:r>
          </w:p>
        </w:tc>
        <w:tc>
          <w:tcPr>
            <w:tcW w:type="dxa" w:w="1680"/>
            <w:tcBorders>
              <w:bottom w:val="single" w:sz="4" w:space="0" w:color="000000"/>
            </w:tcBorders>
          </w:tcPr>
          <w:p>
            <w:pPr>
              <w:jc w:val="center"/>
            </w:pPr>
            <w:r/>
            <w:r>
              <w:rPr>
                <w:rFonts w:ascii="仿宋_GB2312" w:hAnsi="仿宋_GB2312" w:eastAsia="仿宋_GB2312"/>
                <w:b/>
                <w:sz w:val="24"/>
              </w:rPr>
              <w:t>备注</w:t>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票据种类</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票据种类</w:t>
            </w:r>
          </w:p>
        </w:tc>
        <w:tc>
          <w:tcPr>
            <w:tcW w:type="dxa" w:w="4201"/>
            <w:tcBorders>
              <w:bottom w:val="single" w:sz="4" w:space="0" w:color="000000"/>
            </w:tcBorders>
          </w:tcPr>
          <w:p>
            <w:pPr>
              <w:jc w:val="center"/>
            </w:pPr>
            <w:r/>
            <w:r>
              <w:rPr>
                <w:rFonts w:ascii="仿宋_GB2312" w:hAnsi="仿宋_GB2312" w:eastAsia="仿宋_GB2312"/>
                <w:b/>
                <w:sz w:val="24"/>
              </w:rPr>
              <w:t>期末已质押金额</w:t>
            </w:r>
          </w:p>
        </w:tc>
      </w:tr>
      <w:tr>
        <w:trPr>
          <w:trHeight w:val="397" w:hRule="exact"/>
          <w:cantSplit/>
        </w:trPr>
        <w:tc>
          <w:tcPr>
            <w:tcW w:type="dxa" w:w="4201"/>
          </w:tcPr>
          <w:p>
            <w:r/>
            <w:r>
              <w:rPr>
                <w:rFonts w:ascii="仿宋_GB2312" w:hAnsi="仿宋_GB2312" w:eastAsia="仿宋_GB2312"/>
                <w:b w:val="0"/>
                <w:sz w:val="24"/>
              </w:rPr>
              <w:t>银行承兑汇票</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商业承兑汇票</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合计</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票据种类</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票据种类</w:t>
            </w:r>
          </w:p>
        </w:tc>
        <w:tc>
          <w:tcPr>
            <w:tcW w:type="dxa" w:w="2801"/>
            <w:tcBorders>
              <w:bottom w:val="single" w:sz="4" w:space="0" w:color="000000"/>
            </w:tcBorders>
          </w:tcPr>
          <w:p>
            <w:pPr>
              <w:jc w:val="center"/>
            </w:pPr>
            <w:r/>
            <w:r>
              <w:rPr>
                <w:rFonts w:ascii="仿宋_GB2312" w:hAnsi="仿宋_GB2312" w:eastAsia="仿宋_GB2312"/>
                <w:b/>
                <w:sz w:val="24"/>
              </w:rPr>
              <w:t>期末终止确认金额</w:t>
            </w:r>
          </w:p>
        </w:tc>
        <w:tc>
          <w:tcPr>
            <w:tcW w:type="dxa" w:w="2801"/>
            <w:tcBorders>
              <w:bottom w:val="single" w:sz="4" w:space="0" w:color="000000"/>
            </w:tcBorders>
          </w:tcPr>
          <w:p>
            <w:pPr>
              <w:jc w:val="center"/>
            </w:pPr>
            <w:r/>
            <w:r>
              <w:rPr>
                <w:rFonts w:ascii="仿宋_GB2312" w:hAnsi="仿宋_GB2312" w:eastAsia="仿宋_GB2312"/>
                <w:b/>
                <w:sz w:val="24"/>
              </w:rPr>
              <w:t>期末未终止确认金额</w:t>
            </w:r>
          </w:p>
        </w:tc>
      </w:tr>
      <w:tr>
        <w:trPr>
          <w:trHeight w:val="397" w:hRule="exact"/>
          <w:cantSplit/>
        </w:trPr>
        <w:tc>
          <w:tcPr>
            <w:tcW w:type="dxa" w:w="2801"/>
          </w:tcPr>
          <w:p>
            <w:r/>
            <w:r>
              <w:rPr>
                <w:rFonts w:ascii="仿宋_GB2312" w:hAnsi="仿宋_GB2312" w:eastAsia="仿宋_GB2312"/>
                <w:b w:val="0"/>
                <w:sz w:val="24"/>
              </w:rPr>
              <w:t>银行承兑汇票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商业承兑汇票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票据种类</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票据种类</w:t>
            </w:r>
          </w:p>
        </w:tc>
        <w:tc>
          <w:tcPr>
            <w:tcW w:type="dxa" w:w="4201"/>
            <w:tcBorders>
              <w:bottom w:val="single" w:sz="4" w:space="0" w:color="000000"/>
            </w:tcBorders>
          </w:tcPr>
          <w:p>
            <w:pPr>
              <w:jc w:val="center"/>
            </w:pPr>
            <w:r/>
            <w:r>
              <w:rPr>
                <w:rFonts w:ascii="仿宋_GB2312" w:hAnsi="仿宋_GB2312" w:eastAsia="仿宋_GB2312"/>
                <w:b/>
                <w:sz w:val="24"/>
              </w:rPr>
              <w:t>期末转应收账款金额</w:t>
            </w:r>
          </w:p>
        </w:tc>
      </w:tr>
      <w:tr>
        <w:trPr>
          <w:trHeight w:val="397" w:hRule="exact"/>
          <w:cantSplit/>
        </w:trPr>
        <w:tc>
          <w:tcPr>
            <w:tcW w:type="dxa" w:w="4201"/>
          </w:tcPr>
          <w:p>
            <w:r/>
            <w:r>
              <w:rPr>
                <w:rFonts w:ascii="仿宋_GB2312" w:hAnsi="仿宋_GB2312" w:eastAsia="仿宋_GB2312"/>
                <w:b w:val="0"/>
                <w:sz w:val="24"/>
              </w:rPr>
              <w:t>银行承兑汇票</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商业承兑汇票</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合计</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项目</w:t>
            </w:r>
          </w:p>
        </w:tc>
        <w:tc>
          <w:tcPr>
            <w:tcW w:type="dxa" w:w="4201"/>
            <w:tcBorders>
              <w:bottom w:val="single" w:sz="4" w:space="0" w:color="000000"/>
            </w:tcBorders>
          </w:tcPr>
          <w:p>
            <w:pPr>
              <w:jc w:val="center"/>
            </w:pPr>
            <w:r/>
            <w:r>
              <w:rPr>
                <w:rFonts w:ascii="仿宋_GB2312" w:hAnsi="仿宋_GB2312" w:eastAsia="仿宋_GB2312"/>
                <w:b/>
                <w:sz w:val="24"/>
              </w:rPr>
              <w:t>核销金额</w:t>
            </w:r>
          </w:p>
        </w:tc>
      </w:tr>
      <w:tr>
        <w:trPr>
          <w:trHeight w:val="397" w:hRule="exact"/>
          <w:cantSplit/>
        </w:trPr>
        <w:tc>
          <w:tcPr>
            <w:tcW w:type="dxa" w:w="4201"/>
          </w:tcPr>
          <w:p>
            <w:r/>
            <w:r>
              <w:rPr>
                <w:rFonts w:ascii="仿宋_GB2312" w:hAnsi="仿宋_GB2312" w:eastAsia="仿宋_GB2312"/>
                <w:b w:val="0"/>
                <w:sz w:val="24"/>
              </w:rPr>
              <w:t>实际核销的应收票据</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单位名称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单位名称</w:t>
            </w:r>
          </w:p>
        </w:tc>
        <w:tc>
          <w:tcPr>
            <w:tcW w:type="dxa" w:w="1400"/>
            <w:tcBorders>
              <w:bottom w:val="single" w:sz="4" w:space="0" w:color="000000"/>
            </w:tcBorders>
          </w:tcPr>
          <w:p>
            <w:pPr>
              <w:jc w:val="center"/>
            </w:pPr>
            <w:r/>
            <w:r>
              <w:rPr>
                <w:rFonts w:ascii="仿宋_GB2312" w:hAnsi="仿宋_GB2312" w:eastAsia="仿宋_GB2312"/>
                <w:b/>
                <w:sz w:val="24"/>
              </w:rPr>
              <w:t>应收票据&lt;br/&gt;性质</w:t>
            </w:r>
          </w:p>
        </w:tc>
        <w:tc>
          <w:tcPr>
            <w:tcW w:type="dxa" w:w="1400"/>
            <w:tcBorders>
              <w:bottom w:val="single" w:sz="4" w:space="0" w:color="000000"/>
            </w:tcBorders>
          </w:tcPr>
          <w:p>
            <w:pPr>
              <w:jc w:val="center"/>
            </w:pPr>
            <w:r/>
            <w:r>
              <w:rPr>
                <w:rFonts w:ascii="仿宋_GB2312" w:hAnsi="仿宋_GB2312" w:eastAsia="仿宋_GB2312"/>
                <w:b/>
                <w:sz w:val="24"/>
              </w:rPr>
              <w:t>核销金额</w:t>
            </w:r>
          </w:p>
        </w:tc>
        <w:tc>
          <w:tcPr>
            <w:tcW w:type="dxa" w:w="1400"/>
            <w:tcBorders>
              <w:bottom w:val="single" w:sz="4" w:space="0" w:color="000000"/>
            </w:tcBorders>
          </w:tcPr>
          <w:p>
            <w:pPr>
              <w:jc w:val="center"/>
            </w:pPr>
            <w:r/>
            <w:r>
              <w:rPr>
                <w:rFonts w:ascii="仿宋_GB2312" w:hAnsi="仿宋_GB2312" w:eastAsia="仿宋_GB2312"/>
                <w:b/>
                <w:sz w:val="24"/>
              </w:rPr>
              <w:t>核销原因</w:t>
            </w:r>
          </w:p>
        </w:tc>
        <w:tc>
          <w:tcPr>
            <w:tcW w:type="dxa" w:w="1400"/>
            <w:tcBorders>
              <w:bottom w:val="single" w:sz="4" w:space="0" w:color="000000"/>
            </w:tcBorders>
          </w:tcPr>
          <w:p>
            <w:pPr>
              <w:jc w:val="center"/>
            </w:pPr>
            <w:r/>
            <w:r>
              <w:rPr>
                <w:rFonts w:ascii="仿宋_GB2312" w:hAnsi="仿宋_GB2312" w:eastAsia="仿宋_GB2312"/>
                <w:b/>
                <w:sz w:val="24"/>
              </w:rPr>
              <w:t>履行的&lt;br/&gt;核销程序</w:t>
            </w:r>
          </w:p>
        </w:tc>
        <w:tc>
          <w:tcPr>
            <w:tcW w:type="dxa" w:w="1400"/>
            <w:tcBorders>
              <w:bottom w:val="single" w:sz="4" w:space="0" w:color="000000"/>
            </w:tcBorders>
          </w:tcPr>
          <w:p>
            <w:pPr>
              <w:jc w:val="center"/>
            </w:pPr>
            <w:r/>
            <w:r>
              <w:rPr>
                <w:rFonts w:ascii="仿宋_GB2312" w:hAnsi="仿宋_GB2312" w:eastAsia="仿宋_GB2312"/>
                <w:b/>
                <w:sz w:val="24"/>
              </w:rPr>
              <w:t>是否因关联交易产生</w:t>
            </w:r>
          </w:p>
        </w:tc>
      </w:tr>
      <w:tr>
        <w:trPr>
          <w:trHeight w:val="397" w:hRule="exact"/>
          <w:cantSplit/>
        </w:trPr>
        <w:tc>
          <w:tcPr>
            <w:tcW w:type="dxa" w:w="1400"/>
          </w:tcPr>
          <w:p>
            <w:r/>
            <w:r>
              <w:rPr>
                <w:rFonts w:ascii="仿宋_GB2312" w:hAnsi="仿宋_GB2312" w:eastAsia="仿宋_GB2312"/>
                <w:b w:val="0"/>
                <w:sz w:val="24"/>
              </w:rPr>
              <w:t>合计</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59、应付职工薪酬</w:t>
      </w:r>
      <w:bookmarkStart w:id="52155" w:name="note_section_八、40"/>
      <w:bookmarkEnd w:id="52155"/>
    </w:p>
    <w:p>
      <w:pPr>
        <w:spacing w:before="0" w:after="240" w:line="240" w:lineRule="auto"/>
      </w:pPr>
      <w:r>
        <w:rPr>
          <w:rFonts w:ascii="仿宋_GB2312" w:hAnsi="仿宋_GB2312" w:eastAsia="仿宋_GB2312"/>
          <w:b w:val="0"/>
          <w:sz w:val="24"/>
        </w:rPr>
        <w:t>### 应付职工薪酬列示</w:t>
        <w:br/>
        <w:br/>
        <w:t>### 短期薪酬列示</w:t>
        <w:br/>
        <w:br/>
        <w:t>### 设定提存计划列示</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680"/>
          </w:tcPr>
          <w:p>
            <w:r/>
            <w:r>
              <w:rPr>
                <w:rFonts w:ascii="仿宋_GB2312" w:hAnsi="仿宋_GB2312" w:eastAsia="仿宋_GB2312"/>
                <w:b w:val="0"/>
                <w:sz w:val="24"/>
              </w:rPr>
              <w:t>短期薪酬</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离职后福利-设定提存计划</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辞退福利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一年内到期的其他福利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680"/>
          </w:tcPr>
          <w:p>
            <w:r/>
            <w:r>
              <w:rPr>
                <w:rFonts w:ascii="仿宋_GB2312" w:hAnsi="仿宋_GB2312" w:eastAsia="仿宋_GB2312"/>
                <w:b w:val="0"/>
                <w:sz w:val="24"/>
              </w:rPr>
              <w:t>工资、奖金、津贴和补贴</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职工福利费</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社会保险费</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其中：医疗保险费及生育保险费</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工伤保险费</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住房公积金</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工会经费和职工教育经费</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短期带薪缺勤</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短期利润分享计划</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其他短期薪酬</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680"/>
          </w:tcPr>
          <w:p>
            <w:r/>
            <w:r>
              <w:rPr>
                <w:rFonts w:ascii="仿宋_GB2312" w:hAnsi="仿宋_GB2312" w:eastAsia="仿宋_GB2312"/>
                <w:b w:val="0"/>
                <w:sz w:val="24"/>
              </w:rPr>
              <w:t>离职后福利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其中：基本养老保险费</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失业保险费</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企业年金缴费</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其他长期职工福利（不适用的删除）</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其中：xxx</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60、应交税费</w:t>
      </w:r>
      <w:bookmarkStart w:id="81467" w:name="note_section_八、41"/>
      <w:bookmarkEnd w:id="81467"/>
    </w:p>
    <w:p>
      <w:pPr>
        <w:spacing w:before="0" w:after="240" w:line="240" w:lineRule="auto"/>
      </w:pPr>
      <w:r>
        <w:rPr>
          <w:rFonts w:ascii="仿宋_GB2312" w:hAnsi="仿宋_GB2312" w:eastAsia="仿宋_GB2312"/>
          <w:b w:val="0"/>
          <w:sz w:val="24"/>
        </w:rPr>
        <w:t>【提示：增值税，根据“应交税费-未交增值税、简易计税、转让金融商品应交增值税、代扣代缴增值税”科目贷方余额计算填列。】</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增值税</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消费税</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资源税</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企业所得税</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城市维护建设税</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房产税</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土地使用税</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个人所得税</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教育费附加（含地方教育费附加）</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其他税费</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61、其他应付款</w:t>
      </w:r>
      <w:bookmarkStart w:id="1603" w:name="note_section_八、42"/>
      <w:bookmarkEnd w:id="1603"/>
    </w:p>
    <w:p>
      <w:pPr>
        <w:spacing w:before="0" w:after="240" w:line="240" w:lineRule="auto"/>
      </w:pPr>
      <w:r>
        <w:rPr>
          <w:rFonts w:ascii="仿宋_GB2312" w:hAnsi="仿宋_GB2312" w:eastAsia="仿宋_GB2312"/>
          <w:b w:val="0"/>
          <w:sz w:val="24"/>
        </w:rPr>
        <w:t>### 应付利息</w:t>
        <w:br/>
        <w:br/>
        <w:t>#### 重要的已逾期未支付的利息情况</w:t>
        <w:br/>
        <w:br/>
        <w:t>### 应付股利</w:t>
        <w:br/>
        <w:br/>
        <w:t>注：包括重要的超过1 年未支付的应付股利，应披露未支付原因。</w:t>
        <w:br/>
        <w:br/>
        <w:t>### 其他应付款项</w:t>
        <w:br/>
        <w:br/>
        <w:t>#### 按款项性质列示</w:t>
        <w:br/>
        <w:br/>
        <w:t>#### 账龄超过1年的重要其他应付款项</w:t>
      </w:r>
    </w:p>
    <w:p>
      <w:pPr>
        <w:spacing w:before="120" w:after="240" w:line="240" w:lineRule="auto"/>
      </w:pPr>
      <w:r>
        <w:rPr>
          <w:rFonts w:ascii="仿宋_GB2312" w:hAnsi="仿宋_GB2312" w:eastAsia="仿宋_GB2312"/>
          <w:b/>
          <w:sz w:val="24"/>
        </w:rPr>
        <w:t>类  别</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类别</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应付利息</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应付股利</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其他应付款项</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分期付息到期还本的长期借款利息</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企业债券利息</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短期借款应付利息</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划分为金融负债的优先股\永续债利息</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其他利息</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债权单位</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债权单位</w:t>
            </w:r>
          </w:p>
        </w:tc>
        <w:tc>
          <w:tcPr>
            <w:tcW w:type="dxa" w:w="2801"/>
            <w:tcBorders>
              <w:bottom w:val="single" w:sz="4" w:space="0" w:color="000000"/>
            </w:tcBorders>
          </w:tcPr>
          <w:p>
            <w:pPr>
              <w:jc w:val="center"/>
            </w:pPr>
            <w:r/>
            <w:r>
              <w:rPr>
                <w:rFonts w:ascii="仿宋_GB2312" w:hAnsi="仿宋_GB2312" w:eastAsia="仿宋_GB2312"/>
                <w:b/>
                <w:sz w:val="24"/>
              </w:rPr>
              <w:t>逾期金额</w:t>
            </w:r>
          </w:p>
        </w:tc>
        <w:tc>
          <w:tcPr>
            <w:tcW w:type="dxa" w:w="2801"/>
            <w:tcBorders>
              <w:bottom w:val="single" w:sz="4" w:space="0" w:color="000000"/>
            </w:tcBorders>
          </w:tcPr>
          <w:p>
            <w:pPr>
              <w:jc w:val="center"/>
            </w:pPr>
            <w:r/>
            <w:r>
              <w:rPr>
                <w:rFonts w:ascii="仿宋_GB2312" w:hAnsi="仿宋_GB2312" w:eastAsia="仿宋_GB2312"/>
                <w:b/>
                <w:sz w:val="24"/>
              </w:rPr>
              <w:t>逾期原因</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普通股股利</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划分为权益工具的优先股\永续债股利</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应付往来款</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应付保证金及押金</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债权单位名称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债权单位名称</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未偿还原因</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62、持有待售负债</w:t>
      </w:r>
      <w:bookmarkStart w:id="65028" w:name="note_section_八、43"/>
      <w:bookmarkEnd w:id="65028"/>
    </w:p>
    <w:p>
      <w:pPr>
        <w:spacing w:before="0" w:after="240" w:line="240" w:lineRule="auto"/>
      </w:pPr>
      <w:r>
        <w:rPr>
          <w:rFonts w:ascii="仿宋_GB2312" w:hAnsi="仿宋_GB2312" w:eastAsia="仿宋_GB2312"/>
          <w:b w:val="0"/>
          <w:sz w:val="24"/>
        </w:rPr>
        <w:t>【提示：“持有待售负债”，反映资产负债表日处置组中与划分为持有待售类别的资产直接相关的负债的期末账面价值。该项目应根据在负债类科目新设置的“持有待售负债”科目的期末余额填列。】</w:t>
        <w:br/>
        <w:br/>
        <w:t>注：</w:t>
        <w:br/>
        <w:br/>
        <w:t>1.应披露划分为持有待售的非流动负债或处置组的出售原因、方式和时间安排；</w:t>
        <w:br/>
        <w:br/>
        <w:t>2.应披露持有待售的非流动负债或处置组的分部信息；</w:t>
        <w:br/>
        <w:br/>
        <w:t>3.应披露与持有待售的非流动负债或处置组有关的其他综合收益累计金额。</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期末账面价值</w:t>
            </w:r>
          </w:p>
        </w:tc>
        <w:tc>
          <w:tcPr>
            <w:tcW w:type="dxa" w:w="1680"/>
            <w:tcBorders>
              <w:bottom w:val="single" w:sz="4" w:space="0" w:color="000000"/>
            </w:tcBorders>
          </w:tcPr>
          <w:p>
            <w:pPr>
              <w:jc w:val="center"/>
            </w:pPr>
            <w:r/>
            <w:r>
              <w:rPr>
                <w:rFonts w:ascii="仿宋_GB2312" w:hAnsi="仿宋_GB2312" w:eastAsia="仿宋_GB2312"/>
                <w:b/>
                <w:sz w:val="24"/>
              </w:rPr>
              <w:t>期末公允价值</w:t>
            </w:r>
          </w:p>
        </w:tc>
        <w:tc>
          <w:tcPr>
            <w:tcW w:type="dxa" w:w="1680"/>
            <w:tcBorders>
              <w:bottom w:val="single" w:sz="4" w:space="0" w:color="000000"/>
            </w:tcBorders>
          </w:tcPr>
          <w:p>
            <w:pPr>
              <w:jc w:val="center"/>
            </w:pPr>
            <w:r/>
            <w:r>
              <w:rPr>
                <w:rFonts w:ascii="仿宋_GB2312" w:hAnsi="仿宋_GB2312" w:eastAsia="仿宋_GB2312"/>
                <w:b/>
                <w:sz w:val="24"/>
              </w:rPr>
              <w:t>预计处置费用</w:t>
            </w:r>
          </w:p>
        </w:tc>
        <w:tc>
          <w:tcPr>
            <w:tcW w:type="dxa" w:w="1680"/>
            <w:tcBorders>
              <w:bottom w:val="single" w:sz="4" w:space="0" w:color="000000"/>
            </w:tcBorders>
          </w:tcPr>
          <w:p>
            <w:pPr>
              <w:jc w:val="center"/>
            </w:pPr>
            <w:r/>
            <w:r>
              <w:rPr>
                <w:rFonts w:ascii="仿宋_GB2312" w:hAnsi="仿宋_GB2312" w:eastAsia="仿宋_GB2312"/>
                <w:b/>
                <w:sz w:val="24"/>
              </w:rPr>
              <w:t>时间安排</w:t>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63、一年内到期的非流动负债</w:t>
      </w:r>
      <w:bookmarkStart w:id="78132" w:name="note_section_八、44"/>
      <w:bookmarkEnd w:id="78132"/>
    </w:p>
    <w:p>
      <w:pPr>
        <w:spacing w:before="0" w:after="240" w:line="240" w:lineRule="auto"/>
      </w:pPr>
      <w:r>
        <w:rPr>
          <w:rFonts w:ascii="仿宋_GB2312" w:hAnsi="仿宋_GB2312" w:eastAsia="仿宋_GB2312"/>
          <w:b w:val="0"/>
          <w:sz w:val="24"/>
        </w:rPr>
        <w:t>本期无此项业务。</w:t>
      </w:r>
    </w:p>
    <w:p>
      <w:pPr>
        <w:spacing w:before="120" w:after="240" w:line="240" w:lineRule="auto"/>
      </w:pPr>
      <w:r>
        <w:rPr>
          <w:rFonts w:ascii="仿宋_GB2312" w:hAnsi="仿宋_GB2312" w:eastAsia="仿宋_GB2312"/>
          <w:b/>
          <w:sz w:val="24"/>
        </w:rPr>
        <w:t>64、（1）一年内到期的长期借款</w:t>
      </w:r>
      <w:bookmarkStart w:id="12733" w:name="note_section_八、45"/>
      <w:bookmarkEnd w:id="12733"/>
    </w:p>
    <w:p>
      <w:pPr>
        <w:spacing w:before="0" w:after="240" w:line="240" w:lineRule="auto"/>
      </w:pPr>
      <w:r>
        <w:rPr>
          <w:rFonts w:ascii="仿宋_GB2312" w:hAnsi="仿宋_GB2312" w:eastAsia="仿宋_GB2312"/>
          <w:b w:val="0"/>
          <w:sz w:val="24"/>
        </w:rPr>
        <w:t>本期无此项业务。</w:t>
      </w:r>
    </w:p>
    <w:p>
      <w:pPr>
        <w:spacing w:before="120" w:after="240" w:line="240" w:lineRule="auto"/>
      </w:pPr>
      <w:r>
        <w:rPr>
          <w:rFonts w:ascii="仿宋_GB2312" w:hAnsi="仿宋_GB2312" w:eastAsia="仿宋_GB2312"/>
          <w:b/>
          <w:sz w:val="24"/>
        </w:rPr>
        <w:t>65、（2）一年内到期的应付债券</w:t>
      </w:r>
      <w:bookmarkStart w:id="29297" w:name="note_section_八、46"/>
      <w:bookmarkEnd w:id="29297"/>
    </w:p>
    <w:p>
      <w:pPr>
        <w:spacing w:before="0" w:after="240" w:line="240" w:lineRule="auto"/>
      </w:pPr>
      <w:r>
        <w:rPr>
          <w:rFonts w:ascii="仿宋_GB2312" w:hAnsi="仿宋_GB2312" w:eastAsia="仿宋_GB2312"/>
          <w:b w:val="0"/>
          <w:sz w:val="24"/>
        </w:rPr>
        <w:t>### 一年内到期的应付债券</w:t>
      </w:r>
    </w:p>
    <w:p>
      <w:pPr>
        <w:spacing w:before="120" w:after="240" w:line="240" w:lineRule="auto"/>
      </w:pPr>
      <w:r>
        <w:rPr>
          <w:rFonts w:ascii="仿宋_GB2312" w:hAnsi="仿宋_GB2312" w:eastAsia="仿宋_GB2312"/>
          <w:b/>
          <w:sz w:val="24"/>
        </w:rPr>
        <w:t>债券名称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债券名称</w:t>
            </w:r>
          </w:p>
        </w:tc>
        <w:tc>
          <w:tcPr>
            <w:tcW w:type="dxa" w:w="1680"/>
            <w:tcBorders>
              <w:bottom w:val="single" w:sz="4" w:space="0" w:color="000000"/>
            </w:tcBorders>
          </w:tcPr>
          <w:p>
            <w:pPr>
              <w:jc w:val="center"/>
            </w:pPr>
            <w:r/>
            <w:r>
              <w:rPr>
                <w:rFonts w:ascii="仿宋_GB2312" w:hAnsi="仿宋_GB2312" w:eastAsia="仿宋_GB2312"/>
                <w:b/>
                <w:sz w:val="24"/>
              </w:rPr>
              <w:t>面值</w:t>
            </w:r>
          </w:p>
        </w:tc>
        <w:tc>
          <w:tcPr>
            <w:tcW w:type="dxa" w:w="1680"/>
            <w:tcBorders>
              <w:bottom w:val="single" w:sz="4" w:space="0" w:color="000000"/>
            </w:tcBorders>
          </w:tcPr>
          <w:p>
            <w:pPr>
              <w:jc w:val="center"/>
            </w:pPr>
            <w:r/>
            <w:r>
              <w:rPr>
                <w:rFonts w:ascii="仿宋_GB2312" w:hAnsi="仿宋_GB2312" w:eastAsia="仿宋_GB2312"/>
                <w:b/>
                <w:sz w:val="24"/>
              </w:rPr>
              <w:t>发行日期</w:t>
            </w:r>
          </w:p>
        </w:tc>
        <w:tc>
          <w:tcPr>
            <w:tcW w:type="dxa" w:w="1680"/>
            <w:tcBorders>
              <w:bottom w:val="single" w:sz="4" w:space="0" w:color="000000"/>
            </w:tcBorders>
          </w:tcPr>
          <w:p>
            <w:pPr>
              <w:jc w:val="center"/>
            </w:pPr>
            <w:r/>
            <w:r>
              <w:rPr>
                <w:rFonts w:ascii="仿宋_GB2312" w:hAnsi="仿宋_GB2312" w:eastAsia="仿宋_GB2312"/>
                <w:b/>
                <w:sz w:val="24"/>
              </w:rPr>
              <w:t>债券期限</w:t>
            </w:r>
          </w:p>
        </w:tc>
        <w:tc>
          <w:tcPr>
            <w:tcW w:type="dxa" w:w="1680"/>
            <w:tcBorders>
              <w:bottom w:val="single" w:sz="4" w:space="0" w:color="000000"/>
            </w:tcBorders>
          </w:tcPr>
          <w:p>
            <w:pPr>
              <w:jc w:val="center"/>
            </w:pPr>
            <w:r/>
            <w:r>
              <w:rPr>
                <w:rFonts w:ascii="仿宋_GB2312" w:hAnsi="仿宋_GB2312" w:eastAsia="仿宋_GB2312"/>
                <w:b/>
                <w:sz w:val="24"/>
              </w:rPr>
              <w:t>发行金额</w:t>
            </w:r>
          </w:p>
        </w:tc>
      </w:tr>
      <w:tr>
        <w:trPr>
          <w:trHeight w:val="397" w:hRule="exact"/>
          <w:cantSplit/>
        </w:trPr>
        <w:tc>
          <w:tcPr>
            <w:tcW w:type="dxa" w:w="1680"/>
          </w:tcPr>
          <w:p>
            <w:r/>
            <w:r>
              <w:rPr>
                <w:rFonts w:ascii="仿宋_GB2312" w:hAnsi="仿宋_GB2312" w:eastAsia="仿宋_GB2312"/>
                <w:b w:val="0"/>
                <w:sz w:val="24"/>
              </w:rPr>
              <w:t>小计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债券名称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200"/>
        <w:gridCol w:w="1200"/>
        <w:gridCol w:w="1200"/>
        <w:gridCol w:w="1200"/>
        <w:gridCol w:w="1200"/>
        <w:gridCol w:w="1200"/>
        <w:gridCol w:w="1200"/>
      </w:tblGrid>
      <w:tr>
        <w:trPr>
          <w:trHeight w:val="397" w:hRule="exact"/>
          <w:cantSplit/>
        </w:trPr>
        <w:tc>
          <w:tcPr>
            <w:tcW w:type="dxa" w:w="1200"/>
            <w:tcBorders>
              <w:bottom w:val="single" w:sz="4" w:space="0" w:color="000000"/>
            </w:tcBorders>
          </w:tcPr>
          <w:p>
            <w:pPr>
              <w:jc w:val="center"/>
            </w:pPr>
            <w:r/>
            <w:r>
              <w:rPr>
                <w:rFonts w:ascii="仿宋_GB2312" w:hAnsi="仿宋_GB2312" w:eastAsia="仿宋_GB2312"/>
                <w:b/>
                <w:sz w:val="24"/>
              </w:rPr>
              <w:t>债券名称</w:t>
            </w:r>
          </w:p>
        </w:tc>
        <w:tc>
          <w:tcPr>
            <w:tcW w:type="dxa" w:w="1200"/>
            <w:tcBorders>
              <w:bottom w:val="single" w:sz="4" w:space="0" w:color="000000"/>
            </w:tcBorders>
          </w:tcPr>
          <w:p>
            <w:pPr>
              <w:jc w:val="center"/>
            </w:pPr>
            <w:r/>
            <w:r>
              <w:rPr>
                <w:rFonts w:ascii="仿宋_GB2312" w:hAnsi="仿宋_GB2312" w:eastAsia="仿宋_GB2312"/>
                <w:b/>
                <w:sz w:val="24"/>
              </w:rPr>
              <w:t>期初余额</w:t>
            </w:r>
          </w:p>
        </w:tc>
        <w:tc>
          <w:tcPr>
            <w:tcW w:type="dxa" w:w="1200"/>
            <w:tcBorders>
              <w:bottom w:val="single" w:sz="4" w:space="0" w:color="000000"/>
            </w:tcBorders>
          </w:tcPr>
          <w:p>
            <w:pPr>
              <w:jc w:val="center"/>
            </w:pPr>
            <w:r/>
            <w:r>
              <w:rPr>
                <w:rFonts w:ascii="仿宋_GB2312" w:hAnsi="仿宋_GB2312" w:eastAsia="仿宋_GB2312"/>
                <w:b/>
                <w:sz w:val="24"/>
              </w:rPr>
              <w:t>本期发行</w:t>
            </w:r>
          </w:p>
        </w:tc>
        <w:tc>
          <w:tcPr>
            <w:tcW w:type="dxa" w:w="1200"/>
            <w:tcBorders>
              <w:bottom w:val="single" w:sz="4" w:space="0" w:color="000000"/>
            </w:tcBorders>
          </w:tcPr>
          <w:p>
            <w:pPr>
              <w:jc w:val="center"/>
            </w:pPr>
            <w:r/>
            <w:r>
              <w:rPr>
                <w:rFonts w:ascii="仿宋_GB2312" w:hAnsi="仿宋_GB2312" w:eastAsia="仿宋_GB2312"/>
                <w:b/>
                <w:sz w:val="24"/>
              </w:rPr>
              <w:t>按面值计提利息</w:t>
            </w:r>
          </w:p>
        </w:tc>
        <w:tc>
          <w:tcPr>
            <w:tcW w:type="dxa" w:w="1200"/>
            <w:tcBorders>
              <w:bottom w:val="single" w:sz="4" w:space="0" w:color="000000"/>
            </w:tcBorders>
          </w:tcPr>
          <w:p>
            <w:pPr>
              <w:jc w:val="center"/>
            </w:pPr>
            <w:r/>
            <w:r>
              <w:rPr>
                <w:rFonts w:ascii="仿宋_GB2312" w:hAnsi="仿宋_GB2312" w:eastAsia="仿宋_GB2312"/>
                <w:b/>
                <w:sz w:val="24"/>
              </w:rPr>
              <w:t>溢折价摊销</w:t>
            </w:r>
          </w:p>
        </w:tc>
        <w:tc>
          <w:tcPr>
            <w:tcW w:type="dxa" w:w="1200"/>
            <w:tcBorders>
              <w:bottom w:val="single" w:sz="4" w:space="0" w:color="000000"/>
            </w:tcBorders>
          </w:tcPr>
          <w:p>
            <w:pPr>
              <w:jc w:val="center"/>
            </w:pPr>
            <w:r/>
            <w:r>
              <w:rPr>
                <w:rFonts w:ascii="仿宋_GB2312" w:hAnsi="仿宋_GB2312" w:eastAsia="仿宋_GB2312"/>
                <w:b/>
                <w:sz w:val="24"/>
              </w:rPr>
              <w:t>本期偿还</w:t>
            </w:r>
          </w:p>
        </w:tc>
        <w:tc>
          <w:tcPr>
            <w:tcW w:type="dxa" w:w="120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200"/>
          </w:tcPr>
          <w:p>
            <w:r/>
            <w:r>
              <w:rPr>
                <w:rFonts w:ascii="仿宋_GB2312" w:hAnsi="仿宋_GB2312" w:eastAsia="仿宋_GB2312"/>
                <w:b w:val="0"/>
                <w:sz w:val="24"/>
              </w:rPr>
              <w:t>合计</w:t>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66、（3）一年内到期的长期应付款</w:t>
      </w:r>
      <w:bookmarkStart w:id="55238" w:name="note_section_八、47"/>
      <w:bookmarkEnd w:id="55238"/>
    </w:p>
    <w:p>
      <w:pPr>
        <w:spacing w:before="0" w:after="240" w:line="240" w:lineRule="auto"/>
      </w:pPr>
      <w:r>
        <w:rPr>
          <w:rFonts w:ascii="仿宋_GB2312" w:hAnsi="仿宋_GB2312" w:eastAsia="仿宋_GB2312"/>
          <w:b w:val="0"/>
          <w:sz w:val="24"/>
        </w:rPr>
        <w:t>本期无此项业务。</w:t>
      </w:r>
    </w:p>
    <w:p>
      <w:pPr>
        <w:spacing w:before="120" w:after="240" w:line="240" w:lineRule="auto"/>
      </w:pPr>
      <w:r>
        <w:rPr>
          <w:rFonts w:ascii="仿宋_GB2312" w:hAnsi="仿宋_GB2312" w:eastAsia="仿宋_GB2312"/>
          <w:b/>
          <w:sz w:val="24"/>
        </w:rPr>
        <w:t>67、其他流动负债</w:t>
      </w:r>
      <w:bookmarkStart w:id="24595" w:name="note_section_八、48"/>
      <w:bookmarkEnd w:id="24595"/>
    </w:p>
    <w:p>
      <w:pPr>
        <w:spacing w:before="0" w:after="240" w:line="240" w:lineRule="auto"/>
      </w:pPr>
      <w:r>
        <w:rPr>
          <w:rFonts w:ascii="仿宋_GB2312" w:hAnsi="仿宋_GB2312" w:eastAsia="仿宋_GB2312"/>
          <w:b w:val="0"/>
          <w:sz w:val="24"/>
        </w:rPr>
        <w:t>注：发行债券应披露债券名称，债券面值，发行日期，债券期限，发行金额，期初余额，本期发行金额，按面值计提利息，溢折价摊销，本期偿还的金额，期末余额等相关信息。</w:t>
        <w:br/>
        <w:br/>
        <w:t>【待转销项税额属于其他非流动负债的，在“其他非流动负债”科目列示。】</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短期应付债券</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待转销项税额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应付退货款</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68、长期借款</w:t>
      </w:r>
      <w:bookmarkStart w:id="63386" w:name="note_section_八、49"/>
      <w:bookmarkEnd w:id="63386"/>
    </w:p>
    <w:p>
      <w:pPr>
        <w:spacing w:before="0" w:after="240" w:line="240" w:lineRule="auto"/>
      </w:pPr>
      <w:r>
        <w:rPr>
          <w:rFonts w:ascii="仿宋_GB2312" w:hAnsi="仿宋_GB2312" w:eastAsia="仿宋_GB2312"/>
          <w:b w:val="0"/>
          <w:sz w:val="24"/>
        </w:rPr>
        <w:t>① 资产负债表日后已偿还金额XX元。</w:t>
        <w:br/>
        <w:br/>
        <w:t>①（因逾期借款获得展期形成的长期借款，应说明获得展期的条件、本金、利息、预计还款安排等。）</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借款类别</w:t>
            </w:r>
          </w:p>
        </w:tc>
        <w:tc>
          <w:tcPr>
            <w:tcW w:type="dxa" w:w="2100"/>
            <w:tcBorders>
              <w:bottom w:val="single" w:sz="4" w:space="0" w:color="000000"/>
            </w:tcBorders>
          </w:tcPr>
          <w:p>
            <w:pPr>
              <w:jc w:val="center"/>
            </w:pPr>
            <w:r/>
            <w:r>
              <w:rPr>
                <w:rFonts w:ascii="仿宋_GB2312" w:hAnsi="仿宋_GB2312" w:eastAsia="仿宋_GB2312"/>
                <w:b/>
                <w:sz w:val="24"/>
              </w:rPr>
              <w:t>期末余额</w:t>
            </w:r>
          </w:p>
        </w:tc>
        <w:tc>
          <w:tcPr>
            <w:tcW w:type="dxa" w:w="2100"/>
            <w:tcBorders>
              <w:bottom w:val="single" w:sz="4" w:space="0" w:color="000000"/>
            </w:tcBorders>
          </w:tcPr>
          <w:p>
            <w:pPr>
              <w:jc w:val="center"/>
            </w:pPr>
            <w:r/>
            <w:r>
              <w:rPr>
                <w:rFonts w:ascii="仿宋_GB2312" w:hAnsi="仿宋_GB2312" w:eastAsia="仿宋_GB2312"/>
                <w:b/>
                <w:sz w:val="24"/>
              </w:rPr>
              <w:t>期初余额</w:t>
            </w:r>
          </w:p>
        </w:tc>
        <w:tc>
          <w:tcPr>
            <w:tcW w:type="dxa" w:w="2100"/>
            <w:tcBorders>
              <w:bottom w:val="single" w:sz="4" w:space="0" w:color="000000"/>
            </w:tcBorders>
          </w:tcPr>
          <w:p>
            <w:pPr>
              <w:jc w:val="center"/>
            </w:pPr>
            <w:r/>
            <w:r>
              <w:rPr>
                <w:rFonts w:ascii="仿宋_GB2312" w:hAnsi="仿宋_GB2312" w:eastAsia="仿宋_GB2312"/>
                <w:b/>
                <w:sz w:val="24"/>
              </w:rPr>
              <w:t>期末利率期间（%）</w:t>
            </w:r>
          </w:p>
        </w:tc>
      </w:tr>
      <w:tr>
        <w:trPr>
          <w:trHeight w:val="397" w:hRule="exact"/>
          <w:cantSplit/>
        </w:trPr>
        <w:tc>
          <w:tcPr>
            <w:tcW w:type="dxa" w:w="2100"/>
          </w:tcPr>
          <w:p>
            <w:r/>
            <w:r>
              <w:rPr>
                <w:rFonts w:ascii="仿宋_GB2312" w:hAnsi="仿宋_GB2312" w:eastAsia="仿宋_GB2312"/>
                <w:b w:val="0"/>
                <w:sz w:val="24"/>
              </w:rPr>
              <w:t>质押借款</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抵押借款</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保证借款</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信用借款</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小计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减：一年内到期的长期借款</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69、应收账款</w:t>
      </w:r>
      <w:bookmarkStart w:id="92535" w:name="note_section_八、5"/>
      <w:bookmarkEnd w:id="92535"/>
    </w:p>
    <w:p>
      <w:pPr>
        <w:spacing w:before="0" w:after="240" w:line="240" w:lineRule="auto"/>
      </w:pPr>
      <w:r>
        <w:rPr>
          <w:rFonts w:ascii="仿宋_GB2312" w:hAnsi="仿宋_GB2312" w:eastAsia="仿宋_GB2312"/>
          <w:b w:val="0"/>
          <w:sz w:val="24"/>
        </w:rPr>
        <w:t>（1）按账龄披露应收账款</w:t>
        <w:br/>
        <w:br/>
        <w:t>（2）按坏账准备计提方法分类披露应收账款</w:t>
        <w:br/>
        <w:br/>
        <w:t>#### 期末单项计提坏账准备的应收账款</w:t>
        <w:br/>
        <w:br/>
        <w:t>（3）本期计提、收回或转回的坏账准备情况</w:t>
        <w:br/>
        <w:br/>
        <w:t>（4）本期实际核销的应收账款</w:t>
        <w:br/>
        <w:br/>
        <w:t>（5）按欠款方归集的期末余额前五名的应收账款</w:t>
        <w:br/>
        <w:br/>
        <w:t>（6）由金融资产转移而终止确认的应收账款</w:t>
      </w:r>
    </w:p>
    <w:p>
      <w:pPr>
        <w:spacing w:before="120" w:after="240" w:line="240" w:lineRule="auto"/>
      </w:pPr>
      <w:r>
        <w:rPr>
          <w:rFonts w:ascii="仿宋_GB2312" w:hAnsi="仿宋_GB2312" w:eastAsia="仿宋_GB2312"/>
          <w:b/>
          <w:sz w:val="24"/>
        </w:rPr>
        <w:t>账  龄</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账龄</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1年以内（含1年）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1至2年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2至3年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3年以上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类  别</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类别</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按单项计提坏账准备</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按组合计提坏账准备</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其中：</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应收中央企业客户</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应收海外企业客户</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债务人名称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债务人名称</w:t>
            </w:r>
          </w:p>
        </w:tc>
        <w:tc>
          <w:tcPr>
            <w:tcW w:type="dxa" w:w="1400"/>
            <w:tcBorders>
              <w:bottom w:val="single" w:sz="4" w:space="0" w:color="000000"/>
            </w:tcBorders>
          </w:tcPr>
          <w:p>
            <w:pPr>
              <w:jc w:val="center"/>
            </w:pPr>
            <w:r/>
            <w:r>
              <w:rPr>
                <w:rFonts w:ascii="仿宋_GB2312" w:hAnsi="仿宋_GB2312" w:eastAsia="仿宋_GB2312"/>
                <w:b/>
                <w:sz w:val="24"/>
              </w:rPr>
              <w:t>账面余额</w:t>
            </w:r>
          </w:p>
        </w:tc>
        <w:tc>
          <w:tcPr>
            <w:tcW w:type="dxa" w:w="1400"/>
            <w:tcBorders>
              <w:bottom w:val="single" w:sz="4" w:space="0" w:color="000000"/>
            </w:tcBorders>
          </w:tcPr>
          <w:p>
            <w:pPr>
              <w:jc w:val="center"/>
            </w:pPr>
            <w:r/>
            <w:r>
              <w:rPr>
                <w:rFonts w:ascii="仿宋_GB2312" w:hAnsi="仿宋_GB2312" w:eastAsia="仿宋_GB2312"/>
                <w:b/>
                <w:sz w:val="24"/>
              </w:rPr>
              <w:t>坏账准备</w:t>
            </w:r>
          </w:p>
        </w:tc>
        <w:tc>
          <w:tcPr>
            <w:tcW w:type="dxa" w:w="1400"/>
            <w:tcBorders>
              <w:bottom w:val="single" w:sz="4" w:space="0" w:color="000000"/>
            </w:tcBorders>
          </w:tcPr>
          <w:p>
            <w:pPr>
              <w:jc w:val="center"/>
            </w:pPr>
            <w:r/>
            <w:r>
              <w:rPr>
                <w:rFonts w:ascii="仿宋_GB2312" w:hAnsi="仿宋_GB2312" w:eastAsia="仿宋_GB2312"/>
                <w:b/>
                <w:sz w:val="24"/>
              </w:rPr>
              <w:t>账龄</w:t>
            </w:r>
          </w:p>
        </w:tc>
        <w:tc>
          <w:tcPr>
            <w:tcW w:type="dxa" w:w="1400"/>
            <w:tcBorders>
              <w:bottom w:val="single" w:sz="4" w:space="0" w:color="000000"/>
            </w:tcBorders>
          </w:tcPr>
          <w:p>
            <w:pPr>
              <w:jc w:val="center"/>
            </w:pPr>
            <w:r/>
            <w:r>
              <w:rPr>
                <w:rFonts w:ascii="仿宋_GB2312" w:hAnsi="仿宋_GB2312" w:eastAsia="仿宋_GB2312"/>
                <w:b/>
                <w:sz w:val="24"/>
              </w:rPr>
              <w:t>预期信用&lt;br/&gt;损失率（%）</w:t>
            </w:r>
          </w:p>
        </w:tc>
        <w:tc>
          <w:tcPr>
            <w:tcW w:type="dxa" w:w="1400"/>
            <w:tcBorders>
              <w:bottom w:val="single" w:sz="4" w:space="0" w:color="000000"/>
            </w:tcBorders>
          </w:tcPr>
          <w:p>
            <w:pPr>
              <w:jc w:val="center"/>
            </w:pPr>
            <w:r/>
            <w:r>
              <w:rPr>
                <w:rFonts w:ascii="仿宋_GB2312" w:hAnsi="仿宋_GB2312" w:eastAsia="仿宋_GB2312"/>
                <w:b/>
                <w:sz w:val="24"/>
              </w:rPr>
              <w:t>计提理由</w:t>
            </w:r>
          </w:p>
        </w:tc>
      </w:tr>
      <w:tr>
        <w:trPr>
          <w:trHeight w:val="397" w:hRule="exact"/>
          <w:cantSplit/>
        </w:trPr>
        <w:tc>
          <w:tcPr>
            <w:tcW w:type="dxa" w:w="1400"/>
          </w:tcPr>
          <w:p>
            <w:r/>
            <w:r>
              <w:rPr>
                <w:rFonts w:ascii="仿宋_GB2312" w:hAnsi="仿宋_GB2312" w:eastAsia="仿宋_GB2312"/>
                <w:b w:val="0"/>
                <w:sz w:val="24"/>
              </w:rPr>
              <w:t>合计</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账  龄</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账龄</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账龄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账龄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1年以内（含1年）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1至2年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2至3年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3年以上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账  龄</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账龄</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账龄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账龄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1年以内（含1年）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1至2年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2至3年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3年以上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组合名称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组合名称</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组合名称</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类  别</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类别</w:t>
            </w:r>
          </w:p>
        </w:tc>
        <w:tc>
          <w:tcPr>
            <w:tcW w:type="dxa" w:w="2100"/>
            <w:tcBorders>
              <w:bottom w:val="single" w:sz="4" w:space="0" w:color="000000"/>
            </w:tcBorders>
          </w:tcPr>
          <w:p>
            <w:pPr>
              <w:jc w:val="center"/>
            </w:pPr>
            <w:r/>
            <w:r>
              <w:rPr>
                <w:rFonts w:ascii="仿宋_GB2312" w:hAnsi="仿宋_GB2312" w:eastAsia="仿宋_GB2312"/>
                <w:b/>
                <w:sz w:val="24"/>
              </w:rPr>
              <w:t>期初数</w:t>
            </w:r>
          </w:p>
        </w:tc>
        <w:tc>
          <w:tcPr>
            <w:tcW w:type="dxa" w:w="2100"/>
            <w:tcBorders>
              <w:bottom w:val="single" w:sz="4" w:space="0" w:color="000000"/>
            </w:tcBorders>
          </w:tcPr>
          <w:p>
            <w:pPr>
              <w:jc w:val="center"/>
            </w:pPr>
            <w:r/>
            <w:r>
              <w:rPr>
                <w:rFonts w:ascii="仿宋_GB2312" w:hAnsi="仿宋_GB2312" w:eastAsia="仿宋_GB2312"/>
                <w:b/>
                <w:sz w:val="24"/>
              </w:rPr>
              <w:t>本期变动金额</w:t>
            </w:r>
          </w:p>
        </w:tc>
        <w:tc>
          <w:tcPr>
            <w:tcW w:type="dxa" w:w="2100"/>
            <w:tcBorders>
              <w:bottom w:val="single" w:sz="4" w:space="0" w:color="000000"/>
            </w:tcBorders>
          </w:tcPr>
          <w:p>
            <w:pPr>
              <w:jc w:val="center"/>
            </w:pPr>
            <w:r/>
            <w:r>
              <w:rPr>
                <w:rFonts w:ascii="仿宋_GB2312" w:hAnsi="仿宋_GB2312" w:eastAsia="仿宋_GB2312"/>
                <w:b/>
                <w:sz w:val="24"/>
              </w:rPr>
              <w:t>期末数</w:t>
            </w:r>
          </w:p>
        </w:tc>
      </w:tr>
      <w:tr>
        <w:trPr>
          <w:trHeight w:val="397" w:hRule="exact"/>
          <w:cantSplit/>
        </w:trPr>
        <w:tc>
          <w:tcPr>
            <w:tcW w:type="dxa" w:w="2100"/>
          </w:tcPr>
          <w:p>
            <w:r/>
            <w:r>
              <w:rPr>
                <w:rFonts w:ascii="仿宋_GB2312" w:hAnsi="仿宋_GB2312" w:eastAsia="仿宋_GB2312"/>
                <w:b w:val="0"/>
                <w:sz w:val="24"/>
              </w:rPr>
              <w:t>类别</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单项</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组合：</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债务人名称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债务人名称</w:t>
            </w:r>
          </w:p>
        </w:tc>
        <w:tc>
          <w:tcPr>
            <w:tcW w:type="dxa" w:w="2100"/>
            <w:tcBorders>
              <w:bottom w:val="single" w:sz="4" w:space="0" w:color="000000"/>
            </w:tcBorders>
          </w:tcPr>
          <w:p>
            <w:pPr>
              <w:jc w:val="center"/>
            </w:pPr>
            <w:r/>
            <w:r>
              <w:rPr>
                <w:rFonts w:ascii="仿宋_GB2312" w:hAnsi="仿宋_GB2312" w:eastAsia="仿宋_GB2312"/>
                <w:b/>
                <w:sz w:val="24"/>
              </w:rPr>
              <w:t>转回或收回&lt;br/&gt;金额</w:t>
            </w:r>
          </w:p>
        </w:tc>
        <w:tc>
          <w:tcPr>
            <w:tcW w:type="dxa" w:w="2100"/>
            <w:tcBorders>
              <w:bottom w:val="single" w:sz="4" w:space="0" w:color="000000"/>
            </w:tcBorders>
          </w:tcPr>
          <w:p>
            <w:pPr>
              <w:jc w:val="center"/>
            </w:pPr>
            <w:r/>
            <w:r>
              <w:rPr>
                <w:rFonts w:ascii="仿宋_GB2312" w:hAnsi="仿宋_GB2312" w:eastAsia="仿宋_GB2312"/>
                <w:b/>
                <w:sz w:val="24"/>
              </w:rPr>
              <w:t>转回或收回前累计&lt;br/&gt;已计提坏账准备金额</w:t>
            </w:r>
          </w:p>
        </w:tc>
        <w:tc>
          <w:tcPr>
            <w:tcW w:type="dxa" w:w="2100"/>
            <w:tcBorders>
              <w:bottom w:val="single" w:sz="4" w:space="0" w:color="000000"/>
            </w:tcBorders>
          </w:tcPr>
          <w:p>
            <w:pPr>
              <w:jc w:val="center"/>
            </w:pPr>
            <w:r/>
            <w:r>
              <w:rPr>
                <w:rFonts w:ascii="仿宋_GB2312" w:hAnsi="仿宋_GB2312" w:eastAsia="仿宋_GB2312"/>
                <w:b/>
                <w:sz w:val="24"/>
              </w:rPr>
              <w:t>转回或收回&lt;br/&gt;原因、方式</w:t>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债务人名称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债务人名称</w:t>
            </w:r>
          </w:p>
        </w:tc>
        <w:tc>
          <w:tcPr>
            <w:tcW w:type="dxa" w:w="1400"/>
            <w:tcBorders>
              <w:bottom w:val="single" w:sz="4" w:space="0" w:color="000000"/>
            </w:tcBorders>
          </w:tcPr>
          <w:p>
            <w:pPr>
              <w:jc w:val="center"/>
            </w:pPr>
            <w:r/>
            <w:r>
              <w:rPr>
                <w:rFonts w:ascii="仿宋_GB2312" w:hAnsi="仿宋_GB2312" w:eastAsia="仿宋_GB2312"/>
                <w:b/>
                <w:sz w:val="24"/>
              </w:rPr>
              <w:t>应收账款性质</w:t>
            </w:r>
          </w:p>
        </w:tc>
        <w:tc>
          <w:tcPr>
            <w:tcW w:type="dxa" w:w="1400"/>
            <w:tcBorders>
              <w:bottom w:val="single" w:sz="4" w:space="0" w:color="000000"/>
            </w:tcBorders>
          </w:tcPr>
          <w:p>
            <w:pPr>
              <w:jc w:val="center"/>
            </w:pPr>
            <w:r/>
            <w:r>
              <w:rPr>
                <w:rFonts w:ascii="仿宋_GB2312" w:hAnsi="仿宋_GB2312" w:eastAsia="仿宋_GB2312"/>
                <w:b/>
                <w:sz w:val="24"/>
              </w:rPr>
              <w:t>核销金额</w:t>
            </w:r>
          </w:p>
        </w:tc>
        <w:tc>
          <w:tcPr>
            <w:tcW w:type="dxa" w:w="1400"/>
            <w:tcBorders>
              <w:bottom w:val="single" w:sz="4" w:space="0" w:color="000000"/>
            </w:tcBorders>
          </w:tcPr>
          <w:p>
            <w:pPr>
              <w:jc w:val="center"/>
            </w:pPr>
            <w:r/>
            <w:r>
              <w:rPr>
                <w:rFonts w:ascii="仿宋_GB2312" w:hAnsi="仿宋_GB2312" w:eastAsia="仿宋_GB2312"/>
                <w:b/>
                <w:sz w:val="24"/>
              </w:rPr>
              <w:t>核销原因</w:t>
            </w:r>
          </w:p>
        </w:tc>
        <w:tc>
          <w:tcPr>
            <w:tcW w:type="dxa" w:w="1400"/>
            <w:tcBorders>
              <w:bottom w:val="single" w:sz="4" w:space="0" w:color="000000"/>
            </w:tcBorders>
          </w:tcPr>
          <w:p>
            <w:pPr>
              <w:jc w:val="center"/>
            </w:pPr>
            <w:r/>
            <w:r>
              <w:rPr>
                <w:rFonts w:ascii="仿宋_GB2312" w:hAnsi="仿宋_GB2312" w:eastAsia="仿宋_GB2312"/>
                <w:b/>
                <w:sz w:val="24"/>
              </w:rPr>
              <w:t>履行的核销&lt;br/&gt;程序</w:t>
            </w:r>
          </w:p>
        </w:tc>
        <w:tc>
          <w:tcPr>
            <w:tcW w:type="dxa" w:w="1400"/>
            <w:tcBorders>
              <w:bottom w:val="single" w:sz="4" w:space="0" w:color="000000"/>
            </w:tcBorders>
          </w:tcPr>
          <w:p>
            <w:pPr>
              <w:jc w:val="center"/>
            </w:pPr>
            <w:r/>
            <w:r>
              <w:rPr>
                <w:rFonts w:ascii="仿宋_GB2312" w:hAnsi="仿宋_GB2312" w:eastAsia="仿宋_GB2312"/>
                <w:b/>
                <w:sz w:val="24"/>
              </w:rPr>
              <w:t>是否因关联&lt;br/&gt;交易产生</w:t>
            </w:r>
          </w:p>
        </w:tc>
      </w:tr>
      <w:tr>
        <w:trPr>
          <w:trHeight w:val="397" w:hRule="exact"/>
          <w:cantSplit/>
        </w:trPr>
        <w:tc>
          <w:tcPr>
            <w:tcW w:type="dxa" w:w="1400"/>
          </w:tcPr>
          <w:p>
            <w:r/>
            <w:r>
              <w:rPr>
                <w:rFonts w:ascii="仿宋_GB2312" w:hAnsi="仿宋_GB2312" w:eastAsia="仿宋_GB2312"/>
                <w:b w:val="0"/>
                <w:sz w:val="24"/>
              </w:rPr>
              <w:t>合计</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债务人名称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债务人名称</w:t>
            </w:r>
          </w:p>
        </w:tc>
        <w:tc>
          <w:tcPr>
            <w:tcW w:type="dxa" w:w="2100"/>
            <w:tcBorders>
              <w:bottom w:val="single" w:sz="4" w:space="0" w:color="000000"/>
            </w:tcBorders>
          </w:tcPr>
          <w:p>
            <w:pPr>
              <w:jc w:val="center"/>
            </w:pPr>
            <w:r/>
            <w:r>
              <w:rPr>
                <w:rFonts w:ascii="仿宋_GB2312" w:hAnsi="仿宋_GB2312" w:eastAsia="仿宋_GB2312"/>
                <w:b/>
                <w:sz w:val="24"/>
              </w:rPr>
              <w:t>账面余额</w:t>
            </w:r>
          </w:p>
        </w:tc>
        <w:tc>
          <w:tcPr>
            <w:tcW w:type="dxa" w:w="2100"/>
            <w:tcBorders>
              <w:bottom w:val="single" w:sz="4" w:space="0" w:color="000000"/>
            </w:tcBorders>
          </w:tcPr>
          <w:p>
            <w:pPr>
              <w:jc w:val="center"/>
            </w:pPr>
            <w:r/>
            <w:r>
              <w:rPr>
                <w:rFonts w:ascii="仿宋_GB2312" w:hAnsi="仿宋_GB2312" w:eastAsia="仿宋_GB2312"/>
                <w:b/>
                <w:sz w:val="24"/>
              </w:rPr>
              <w:t>占应收账款合计的比例（%）</w:t>
            </w:r>
          </w:p>
        </w:tc>
        <w:tc>
          <w:tcPr>
            <w:tcW w:type="dxa" w:w="2100"/>
            <w:tcBorders>
              <w:bottom w:val="single" w:sz="4" w:space="0" w:color="000000"/>
            </w:tcBorders>
          </w:tcPr>
          <w:p>
            <w:pPr>
              <w:jc w:val="center"/>
            </w:pPr>
            <w:r/>
            <w:r>
              <w:rPr>
                <w:rFonts w:ascii="仿宋_GB2312" w:hAnsi="仿宋_GB2312" w:eastAsia="仿宋_GB2312"/>
                <w:b/>
                <w:sz w:val="24"/>
              </w:rPr>
              <w:t>坏账准备</w:t>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债务人名称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债务人名称</w:t>
            </w:r>
          </w:p>
        </w:tc>
        <w:tc>
          <w:tcPr>
            <w:tcW w:type="dxa" w:w="2801"/>
            <w:tcBorders>
              <w:bottom w:val="single" w:sz="4" w:space="0" w:color="000000"/>
            </w:tcBorders>
          </w:tcPr>
          <w:p>
            <w:pPr>
              <w:jc w:val="center"/>
            </w:pPr>
            <w:r/>
            <w:r>
              <w:rPr>
                <w:rFonts w:ascii="仿宋_GB2312" w:hAnsi="仿宋_GB2312" w:eastAsia="仿宋_GB2312"/>
                <w:b/>
                <w:sz w:val="24"/>
              </w:rPr>
              <w:t>终止确认金额</w:t>
            </w:r>
          </w:p>
        </w:tc>
        <w:tc>
          <w:tcPr>
            <w:tcW w:type="dxa" w:w="2801"/>
            <w:tcBorders>
              <w:bottom w:val="single" w:sz="4" w:space="0" w:color="000000"/>
            </w:tcBorders>
          </w:tcPr>
          <w:p>
            <w:pPr>
              <w:jc w:val="center"/>
            </w:pPr>
            <w:r/>
            <w:r>
              <w:rPr>
                <w:rFonts w:ascii="仿宋_GB2312" w:hAnsi="仿宋_GB2312" w:eastAsia="仿宋_GB2312"/>
                <w:b/>
                <w:sz w:val="24"/>
              </w:rPr>
              <w:t>与终止确认相关的利得或损失（损失以“-”填列）</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70、应付债券</w:t>
      </w:r>
      <w:bookmarkStart w:id="17638" w:name="note_section_八、50"/>
      <w:bookmarkEnd w:id="17638"/>
    </w:p>
    <w:p>
      <w:pPr>
        <w:spacing w:before="0" w:after="240" w:line="240" w:lineRule="auto"/>
      </w:pPr>
      <w:r>
        <w:rPr>
          <w:rFonts w:ascii="仿宋_GB2312" w:hAnsi="仿宋_GB2312" w:eastAsia="仿宋_GB2312"/>
          <w:b w:val="0"/>
          <w:sz w:val="24"/>
        </w:rPr>
        <w:t>### 应付债券</w:t>
        <w:br/>
        <w:br/>
        <w:t>### 应付债券的增减变动</w:t>
        <w:br/>
        <w:br/>
        <w:t>注：可转换公司债券的转股条件、转股时间说明应详细披露。</w:t>
        <w:br/>
        <w:br/>
        <w:t>【根据中国证券监督管理委员会证监发行字[200x]XX号核准，本公司于200X年X月X日至200X年X月X日公开发行XX份可转换公司债券，每份面值100元，发行总额XXX元，债券期限为X年。</w:t>
        <w:br/>
        <w:br/>
        <w:t>本公司发行的可转换公司债券的票面利率为X%，利息按季支付，200X年X月X日为第一次派息日。转股期自发行之日起(200X年X月X日)X个月后的第一个交易日(200X年X月X日)起(含当日)，至可转换公司债券到期日(200X年X月X日)前一个交易日止(含当日)。持有人可在转股期内申请转股。</w:t>
        <w:br/>
        <w:br/>
        <w:t>可转换公司债券发行时的初始转股价格为每股人民币X元，本公司在200X年X月X日实施200X年度每股派发现金股息人民币X元及用资本公积每十股转增X股的方案后，可转债初始转股价格相应调整为每股人民币X元。**】**</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减：一年内到期的应付债券</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债券&lt;br/&gt;名称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764"/>
        <w:gridCol w:w="764"/>
        <w:gridCol w:w="764"/>
        <w:gridCol w:w="764"/>
        <w:gridCol w:w="764"/>
        <w:gridCol w:w="764"/>
        <w:gridCol w:w="764"/>
        <w:gridCol w:w="764"/>
        <w:gridCol w:w="764"/>
        <w:gridCol w:w="764"/>
        <w:gridCol w:w="764"/>
      </w:tblGrid>
      <w:tr>
        <w:trPr>
          <w:trHeight w:val="397" w:hRule="exact"/>
          <w:cantSplit/>
        </w:trPr>
        <w:tc>
          <w:tcPr>
            <w:tcW w:type="dxa" w:w="764"/>
            <w:tcBorders>
              <w:bottom w:val="single" w:sz="4" w:space="0" w:color="000000"/>
            </w:tcBorders>
          </w:tcPr>
          <w:p>
            <w:pPr>
              <w:jc w:val="center"/>
            </w:pPr>
            <w:r/>
            <w:r>
              <w:rPr>
                <w:rFonts w:ascii="仿宋_GB2312" w:hAnsi="仿宋_GB2312" w:eastAsia="仿宋_GB2312"/>
                <w:b/>
                <w:sz w:val="24"/>
              </w:rPr>
              <w:t>债券&lt;br/&gt;名称</w:t>
            </w:r>
          </w:p>
        </w:tc>
        <w:tc>
          <w:tcPr>
            <w:tcW w:type="dxa" w:w="764"/>
            <w:tcBorders>
              <w:bottom w:val="single" w:sz="4" w:space="0" w:color="000000"/>
            </w:tcBorders>
          </w:tcPr>
          <w:p>
            <w:pPr>
              <w:jc w:val="center"/>
            </w:pPr>
            <w:r/>
            <w:r>
              <w:rPr>
                <w:rFonts w:ascii="仿宋_GB2312" w:hAnsi="仿宋_GB2312" w:eastAsia="仿宋_GB2312"/>
                <w:b/>
                <w:sz w:val="24"/>
              </w:rPr>
              <w:t>面值</w:t>
            </w:r>
          </w:p>
        </w:tc>
        <w:tc>
          <w:tcPr>
            <w:tcW w:type="dxa" w:w="764"/>
            <w:tcBorders>
              <w:bottom w:val="single" w:sz="4" w:space="0" w:color="000000"/>
            </w:tcBorders>
          </w:tcPr>
          <w:p>
            <w:pPr>
              <w:jc w:val="center"/>
            </w:pPr>
            <w:r/>
            <w:r>
              <w:rPr>
                <w:rFonts w:ascii="仿宋_GB2312" w:hAnsi="仿宋_GB2312" w:eastAsia="仿宋_GB2312"/>
                <w:b/>
                <w:sz w:val="24"/>
              </w:rPr>
              <w:t>发行&lt;br/&gt;日期</w:t>
            </w:r>
          </w:p>
        </w:tc>
        <w:tc>
          <w:tcPr>
            <w:tcW w:type="dxa" w:w="764"/>
            <w:tcBorders>
              <w:bottom w:val="single" w:sz="4" w:space="0" w:color="000000"/>
            </w:tcBorders>
          </w:tcPr>
          <w:p>
            <w:pPr>
              <w:jc w:val="center"/>
            </w:pPr>
            <w:r/>
            <w:r>
              <w:rPr>
                <w:rFonts w:ascii="仿宋_GB2312" w:hAnsi="仿宋_GB2312" w:eastAsia="仿宋_GB2312"/>
                <w:b/>
                <w:sz w:val="24"/>
              </w:rPr>
              <w:t>债券&lt;br/&gt;期限</w:t>
            </w:r>
          </w:p>
        </w:tc>
        <w:tc>
          <w:tcPr>
            <w:tcW w:type="dxa" w:w="764"/>
            <w:tcBorders>
              <w:bottom w:val="single" w:sz="4" w:space="0" w:color="000000"/>
            </w:tcBorders>
          </w:tcPr>
          <w:p>
            <w:pPr>
              <w:jc w:val="center"/>
            </w:pPr>
            <w:r/>
            <w:r>
              <w:rPr>
                <w:rFonts w:ascii="仿宋_GB2312" w:hAnsi="仿宋_GB2312" w:eastAsia="仿宋_GB2312"/>
                <w:b/>
                <w:sz w:val="24"/>
              </w:rPr>
              <w:t>发行&lt;br/&gt;金额</w:t>
            </w:r>
          </w:p>
        </w:tc>
        <w:tc>
          <w:tcPr>
            <w:tcW w:type="dxa" w:w="764"/>
            <w:tcBorders>
              <w:bottom w:val="single" w:sz="4" w:space="0" w:color="000000"/>
            </w:tcBorders>
          </w:tcPr>
          <w:p>
            <w:pPr>
              <w:jc w:val="center"/>
            </w:pPr>
            <w:r/>
            <w:r>
              <w:rPr>
                <w:rFonts w:ascii="仿宋_GB2312" w:hAnsi="仿宋_GB2312" w:eastAsia="仿宋_GB2312"/>
                <w:b/>
                <w:sz w:val="24"/>
              </w:rPr>
              <w:t>期初余额</w:t>
            </w:r>
          </w:p>
        </w:tc>
        <w:tc>
          <w:tcPr>
            <w:tcW w:type="dxa" w:w="764"/>
            <w:tcBorders>
              <w:bottom w:val="single" w:sz="4" w:space="0" w:color="000000"/>
            </w:tcBorders>
          </w:tcPr>
          <w:p>
            <w:pPr>
              <w:jc w:val="center"/>
            </w:pPr>
            <w:r/>
            <w:r>
              <w:rPr>
                <w:rFonts w:ascii="仿宋_GB2312" w:hAnsi="仿宋_GB2312" w:eastAsia="仿宋_GB2312"/>
                <w:b/>
                <w:sz w:val="24"/>
              </w:rPr>
              <w:t>本期&lt;br/&gt;发行</w:t>
            </w:r>
          </w:p>
        </w:tc>
        <w:tc>
          <w:tcPr>
            <w:tcW w:type="dxa" w:w="764"/>
            <w:tcBorders>
              <w:bottom w:val="single" w:sz="4" w:space="0" w:color="000000"/>
            </w:tcBorders>
          </w:tcPr>
          <w:p>
            <w:pPr>
              <w:jc w:val="center"/>
            </w:pPr>
            <w:r/>
            <w:r>
              <w:rPr>
                <w:rFonts w:ascii="仿宋_GB2312" w:hAnsi="仿宋_GB2312" w:eastAsia="仿宋_GB2312"/>
                <w:b/>
                <w:sz w:val="24"/>
              </w:rPr>
              <w:t>按面值&lt;br/&gt;计提利息</w:t>
            </w:r>
          </w:p>
        </w:tc>
        <w:tc>
          <w:tcPr>
            <w:tcW w:type="dxa" w:w="764"/>
            <w:tcBorders>
              <w:bottom w:val="single" w:sz="4" w:space="0" w:color="000000"/>
            </w:tcBorders>
          </w:tcPr>
          <w:p>
            <w:pPr>
              <w:jc w:val="center"/>
            </w:pPr>
            <w:r/>
            <w:r>
              <w:rPr>
                <w:rFonts w:ascii="仿宋_GB2312" w:hAnsi="仿宋_GB2312" w:eastAsia="仿宋_GB2312"/>
                <w:b/>
                <w:sz w:val="24"/>
              </w:rPr>
              <w:t>溢折价&lt;br/&gt;摊销</w:t>
            </w:r>
          </w:p>
        </w:tc>
        <w:tc>
          <w:tcPr>
            <w:tcW w:type="dxa" w:w="764"/>
            <w:tcBorders>
              <w:bottom w:val="single" w:sz="4" w:space="0" w:color="000000"/>
            </w:tcBorders>
          </w:tcPr>
          <w:p>
            <w:pPr>
              <w:jc w:val="center"/>
            </w:pPr>
            <w:r/>
            <w:r>
              <w:rPr>
                <w:rFonts w:ascii="仿宋_GB2312" w:hAnsi="仿宋_GB2312" w:eastAsia="仿宋_GB2312"/>
                <w:b/>
                <w:sz w:val="24"/>
              </w:rPr>
              <w:t>本期偿还</w:t>
            </w:r>
          </w:p>
        </w:tc>
        <w:tc>
          <w:tcPr>
            <w:tcW w:type="dxa" w:w="764"/>
            <w:tcBorders>
              <w:bottom w:val="single" w:sz="4" w:space="0" w:color="000000"/>
            </w:tcBorders>
          </w:tcPr>
          <w:p>
            <w:pPr>
              <w:jc w:val="center"/>
            </w:pPr>
            <w:r/>
            <w:r>
              <w:rPr>
                <w:rFonts w:ascii="仿宋_GB2312" w:hAnsi="仿宋_GB2312" w:eastAsia="仿宋_GB2312"/>
                <w:b/>
                <w:sz w:val="24"/>
              </w:rPr>
              <w:t>期末&lt;br/&gt;余额</w:t>
            </w:r>
          </w:p>
        </w:tc>
      </w:tr>
      <w:tr>
        <w:trPr>
          <w:trHeight w:val="397" w:hRule="exact"/>
          <w:cantSplit/>
        </w:trPr>
        <w:tc>
          <w:tcPr>
            <w:tcW w:type="dxa" w:w="764"/>
          </w:tcPr>
          <w:p>
            <w:r/>
            <w:r>
              <w:rPr>
                <w:rFonts w:ascii="仿宋_GB2312" w:hAnsi="仿宋_GB2312" w:eastAsia="仿宋_GB2312"/>
                <w:b w:val="0"/>
                <w:sz w:val="24"/>
              </w:rPr>
              <w:t>合计</w:t>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c>
          <w:tcPr>
            <w:tcW w:type="dxa" w:w="764"/>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71、优先股、永续债等金融工具</w:t>
      </w:r>
      <w:bookmarkStart w:id="6757" w:name="note_section_八、51"/>
      <w:bookmarkEnd w:id="6757"/>
    </w:p>
    <w:p>
      <w:pPr>
        <w:spacing w:before="0" w:after="240" w:line="240" w:lineRule="auto"/>
      </w:pPr>
      <w:r>
        <w:rPr>
          <w:rFonts w:ascii="仿宋_GB2312" w:hAnsi="仿宋_GB2312" w:eastAsia="仿宋_GB2312"/>
          <w:b w:val="0"/>
          <w:sz w:val="24"/>
        </w:rPr>
        <w:t>期末发行在外的优先股、永续债等金融工具情况</w:t>
        <w:br/>
        <w:br/>
        <w:t>分项说明金融工具的主要条款</w:t>
        <w:br/>
        <w:br/>
        <w:t>包括本金是否可赎回，企业是否有权自主决定股利或利息支付政策，是否可转换为普通股以及发行合同关于转股价格或数量的约定等其他影响该类工具会计分类的重要特征。</w:t>
        <w:br/>
        <w:br/>
        <w:t>发行在外的优先股、永续债等金融工具变动情况</w:t>
        <w:br/>
        <w:br/>
        <w:t>股利（或利息）的设定机制</w:t>
      </w:r>
    </w:p>
    <w:p>
      <w:pPr>
        <w:spacing w:before="120" w:after="240" w:line="240" w:lineRule="auto"/>
      </w:pPr>
      <w:r>
        <w:rPr>
          <w:rFonts w:ascii="仿宋_GB2312" w:hAnsi="仿宋_GB2312" w:eastAsia="仿宋_GB2312"/>
          <w:b/>
          <w:sz w:val="24"/>
        </w:rPr>
        <w:t>发行在外的&lt;br/&gt;金融工具</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840"/>
        <w:gridCol w:w="840"/>
        <w:gridCol w:w="840"/>
        <w:gridCol w:w="840"/>
        <w:gridCol w:w="840"/>
        <w:gridCol w:w="840"/>
        <w:gridCol w:w="840"/>
        <w:gridCol w:w="840"/>
        <w:gridCol w:w="840"/>
        <w:gridCol w:w="840"/>
      </w:tblGrid>
      <w:tr>
        <w:trPr>
          <w:trHeight w:val="397" w:hRule="exact"/>
          <w:cantSplit/>
        </w:trPr>
        <w:tc>
          <w:tcPr>
            <w:tcW w:type="dxa" w:w="840"/>
            <w:tcBorders>
              <w:bottom w:val="single" w:sz="4" w:space="0" w:color="000000"/>
            </w:tcBorders>
          </w:tcPr>
          <w:p>
            <w:pPr>
              <w:jc w:val="center"/>
            </w:pPr>
            <w:r/>
            <w:r>
              <w:rPr>
                <w:rFonts w:ascii="仿宋_GB2312" w:hAnsi="仿宋_GB2312" w:eastAsia="仿宋_GB2312"/>
                <w:b/>
                <w:sz w:val="24"/>
              </w:rPr>
              <w:t>发行在外的&lt;br/&gt;金融工具</w:t>
            </w:r>
          </w:p>
        </w:tc>
        <w:tc>
          <w:tcPr>
            <w:tcW w:type="dxa" w:w="840"/>
            <w:tcBorders>
              <w:bottom w:val="single" w:sz="4" w:space="0" w:color="000000"/>
            </w:tcBorders>
          </w:tcPr>
          <w:p>
            <w:pPr>
              <w:jc w:val="center"/>
            </w:pPr>
            <w:r/>
            <w:r>
              <w:rPr>
                <w:rFonts w:ascii="仿宋_GB2312" w:hAnsi="仿宋_GB2312" w:eastAsia="仿宋_GB2312"/>
                <w:b/>
                <w:sz w:val="24"/>
              </w:rPr>
              <w:t>发行&lt;br/&gt;时间</w:t>
            </w:r>
          </w:p>
        </w:tc>
        <w:tc>
          <w:tcPr>
            <w:tcW w:type="dxa" w:w="840"/>
            <w:tcBorders>
              <w:bottom w:val="single" w:sz="4" w:space="0" w:color="000000"/>
            </w:tcBorders>
          </w:tcPr>
          <w:p>
            <w:pPr>
              <w:jc w:val="center"/>
            </w:pPr>
            <w:r/>
            <w:r>
              <w:rPr>
                <w:rFonts w:ascii="仿宋_GB2312" w:hAnsi="仿宋_GB2312" w:eastAsia="仿宋_GB2312"/>
                <w:b/>
                <w:sz w:val="24"/>
              </w:rPr>
              <w:t>会计&lt;br/&gt;分类</w:t>
            </w:r>
          </w:p>
        </w:tc>
        <w:tc>
          <w:tcPr>
            <w:tcW w:type="dxa" w:w="840"/>
            <w:tcBorders>
              <w:bottom w:val="single" w:sz="4" w:space="0" w:color="000000"/>
            </w:tcBorders>
          </w:tcPr>
          <w:p>
            <w:pPr>
              <w:jc w:val="center"/>
            </w:pPr>
            <w:r/>
            <w:r>
              <w:rPr>
                <w:rFonts w:ascii="仿宋_GB2312" w:hAnsi="仿宋_GB2312" w:eastAsia="仿宋_GB2312"/>
                <w:b/>
                <w:sz w:val="24"/>
              </w:rPr>
              <w:t>股利率&lt;br/&gt;或利息率</w:t>
            </w:r>
          </w:p>
        </w:tc>
        <w:tc>
          <w:tcPr>
            <w:tcW w:type="dxa" w:w="840"/>
            <w:tcBorders>
              <w:bottom w:val="single" w:sz="4" w:space="0" w:color="000000"/>
            </w:tcBorders>
          </w:tcPr>
          <w:p>
            <w:pPr>
              <w:jc w:val="center"/>
            </w:pPr>
            <w:r/>
            <w:r>
              <w:rPr>
                <w:rFonts w:ascii="仿宋_GB2312" w:hAnsi="仿宋_GB2312" w:eastAsia="仿宋_GB2312"/>
                <w:b/>
                <w:sz w:val="24"/>
              </w:rPr>
              <w:t>发行&lt;br/&gt;价格</w:t>
            </w:r>
          </w:p>
        </w:tc>
        <w:tc>
          <w:tcPr>
            <w:tcW w:type="dxa" w:w="840"/>
            <w:tcBorders>
              <w:bottom w:val="single" w:sz="4" w:space="0" w:color="000000"/>
            </w:tcBorders>
          </w:tcPr>
          <w:p>
            <w:pPr>
              <w:jc w:val="center"/>
            </w:pPr>
            <w:r/>
            <w:r>
              <w:rPr>
                <w:rFonts w:ascii="仿宋_GB2312" w:hAnsi="仿宋_GB2312" w:eastAsia="仿宋_GB2312"/>
                <w:b/>
                <w:sz w:val="24"/>
              </w:rPr>
              <w:t>数量</w:t>
            </w:r>
          </w:p>
        </w:tc>
        <w:tc>
          <w:tcPr>
            <w:tcW w:type="dxa" w:w="840"/>
            <w:tcBorders>
              <w:bottom w:val="single" w:sz="4" w:space="0" w:color="000000"/>
            </w:tcBorders>
          </w:tcPr>
          <w:p>
            <w:pPr>
              <w:jc w:val="center"/>
            </w:pPr>
            <w:r/>
            <w:r>
              <w:rPr>
                <w:rFonts w:ascii="仿宋_GB2312" w:hAnsi="仿宋_GB2312" w:eastAsia="仿宋_GB2312"/>
                <w:b/>
                <w:sz w:val="24"/>
              </w:rPr>
              <w:t>金额</w:t>
            </w:r>
          </w:p>
        </w:tc>
        <w:tc>
          <w:tcPr>
            <w:tcW w:type="dxa" w:w="840"/>
            <w:tcBorders>
              <w:bottom w:val="single" w:sz="4" w:space="0" w:color="000000"/>
            </w:tcBorders>
          </w:tcPr>
          <w:p>
            <w:pPr>
              <w:jc w:val="center"/>
            </w:pPr>
            <w:r/>
            <w:r>
              <w:rPr>
                <w:rFonts w:ascii="仿宋_GB2312" w:hAnsi="仿宋_GB2312" w:eastAsia="仿宋_GB2312"/>
                <w:b/>
                <w:sz w:val="24"/>
              </w:rPr>
              <w:t>到期日&lt;br/&gt;或续期情况</w:t>
            </w:r>
          </w:p>
        </w:tc>
        <w:tc>
          <w:tcPr>
            <w:tcW w:type="dxa" w:w="840"/>
            <w:tcBorders>
              <w:bottom w:val="single" w:sz="4" w:space="0" w:color="000000"/>
            </w:tcBorders>
          </w:tcPr>
          <w:p>
            <w:pPr>
              <w:jc w:val="center"/>
            </w:pPr>
            <w:r/>
            <w:r>
              <w:rPr>
                <w:rFonts w:ascii="仿宋_GB2312" w:hAnsi="仿宋_GB2312" w:eastAsia="仿宋_GB2312"/>
                <w:b/>
                <w:sz w:val="24"/>
              </w:rPr>
              <w:t>转股条件</w:t>
            </w:r>
          </w:p>
        </w:tc>
        <w:tc>
          <w:tcPr>
            <w:tcW w:type="dxa" w:w="840"/>
            <w:tcBorders>
              <w:bottom w:val="single" w:sz="4" w:space="0" w:color="000000"/>
            </w:tcBorders>
          </w:tcPr>
          <w:p>
            <w:pPr>
              <w:jc w:val="center"/>
            </w:pPr>
            <w:r/>
            <w:r>
              <w:rPr>
                <w:rFonts w:ascii="仿宋_GB2312" w:hAnsi="仿宋_GB2312" w:eastAsia="仿宋_GB2312"/>
                <w:b/>
                <w:sz w:val="24"/>
              </w:rPr>
              <w:t>转换&lt;br/&gt;情况</w:t>
            </w:r>
          </w:p>
        </w:tc>
      </w:tr>
      <w:tr>
        <w:trPr>
          <w:trHeight w:val="397" w:hRule="exact"/>
          <w:cantSplit/>
        </w:trPr>
        <w:tc>
          <w:tcPr>
            <w:tcW w:type="dxa" w:w="840"/>
          </w:tcPr>
          <w:p>
            <w:r/>
            <w:r>
              <w:rPr>
                <w:rFonts w:ascii="仿宋_GB2312" w:hAnsi="仿宋_GB2312" w:eastAsia="仿宋_GB2312"/>
                <w:b w:val="0"/>
                <w:sz w:val="24"/>
              </w:rPr>
              <w:t>工具1</w:t>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r>
      <w:tr>
        <w:trPr>
          <w:trHeight w:val="397" w:hRule="exact"/>
          <w:cantSplit/>
        </w:trPr>
        <w:tc>
          <w:tcPr>
            <w:tcW w:type="dxa" w:w="840"/>
          </w:tcPr>
          <w:p>
            <w:r/>
            <w:r>
              <w:rPr>
                <w:rFonts w:ascii="仿宋_GB2312" w:hAnsi="仿宋_GB2312" w:eastAsia="仿宋_GB2312"/>
                <w:b w:val="0"/>
                <w:sz w:val="24"/>
              </w:rPr>
              <w:t>工具2</w:t>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r>
      <w:tr>
        <w:trPr>
          <w:trHeight w:val="397" w:hRule="exact"/>
          <w:cantSplit/>
        </w:trPr>
        <w:tc>
          <w:tcPr>
            <w:tcW w:type="dxa" w:w="840"/>
          </w:tcPr>
          <w:p>
            <w:r/>
            <w:r>
              <w:rPr>
                <w:rFonts w:ascii="仿宋_GB2312" w:hAnsi="仿宋_GB2312" w:eastAsia="仿宋_GB2312"/>
                <w:b w:val="0"/>
                <w:sz w:val="24"/>
              </w:rPr>
              <w:t>……</w:t>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r>
      <w:tr>
        <w:trPr>
          <w:trHeight w:val="397" w:hRule="exact"/>
          <w:cantSplit/>
        </w:trPr>
        <w:tc>
          <w:tcPr>
            <w:tcW w:type="dxa" w:w="840"/>
          </w:tcPr>
          <w:p>
            <w:r/>
            <w:r>
              <w:rPr>
                <w:rFonts w:ascii="仿宋_GB2312" w:hAnsi="仿宋_GB2312" w:eastAsia="仿宋_GB2312"/>
                <w:b w:val="0"/>
                <w:sz w:val="24"/>
              </w:rPr>
              <w:t>合计</w:t>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发行在外的金融工具</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发行在外的金融工具</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680"/>
          </w:tcPr>
          <w:p>
            <w:r/>
            <w:r>
              <w:rPr>
                <w:rFonts w:ascii="仿宋_GB2312" w:hAnsi="仿宋_GB2312" w:eastAsia="仿宋_GB2312"/>
                <w:b w:val="0"/>
                <w:sz w:val="24"/>
              </w:rPr>
              <w:t>发行在外的金融工具</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工具1</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工具2</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工具3</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72、租赁负债</w:t>
      </w:r>
      <w:bookmarkStart w:id="39641" w:name="note_section_八、52"/>
      <w:bookmarkEnd w:id="39641"/>
    </w:p>
    <w:p>
      <w:pPr>
        <w:spacing w:before="0" w:after="240" w:line="240" w:lineRule="auto"/>
      </w:pPr>
      <w:r>
        <w:rPr>
          <w:rFonts w:ascii="仿宋_GB2312" w:hAnsi="仿宋_GB2312" w:eastAsia="仿宋_GB2312"/>
          <w:b w:val="0"/>
          <w:sz w:val="24"/>
        </w:rPr>
        <w:t>【提示：</w:t>
        <w:br/>
        <w:br/>
        <w:t>1、承租人根据《企业会计准则第21号——租赁》所确认的租赁负债发生的利息费用适用借款费用准则。使用权资产于租赁期开始日便达到预定可使用状态，租赁负债相关利息费用不应资本化计入使用权资产。租赁期开始日后，租赁负债可视同企业的一般借款。</w:t>
        <w:br/>
        <w:br/>
        <w:t>2、承租人向出租人支付的租金等款项中包含应缴纳的增值税的，相关增值税税额不属于租赁付款额的范畴，不应纳入租赁负债和使用权资产的计量。</w:t>
        <w:br/>
        <w:br/>
        <w:t>3、出租人为确保承租人履行合同相关义务收取租赁保证金的，该租赁保证金不属于出租人的租赁收款额和承租人的租赁付款额，出租人和承租人应当分别将其作为单独的负债和资产进行会计处理。】</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租赁付款额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减：未确认的融资费用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重分类至一年内到期的非流动负债</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租赁负债净额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73、长期应付款</w:t>
      </w:r>
      <w:bookmarkStart w:id="52243" w:name="note_section_八、53"/>
      <w:bookmarkEnd w:id="52243"/>
    </w:p>
    <w:p>
      <w:pPr>
        <w:spacing w:before="0" w:after="240" w:line="240" w:lineRule="auto"/>
      </w:pPr>
      <w:r>
        <w:rPr>
          <w:rFonts w:ascii="仿宋_GB2312" w:hAnsi="仿宋_GB2312" w:eastAsia="仿宋_GB2312"/>
          <w:b w:val="0"/>
          <w:sz w:val="24"/>
        </w:rPr>
        <w:t>### 长期应付款</w:t>
        <w:br/>
        <w:br/>
        <w:t>①长期应付款项期末余额最大的前5 项</w:t>
        <w:br/>
        <w:br/>
        <w:t>### 专项应付款</w:t>
        <w:br/>
        <w:br/>
        <w:t>①专项应付款期末余额最大的前5 项</w:t>
        <w:br/>
        <w:br/>
        <w:t>（注：</w:t>
        <w:br/>
        <w:br/>
        <w:t>（1）应说明专项应付款的来源、指定的专门用途、使用限制等相关内容。如：该专项应付款为财政部按照XX文规定拨付的X项目专用设备购置款。</w:t>
        <w:br/>
        <w:br/>
        <w:t>（2）企业因城镇整体规划、库区建设、棚户区改造、沉陷区治理等公共利益进行搬迁，收到政府从财政预算直接拨付的搬迁补偿款，在专项应付款中核算。）</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长期应付款</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专项应付款</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1．</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2．</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3．</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4．</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5．</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减：一年内到期长期应付款项</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680"/>
          </w:tcPr>
          <w:p>
            <w:r/>
            <w:r>
              <w:rPr>
                <w:rFonts w:ascii="仿宋_GB2312" w:hAnsi="仿宋_GB2312" w:eastAsia="仿宋_GB2312"/>
                <w:b w:val="0"/>
                <w:sz w:val="24"/>
              </w:rPr>
              <w:t>1．</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3．</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4．</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5．</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74、长期应付职工薪酬</w:t>
      </w:r>
      <w:bookmarkStart w:id="67146" w:name="note_section_八、54"/>
      <w:bookmarkEnd w:id="67146"/>
    </w:p>
    <w:p>
      <w:pPr>
        <w:spacing w:before="0" w:after="240" w:line="240" w:lineRule="auto"/>
      </w:pPr>
      <w:r>
        <w:rPr>
          <w:rFonts w:ascii="仿宋_GB2312" w:hAnsi="仿宋_GB2312" w:eastAsia="仿宋_GB2312"/>
          <w:b w:val="0"/>
          <w:sz w:val="24"/>
        </w:rPr>
        <w:t>（1、辞退福利的性质、内容及计算依据详见附注八、39；2、说明其他长期职工福利的性质及计算依据）</w:t>
        <w:br/>
        <w:br/>
        <w:t>### 设定受益计划变动情况</w:t>
        <w:br/>
        <w:br/>
        <w:t>#### 设定受益计划义务现值</w:t>
        <w:br/>
        <w:br/>
        <w:t>#### 计划资产</w:t>
        <w:br/>
        <w:br/>
        <w:t>【提示：设定受益计划存在资产的，企业应当将设定受益计划义务现值减去设定受益计划资产公允价值所形成的赤字或盈余确认为一项设定受益计划净负债或净资产。】</w:t>
        <w:br/>
        <w:br/>
        <w:t>#### 设定受益计划净负债（净资产）</w:t>
        <w:br/>
        <w:br/>
        <w:t>1、说明设定受益计划的内容、形成的原因、特征及与之相关的风险；</w:t>
        <w:br/>
        <w:br/>
        <w:t>如有对计划的修改或结算的，还应当披露修改或结算计划的有关情况；</w:t>
        <w:br/>
        <w:br/>
        <w:t>2、说明设定受益计划对公司未来现金流量的金额、时间和不确定性的影响。披露影响设定受益计划未来缴存金额的有关筹资政策和计划、下一会计年度预期将缴存的金额，设定受益义务有关到期情况的信息，如设定受益义务的加权平均期间、对有关福利支付的到期日分析等）</w:t>
        <w:br/>
        <w:br/>
        <w:t>#### 未折现的离职后福利预计到期分析</w:t>
        <w:br/>
        <w:br/>
        <w:t>### 计划资产</w:t>
        <w:br/>
        <w:br/>
        <w:t>【提示：1、权益工具投资按行业类型或公司规模或地域等分类；</w:t>
        <w:br/>
        <w:br/>
        <w:t>2、债务工具投资按债务工具发行人类型或信用评级或地域等分类。】</w:t>
        <w:br/>
        <w:br/>
        <w:t>### 精算假设</w:t>
        <w:br/>
        <w:br/>
        <w:t>### 敏感性分析</w:t>
        <w:br/>
        <w:br/>
        <w:t>上述敏感性分析是基于一个假设发生变动而其他假设均保持不变，但实际上各种假设通常是相互关联的。上述敏感性分析在计算设定受益义务现值时也同样采用累积福利单位法。</w:t>
        <w:br/>
        <w:br/>
        <w:t>进行敏感度分析所采用的重大假设的方法和类型与以前年度比较未发生变动。</w:t>
        <w:br/>
        <w:br/>
        <w:t>（如发生变动，应进一步说明发生的具体变动及原因。）</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680"/>
          </w:tcPr>
          <w:p>
            <w:r/>
            <w:r>
              <w:rPr>
                <w:rFonts w:ascii="仿宋_GB2312" w:hAnsi="仿宋_GB2312" w:eastAsia="仿宋_GB2312"/>
                <w:b w:val="0"/>
                <w:sz w:val="24"/>
              </w:rPr>
              <w:t>离职后福利-设定受益计划净负债</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辞退福利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其他长期福利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本期金额</w:t>
            </w:r>
          </w:p>
        </w:tc>
        <w:tc>
          <w:tcPr>
            <w:tcW w:type="dxa" w:w="2801"/>
            <w:tcBorders>
              <w:bottom w:val="single" w:sz="4" w:space="0" w:color="000000"/>
            </w:tcBorders>
          </w:tcPr>
          <w:p>
            <w:pPr>
              <w:jc w:val="center"/>
            </w:pPr>
            <w:r/>
            <w:r>
              <w:rPr>
                <w:rFonts w:ascii="仿宋_GB2312" w:hAnsi="仿宋_GB2312" w:eastAsia="仿宋_GB2312"/>
                <w:b/>
                <w:sz w:val="24"/>
              </w:rPr>
              <w:t>上期金额</w:t>
            </w:r>
          </w:p>
        </w:tc>
      </w:tr>
      <w:tr>
        <w:trPr>
          <w:trHeight w:val="397" w:hRule="exact"/>
          <w:cantSplit/>
        </w:trPr>
        <w:tc>
          <w:tcPr>
            <w:tcW w:type="dxa" w:w="2801"/>
          </w:tcPr>
          <w:p>
            <w:r/>
            <w:r>
              <w:rPr>
                <w:rFonts w:ascii="仿宋_GB2312" w:hAnsi="仿宋_GB2312" w:eastAsia="仿宋_GB2312"/>
                <w:b w:val="0"/>
                <w:sz w:val="24"/>
              </w:rPr>
              <w:t>一、期初余额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二、计入当期损益的设定受益成本</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1．当期服务成本</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2．过去服务成本</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3．结算利得（损失以“-”表示）</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4．利息净额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三、计入其他综合收益的设定受益成本</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1．精算利得（损失以“-”表示）</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四、其他变动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1．结算时消除的负债</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2．已支付的福利</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五、期末余额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本期金额</w:t>
            </w:r>
          </w:p>
        </w:tc>
        <w:tc>
          <w:tcPr>
            <w:tcW w:type="dxa" w:w="2801"/>
            <w:tcBorders>
              <w:bottom w:val="single" w:sz="4" w:space="0" w:color="000000"/>
            </w:tcBorders>
          </w:tcPr>
          <w:p>
            <w:pPr>
              <w:jc w:val="center"/>
            </w:pPr>
            <w:r/>
            <w:r>
              <w:rPr>
                <w:rFonts w:ascii="仿宋_GB2312" w:hAnsi="仿宋_GB2312" w:eastAsia="仿宋_GB2312"/>
                <w:b/>
                <w:sz w:val="24"/>
              </w:rPr>
              <w:t>上期金额</w:t>
            </w:r>
          </w:p>
        </w:tc>
      </w:tr>
      <w:tr>
        <w:trPr>
          <w:trHeight w:val="397" w:hRule="exact"/>
          <w:cantSplit/>
        </w:trPr>
        <w:tc>
          <w:tcPr>
            <w:tcW w:type="dxa" w:w="2801"/>
          </w:tcPr>
          <w:p>
            <w:r/>
            <w:r>
              <w:rPr>
                <w:rFonts w:ascii="仿宋_GB2312" w:hAnsi="仿宋_GB2312" w:eastAsia="仿宋_GB2312"/>
                <w:b w:val="0"/>
                <w:sz w:val="24"/>
              </w:rPr>
              <w:t>一、期初余额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二、计入当期损益的设定受益成本</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1．利息净额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三、计入其他综合收益的设定受益成本</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1．计划资产的回报（计入利息净额的除外）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2．资产上限影响的变动（计入利息净额的除外）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四、其他变动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五、期末余额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本期金额</w:t>
            </w:r>
          </w:p>
        </w:tc>
        <w:tc>
          <w:tcPr>
            <w:tcW w:type="dxa" w:w="2801"/>
            <w:tcBorders>
              <w:bottom w:val="single" w:sz="4" w:space="0" w:color="000000"/>
            </w:tcBorders>
          </w:tcPr>
          <w:p>
            <w:pPr>
              <w:jc w:val="center"/>
            </w:pPr>
            <w:r/>
            <w:r>
              <w:rPr>
                <w:rFonts w:ascii="仿宋_GB2312" w:hAnsi="仿宋_GB2312" w:eastAsia="仿宋_GB2312"/>
                <w:b/>
                <w:sz w:val="24"/>
              </w:rPr>
              <w:t>上期金额</w:t>
            </w:r>
          </w:p>
        </w:tc>
      </w:tr>
      <w:tr>
        <w:trPr>
          <w:trHeight w:val="397" w:hRule="exact"/>
          <w:cantSplit/>
        </w:trPr>
        <w:tc>
          <w:tcPr>
            <w:tcW w:type="dxa" w:w="2801"/>
          </w:tcPr>
          <w:p>
            <w:r/>
            <w:r>
              <w:rPr>
                <w:rFonts w:ascii="仿宋_GB2312" w:hAnsi="仿宋_GB2312" w:eastAsia="仿宋_GB2312"/>
                <w:b w:val="0"/>
                <w:sz w:val="24"/>
              </w:rPr>
              <w:t>一、期初余额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二、计入当期损益的设定受益成本</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三、计入其他综合收益的设定受益成本</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四、其他变动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五、期末余额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项目</w:t>
            </w:r>
          </w:p>
        </w:tc>
        <w:tc>
          <w:tcPr>
            <w:tcW w:type="dxa" w:w="4201"/>
            <w:tcBorders>
              <w:bottom w:val="single" w:sz="4" w:space="0" w:color="000000"/>
            </w:tcBorders>
          </w:tcPr>
          <w:p>
            <w:pPr>
              <w:jc w:val="center"/>
            </w:pPr>
            <w:r/>
            <w:r>
              <w:rPr>
                <w:rFonts w:ascii="仿宋_GB2312" w:hAnsi="仿宋_GB2312" w:eastAsia="仿宋_GB2312"/>
                <w:b/>
                <w:sz w:val="24"/>
              </w:rPr>
              <w:t>金额</w:t>
            </w:r>
          </w:p>
        </w:tc>
      </w:tr>
      <w:tr>
        <w:trPr>
          <w:trHeight w:val="397" w:hRule="exact"/>
          <w:cantSplit/>
        </w:trPr>
        <w:tc>
          <w:tcPr>
            <w:tcW w:type="dxa" w:w="4201"/>
          </w:tcPr>
          <w:p>
            <w:r/>
            <w:r>
              <w:rPr>
                <w:rFonts w:ascii="仿宋_GB2312" w:hAnsi="仿宋_GB2312" w:eastAsia="仿宋_GB2312"/>
                <w:b w:val="0"/>
                <w:sz w:val="24"/>
              </w:rPr>
              <w:t>一年以内</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一到两年</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二到五年</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五年以上</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合计</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项目</w:t>
            </w:r>
          </w:p>
        </w:tc>
        <w:tc>
          <w:tcPr>
            <w:tcW w:type="dxa" w:w="4201"/>
            <w:tcBorders>
              <w:bottom w:val="single" w:sz="4" w:space="0" w:color="000000"/>
            </w:tcBorders>
          </w:tcPr>
          <w:p>
            <w:pPr>
              <w:jc w:val="center"/>
            </w:pPr>
            <w:r/>
            <w:r>
              <w:rPr>
                <w:rFonts w:ascii="仿宋_GB2312" w:hAnsi="仿宋_GB2312" w:eastAsia="仿宋_GB2312"/>
                <w:b/>
                <w:sz w:val="24"/>
              </w:rPr>
              <w:t>计划资产的公允价值</w:t>
            </w:r>
          </w:p>
        </w:tc>
      </w:tr>
      <w:tr>
        <w:trPr>
          <w:trHeight w:val="397" w:hRule="exact"/>
          <w:cantSplit/>
        </w:trPr>
        <w:tc>
          <w:tcPr>
            <w:tcW w:type="dxa" w:w="4201"/>
          </w:tcPr>
          <w:p>
            <w:r/>
            <w:r>
              <w:rPr>
                <w:rFonts w:ascii="仿宋_GB2312" w:hAnsi="仿宋_GB2312" w:eastAsia="仿宋_GB2312"/>
                <w:b w:val="0"/>
                <w:sz w:val="24"/>
              </w:rPr>
              <w:t>项目</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现金和现金等价物</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权益工具投资</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1、……</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2、……</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债务工具投资</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1、……</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2、……</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其他</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合计</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折现率</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死亡率</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预计平均寿命</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职工的离职率</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薪酬的预期增长率</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假设的变动幅度</w:t>
            </w:r>
          </w:p>
        </w:tc>
        <w:tc>
          <w:tcPr>
            <w:tcW w:type="dxa" w:w="2801"/>
            <w:tcBorders>
              <w:bottom w:val="single" w:sz="4" w:space="0" w:color="000000"/>
            </w:tcBorders>
          </w:tcPr>
          <w:p>
            <w:pPr>
              <w:jc w:val="center"/>
            </w:pPr>
            <w:r/>
            <w:r>
              <w:rPr>
                <w:rFonts w:ascii="仿宋_GB2312" w:hAnsi="仿宋_GB2312" w:eastAsia="仿宋_GB2312"/>
                <w:b/>
                <w:sz w:val="24"/>
              </w:rPr>
              <w:t>对设定受益义务现值的影响</w:t>
            </w:r>
          </w:p>
        </w:tc>
      </w:tr>
      <w:tr>
        <w:trPr>
          <w:trHeight w:val="397" w:hRule="exact"/>
          <w:cantSplit/>
        </w:trPr>
        <w:tc>
          <w:tcPr>
            <w:tcW w:type="dxa" w:w="2801"/>
          </w:tcPr>
          <w:p>
            <w:r/>
            <w:r>
              <w:rPr>
                <w:rFonts w:ascii="仿宋_GB2312" w:hAnsi="仿宋_GB2312" w:eastAsia="仿宋_GB2312"/>
                <w:b w:val="0"/>
                <w:sz w:val="24"/>
              </w:rPr>
              <w:t>项目</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折现率</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死亡率</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预计平均寿命</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职工的离职率</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薪酬的预期增长率</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75、预计负债</w:t>
      </w:r>
      <w:bookmarkStart w:id="6185" w:name="note_section_八、55"/>
      <w:bookmarkEnd w:id="6185"/>
    </w:p>
    <w:p>
      <w:pPr>
        <w:spacing w:before="0" w:after="240" w:line="240" w:lineRule="auto"/>
      </w:pPr>
      <w:r>
        <w:rPr>
          <w:rFonts w:ascii="仿宋_GB2312" w:hAnsi="仿宋_GB2312" w:eastAsia="仿宋_GB2312"/>
          <w:b w:val="0"/>
          <w:sz w:val="24"/>
        </w:rPr>
        <w:t>注：应逐项说明未决诉讼、待执行的亏损合同的形成原因和进展。</w:t>
        <w:br/>
        <w:br/>
        <w:t>（对于期限在一年或一个营业周期以内的预计负债，在“其他流动负债”项目列报，其他预计负债在非流动负债中的“预计负债”项目列报；将于一年内到期的“预计负债”应当重分类至“一年内到期的非流动负债”。</w:t>
        <w:br/>
        <w:br/>
        <w:t>《关于严格执行企业会计准则 切实做好企业2025年年报工作的通知》：企业应当正确划分流动负债和非流动负债，合理确定资产负债表中“预计负债”项目的列示金额。对于期限在一年或一个营业周期以上的保证类质量保证形成的预计负债，企业应当将预计未来一年或一个营业周期以内清偿的保证类质量保证形成的预计负债金额计入流动负债，并在资产负债表中“一年内到期的非流动负债”项目列示，其余计入非流动负债，并在资产负债表中“预计负债”项目列示；如果企业不能合理预计未来一年或一个营业周期以内清偿的保证类质量保证形成的预计负债金额，则全部计入流动负债，在资产负债表中“其他流动负债”项目列示。企业可以依照确定预计负债的历史数据和方法，合理估计预计清偿的金额和时间。）</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弃置费用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对外提供担保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未决诉讼</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产品质量保证</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重组义务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应付退货款</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待执行的亏损合同</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76、递延收益</w:t>
      </w:r>
      <w:bookmarkStart w:id="24287" w:name="note_section_八、56"/>
      <w:bookmarkEnd w:id="24287"/>
    </w:p>
    <w:p>
      <w:pPr>
        <w:spacing w:before="0" w:after="240" w:line="240" w:lineRule="auto"/>
      </w:pPr>
      <w:r>
        <w:rPr>
          <w:rFonts w:ascii="仿宋_GB2312" w:hAnsi="仿宋_GB2312" w:eastAsia="仿宋_GB2312"/>
          <w:b w:val="0"/>
          <w:sz w:val="24"/>
        </w:rPr>
        <w:t>注：企业还应当披露与政府补助有关的下列信息：1.政府补助的种类及金额；2.计入当期损益的政府补助金额；3.本期返还的政府补助金额及原因。</w:t>
        <w:br/>
        <w:br/>
        <w:t>### 其中：递延收益-政府补助情况【参考披露格式如下】</w:t>
        <w:br/>
        <w:br/>
        <w:t>【提示：1、仅披露金额重大的政府补助项目；2、应和相关科目明细项“政府补助”金额核对一致。】</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680"/>
          </w:tcPr>
          <w:p>
            <w:r/>
            <w:r>
              <w:rPr>
                <w:rFonts w:ascii="仿宋_GB2312" w:hAnsi="仿宋_GB2312" w:eastAsia="仿宋_GB2312"/>
                <w:b w:val="0"/>
                <w:sz w:val="24"/>
              </w:rPr>
              <w:t>政府补助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补助项目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840"/>
        <w:gridCol w:w="840"/>
        <w:gridCol w:w="840"/>
        <w:gridCol w:w="840"/>
        <w:gridCol w:w="840"/>
        <w:gridCol w:w="840"/>
        <w:gridCol w:w="840"/>
        <w:gridCol w:w="840"/>
        <w:gridCol w:w="840"/>
        <w:gridCol w:w="840"/>
      </w:tblGrid>
      <w:tr>
        <w:trPr>
          <w:trHeight w:val="397" w:hRule="exact"/>
          <w:cantSplit/>
        </w:trPr>
        <w:tc>
          <w:tcPr>
            <w:tcW w:type="dxa" w:w="840"/>
            <w:tcBorders>
              <w:bottom w:val="single" w:sz="4" w:space="0" w:color="000000"/>
            </w:tcBorders>
          </w:tcPr>
          <w:p>
            <w:pPr>
              <w:jc w:val="center"/>
            </w:pPr>
            <w:r/>
            <w:r>
              <w:rPr>
                <w:rFonts w:ascii="仿宋_GB2312" w:hAnsi="仿宋_GB2312" w:eastAsia="仿宋_GB2312"/>
                <w:b/>
                <w:sz w:val="24"/>
              </w:rPr>
              <w:t>补助项目</w:t>
            </w:r>
          </w:p>
        </w:tc>
        <w:tc>
          <w:tcPr>
            <w:tcW w:type="dxa" w:w="840"/>
            <w:tcBorders>
              <w:bottom w:val="single" w:sz="4" w:space="0" w:color="000000"/>
            </w:tcBorders>
          </w:tcPr>
          <w:p>
            <w:pPr>
              <w:jc w:val="center"/>
            </w:pPr>
            <w:r/>
            <w:r>
              <w:rPr>
                <w:rFonts w:ascii="仿宋_GB2312" w:hAnsi="仿宋_GB2312" w:eastAsia="仿宋_GB2312"/>
                <w:b/>
                <w:sz w:val="24"/>
              </w:rPr>
              <w:t>期初余额</w:t>
            </w:r>
          </w:p>
        </w:tc>
        <w:tc>
          <w:tcPr>
            <w:tcW w:type="dxa" w:w="840"/>
            <w:tcBorders>
              <w:bottom w:val="single" w:sz="4" w:space="0" w:color="000000"/>
            </w:tcBorders>
          </w:tcPr>
          <w:p>
            <w:pPr>
              <w:jc w:val="center"/>
            </w:pPr>
            <w:r/>
            <w:r>
              <w:rPr>
                <w:rFonts w:ascii="仿宋_GB2312" w:hAnsi="仿宋_GB2312" w:eastAsia="仿宋_GB2312"/>
                <w:b/>
                <w:sz w:val="24"/>
              </w:rPr>
              <w:t>本期新增补助金额</w:t>
            </w:r>
          </w:p>
        </w:tc>
        <w:tc>
          <w:tcPr>
            <w:tcW w:type="dxa" w:w="840"/>
            <w:tcBorders>
              <w:bottom w:val="single" w:sz="4" w:space="0" w:color="000000"/>
            </w:tcBorders>
          </w:tcPr>
          <w:p>
            <w:pPr>
              <w:jc w:val="center"/>
            </w:pPr>
            <w:r/>
            <w:r>
              <w:rPr>
                <w:rFonts w:ascii="仿宋_GB2312" w:hAnsi="仿宋_GB2312" w:eastAsia="仿宋_GB2312"/>
                <w:b/>
                <w:sz w:val="24"/>
              </w:rPr>
              <w:t>本期计入损益金额</w:t>
            </w:r>
          </w:p>
        </w:tc>
        <w:tc>
          <w:tcPr>
            <w:tcW w:type="dxa" w:w="840"/>
            <w:tcBorders>
              <w:bottom w:val="single" w:sz="4" w:space="0" w:color="000000"/>
            </w:tcBorders>
          </w:tcPr>
          <w:p>
            <w:pPr>
              <w:jc w:val="center"/>
            </w:pPr>
            <w:r/>
            <w:r>
              <w:rPr>
                <w:rFonts w:ascii="仿宋_GB2312" w:hAnsi="仿宋_GB2312" w:eastAsia="仿宋_GB2312"/>
                <w:b/>
                <w:sz w:val="24"/>
              </w:rPr>
              <w:t>本期计入损益的列报项目</w:t>
            </w:r>
          </w:p>
        </w:tc>
        <w:tc>
          <w:tcPr>
            <w:tcW w:type="dxa" w:w="840"/>
            <w:tcBorders>
              <w:bottom w:val="single" w:sz="4" w:space="0" w:color="000000"/>
            </w:tcBorders>
          </w:tcPr>
          <w:p>
            <w:pPr>
              <w:jc w:val="center"/>
            </w:pPr>
            <w:r/>
            <w:r>
              <w:rPr>
                <w:rFonts w:ascii="仿宋_GB2312" w:hAnsi="仿宋_GB2312" w:eastAsia="仿宋_GB2312"/>
                <w:b/>
                <w:sz w:val="24"/>
              </w:rPr>
              <w:t>本期返还的金额</w:t>
            </w:r>
          </w:p>
        </w:tc>
        <w:tc>
          <w:tcPr>
            <w:tcW w:type="dxa" w:w="840"/>
            <w:tcBorders>
              <w:bottom w:val="single" w:sz="4" w:space="0" w:color="000000"/>
            </w:tcBorders>
          </w:tcPr>
          <w:p>
            <w:pPr>
              <w:jc w:val="center"/>
            </w:pPr>
            <w:r/>
            <w:r>
              <w:rPr>
                <w:rFonts w:ascii="仿宋_GB2312" w:hAnsi="仿宋_GB2312" w:eastAsia="仿宋_GB2312"/>
                <w:b/>
                <w:sz w:val="24"/>
              </w:rPr>
              <w:t>其他&lt;br/&gt;变动</w:t>
            </w:r>
          </w:p>
        </w:tc>
        <w:tc>
          <w:tcPr>
            <w:tcW w:type="dxa" w:w="840"/>
            <w:tcBorders>
              <w:bottom w:val="single" w:sz="4" w:space="0" w:color="000000"/>
            </w:tcBorders>
          </w:tcPr>
          <w:p>
            <w:pPr>
              <w:jc w:val="center"/>
            </w:pPr>
            <w:r/>
            <w:r>
              <w:rPr>
                <w:rFonts w:ascii="仿宋_GB2312" w:hAnsi="仿宋_GB2312" w:eastAsia="仿宋_GB2312"/>
                <w:b/>
                <w:sz w:val="24"/>
              </w:rPr>
              <w:t>期末&lt;br/&gt;余额</w:t>
            </w:r>
          </w:p>
        </w:tc>
        <w:tc>
          <w:tcPr>
            <w:tcW w:type="dxa" w:w="840"/>
            <w:tcBorders>
              <w:bottom w:val="single" w:sz="4" w:space="0" w:color="000000"/>
            </w:tcBorders>
          </w:tcPr>
          <w:p>
            <w:pPr>
              <w:jc w:val="center"/>
            </w:pPr>
            <w:r/>
            <w:r>
              <w:rPr>
                <w:rFonts w:ascii="仿宋_GB2312" w:hAnsi="仿宋_GB2312" w:eastAsia="仿宋_GB2312"/>
                <w:b/>
                <w:sz w:val="24"/>
              </w:rPr>
              <w:t>与资产相关/与收益相关</w:t>
            </w:r>
          </w:p>
        </w:tc>
        <w:tc>
          <w:tcPr>
            <w:tcW w:type="dxa" w:w="840"/>
            <w:tcBorders>
              <w:bottom w:val="single" w:sz="4" w:space="0" w:color="000000"/>
            </w:tcBorders>
          </w:tcPr>
          <w:p>
            <w:pPr>
              <w:jc w:val="center"/>
            </w:pPr>
            <w:r/>
            <w:r>
              <w:rPr>
                <w:rFonts w:ascii="仿宋_GB2312" w:hAnsi="仿宋_GB2312" w:eastAsia="仿宋_GB2312"/>
                <w:b/>
                <w:sz w:val="24"/>
              </w:rPr>
              <w:t>本期返还的原因</w:t>
            </w:r>
          </w:p>
        </w:tc>
      </w:tr>
      <w:tr>
        <w:trPr>
          <w:trHeight w:val="397" w:hRule="exact"/>
          <w:cantSplit/>
        </w:trPr>
        <w:tc>
          <w:tcPr>
            <w:tcW w:type="dxa" w:w="840"/>
          </w:tcPr>
          <w:p>
            <w:r/>
            <w:r>
              <w:rPr>
                <w:rFonts w:ascii="仿宋_GB2312" w:hAnsi="仿宋_GB2312" w:eastAsia="仿宋_GB2312"/>
                <w:b w:val="0"/>
                <w:sz w:val="24"/>
              </w:rPr>
              <w:t>合计</w:t>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c>
          <w:tcPr>
            <w:tcW w:type="dxa" w:w="84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77、其他非流动负债</w:t>
      </w:r>
      <w:bookmarkStart w:id="28025" w:name="note_section_八、57"/>
      <w:bookmarkEnd w:id="28025"/>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待转销项税额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合同负债</w:t>
            </w:r>
          </w:p>
        </w:tc>
        <w:tc>
          <w:tcPr>
            <w:tcW w:type="dxa" w:w="2801"/>
          </w:tcPr>
          <w:p>
            <w:pPr>
              <w:jc w:val="right"/>
            </w:pPr>
            <w:r/>
            <w:r>
              <w:rPr>
                <w:rFonts w:ascii="Arial Narrow" w:hAnsi="Arial Narrow" w:eastAsia="仿宋_GB2312" w:cs="Arial Narrow"/>
                <w:sz w:val="24"/>
              </w:rPr>
              <w:t>7,855.34</w:t>
            </w:r>
          </w:p>
        </w:tc>
        <w:tc>
          <w:tcPr>
            <w:tcW w:type="dxa" w:w="2801"/>
          </w:tcPr>
          <w:p>
            <w:pPr>
              <w:jc w:val="right"/>
            </w:pPr>
            <w:r/>
            <w:r>
              <w:rPr>
                <w:rFonts w:ascii="Arial Narrow" w:hAnsi="Arial Narrow" w:eastAsia="仿宋_GB2312" w:cs="Arial Narrow"/>
                <w:sz w:val="24"/>
              </w:rPr>
              <w:t>112,931.79</w:t>
            </w:r>
          </w:p>
        </w:tc>
      </w:tr>
      <w:tr>
        <w:trPr>
          <w:trHeight w:val="397" w:hRule="exact"/>
          <w:cantSplit/>
        </w:trPr>
        <w:tc>
          <w:tcPr>
            <w:tcW w:type="dxa" w:w="2801"/>
          </w:tcPr>
          <w:p>
            <w:r/>
            <w:r>
              <w:rPr>
                <w:rFonts w:ascii="仿宋_GB2312" w:hAnsi="仿宋_GB2312" w:eastAsia="仿宋_GB2312"/>
                <w:b w:val="0"/>
                <w:sz w:val="24"/>
              </w:rPr>
              <w:t>……</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Arial Narrow" w:hAnsi="Arial Narrow" w:eastAsia="仿宋_GB2312" w:cs="Arial Narrow"/>
                <w:sz w:val="24"/>
              </w:rPr>
              <w:t>7,855.34</w:t>
            </w:r>
          </w:p>
        </w:tc>
        <w:tc>
          <w:tcPr>
            <w:tcW w:type="dxa" w:w="2801"/>
          </w:tcPr>
          <w:p>
            <w:pPr>
              <w:jc w:val="right"/>
            </w:pPr>
            <w:r/>
            <w:r>
              <w:rPr>
                <w:rFonts w:ascii="Arial Narrow" w:hAnsi="Arial Narrow" w:eastAsia="仿宋_GB2312" w:cs="Arial Narrow"/>
                <w:sz w:val="24"/>
              </w:rPr>
              <w:t>112,931.79</w:t>
            </w:r>
          </w:p>
        </w:tc>
      </w:tr>
    </w:tbl>
    <w:p/>
    <w:p>
      <w:pPr>
        <w:spacing w:before="120" w:after="240" w:line="240" w:lineRule="auto"/>
      </w:pPr>
      <w:r>
        <w:rPr>
          <w:rFonts w:ascii="仿宋_GB2312" w:hAnsi="仿宋_GB2312" w:eastAsia="仿宋_GB2312"/>
          <w:b/>
          <w:sz w:val="24"/>
        </w:rPr>
        <w:t>78、实收资本</w:t>
      </w:r>
      <w:bookmarkStart w:id="51068" w:name="note_section_八、58"/>
      <w:bookmarkEnd w:id="51068"/>
    </w:p>
    <w:p>
      <w:pPr>
        <w:spacing w:before="0" w:after="240" w:line="240" w:lineRule="auto"/>
      </w:pPr>
      <w:r>
        <w:rPr>
          <w:rFonts w:ascii="仿宋_GB2312" w:hAnsi="仿宋_GB2312" w:eastAsia="仿宋_GB2312"/>
          <w:b w:val="0"/>
          <w:sz w:val="24"/>
        </w:rPr>
        <w:t>（如果报告期内有增减变动行为的，应披露执行验资的会计师事务所名称和验资报告文号。）</w:t>
        <w:br/>
        <w:br/>
        <w:t>（企业所有者权益中，国家所有者权益各项目的变化数额及其变化原因参照国有资产变动情况表）</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投资者名称</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680"/>
          </w:tcPr>
          <w:p>
            <w:r/>
            <w:r>
              <w:rPr>
                <w:rFonts w:ascii="仿宋_GB2312" w:hAnsi="仿宋_GB2312" w:eastAsia="仿宋_GB2312"/>
                <w:b w:val="0"/>
                <w:sz w:val="24"/>
              </w:rPr>
              <w:t>投资者名称</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Arial Narrow" w:hAnsi="Arial Narrow" w:eastAsia="仿宋_GB2312" w:cs="Arial Narrow"/>
                <w:sz w:val="24"/>
              </w:rPr>
            </w:r>
          </w:p>
        </w:tc>
        <w:tc>
          <w:tcPr>
            <w:tcW w:type="dxa" w:w="1680"/>
          </w:tcPr>
          <w:p>
            <w:pPr>
              <w:jc w:val="right"/>
            </w:pPr>
            <w:r/>
            <w:r>
              <w:rPr>
                <w:rFonts w:ascii="Arial Narrow" w:hAnsi="Arial Narrow" w:eastAsia="仿宋_GB2312" w:cs="Arial Narrow"/>
                <w:sz w:val="24"/>
              </w:rPr>
            </w:r>
          </w:p>
        </w:tc>
        <w:tc>
          <w:tcPr>
            <w:tcW w:type="dxa" w:w="1680"/>
          </w:tcPr>
          <w:p>
            <w:pPr>
              <w:jc w:val="right"/>
            </w:pPr>
            <w:r/>
            <w:r>
              <w:rPr>
                <w:rFonts w:ascii="Arial Narrow" w:hAnsi="Arial Narrow" w:eastAsia="仿宋_GB2312" w:cs="Arial Narrow"/>
                <w:sz w:val="24"/>
              </w:rPr>
            </w:r>
          </w:p>
        </w:tc>
        <w:tc>
          <w:tcPr>
            <w:tcW w:type="dxa" w:w="1680"/>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79、其他权益工具</w:t>
      </w:r>
      <w:bookmarkStart w:id="64545" w:name="note_section_八、59"/>
      <w:bookmarkEnd w:id="64545"/>
    </w:p>
    <w:p>
      <w:pPr>
        <w:spacing w:before="0" w:after="240" w:line="240" w:lineRule="auto"/>
      </w:pPr>
      <w:r>
        <w:rPr>
          <w:rFonts w:ascii="仿宋_GB2312" w:hAnsi="仿宋_GB2312" w:eastAsia="仿宋_GB2312"/>
          <w:b w:val="0"/>
          <w:sz w:val="24"/>
        </w:rPr>
        <w:t>注：企业应详细说明期末发行在外的优先股、永续债等其他金融工具基本情况。</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发行在外的金融工具</w:t>
            </w:r>
          </w:p>
        </w:tc>
        <w:tc>
          <w:tcPr>
            <w:tcW w:type="dxa" w:w="1680"/>
            <w:tcBorders>
              <w:bottom w:val="single" w:sz="4" w:space="0" w:color="000000"/>
            </w:tcBorders>
          </w:tcPr>
          <w:p>
            <w:pPr>
              <w:jc w:val="center"/>
            </w:pPr>
            <w:r/>
            <w:r>
              <w:rPr>
                <w:rFonts w:ascii="仿宋_GB2312" w:hAnsi="仿宋_GB2312" w:eastAsia="仿宋_GB2312"/>
                <w:b/>
                <w:sz w:val="24"/>
              </w:rPr>
              <w:t>期初</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w:t>
            </w:r>
          </w:p>
        </w:tc>
      </w:tr>
      <w:tr>
        <w:trPr>
          <w:trHeight w:val="397" w:hRule="exact"/>
          <w:cantSplit/>
        </w:trPr>
        <w:tc>
          <w:tcPr>
            <w:tcW w:type="dxa" w:w="1680"/>
          </w:tcPr>
          <w:p>
            <w:r/>
            <w:r>
              <w:rPr>
                <w:rFonts w:ascii="仿宋_GB2312" w:hAnsi="仿宋_GB2312" w:eastAsia="仿宋_GB2312"/>
                <w:b w:val="0"/>
                <w:sz w:val="24"/>
              </w:rPr>
              <w:t>发行在外的金融工具</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Arial Narrow" w:hAnsi="Arial Narrow" w:eastAsia="仿宋_GB2312" w:cs="Arial Narrow"/>
                <w:sz w:val="24"/>
              </w:rPr>
            </w:r>
          </w:p>
        </w:tc>
        <w:tc>
          <w:tcPr>
            <w:tcW w:type="dxa" w:w="1680"/>
          </w:tcPr>
          <w:p>
            <w:pPr>
              <w:jc w:val="right"/>
            </w:pPr>
            <w:r/>
            <w:r>
              <w:rPr>
                <w:rFonts w:ascii="Arial Narrow" w:hAnsi="Arial Narrow" w:eastAsia="仿宋_GB2312" w:cs="Arial Narrow"/>
                <w:sz w:val="24"/>
              </w:rPr>
            </w:r>
          </w:p>
        </w:tc>
        <w:tc>
          <w:tcPr>
            <w:tcW w:type="dxa" w:w="1680"/>
          </w:tcPr>
          <w:p>
            <w:pPr>
              <w:jc w:val="right"/>
            </w:pPr>
            <w:r/>
            <w:r>
              <w:rPr>
                <w:rFonts w:ascii="Arial Narrow" w:hAnsi="Arial Narrow" w:eastAsia="仿宋_GB2312" w:cs="Arial Narrow"/>
                <w:sz w:val="24"/>
              </w:rPr>
            </w:r>
          </w:p>
        </w:tc>
        <w:tc>
          <w:tcPr>
            <w:tcW w:type="dxa" w:w="1680"/>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80、应收款项融资</w:t>
      </w:r>
      <w:bookmarkStart w:id="34081" w:name="note_section_八、6"/>
      <w:bookmarkEnd w:id="34081"/>
    </w:p>
    <w:p>
      <w:pPr>
        <w:spacing w:before="0" w:after="240" w:line="240" w:lineRule="auto"/>
      </w:pPr>
      <w:r>
        <w:rPr>
          <w:rFonts w:ascii="仿宋_GB2312" w:hAnsi="仿宋_GB2312" w:eastAsia="仿宋_GB2312"/>
          <w:b w:val="0"/>
          <w:sz w:val="24"/>
        </w:rPr>
        <w:t>【提示：1、应收账款，本期计提、收回或转回的减值准备情况参考附注八、5、（3）进行披露；本期实际核销的应收款项融资情况参考附注八、5、（4）进行披露。</w:t>
        <w:br/>
        <w:br/>
        <w:t>2、应收票据，期末质押、背书或贴现且在资产负债表日尚未到期、出票人未履约、坏账准备计提情况参考附注八、4、（2）（3）（4）（5）（6）进行披露】</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种类</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应收票据</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应收账款</w:t>
            </w:r>
          </w:p>
        </w:tc>
        <w:tc>
          <w:tcPr>
            <w:tcW w:type="dxa" w:w="2801"/>
          </w:tcPr>
          <w:p>
            <w:pPr>
              <w:jc w:val="right"/>
            </w:pPr>
            <w:r/>
            <w:r>
              <w:rPr>
                <w:rFonts w:ascii="Arial Narrow" w:hAnsi="Arial Narrow" w:eastAsia="仿宋_GB2312" w:cs="Arial Narrow"/>
                <w:sz w:val="24"/>
              </w:rPr>
              <w:t>384,884.18</w:t>
            </w:r>
          </w:p>
        </w:tc>
        <w:tc>
          <w:tcPr>
            <w:tcW w:type="dxa" w:w="2801"/>
          </w:tcPr>
          <w:p>
            <w:pPr>
              <w:jc w:val="right"/>
            </w:pPr>
            <w:r/>
            <w:r>
              <w:rPr>
                <w:rFonts w:ascii="Arial Narrow" w:hAnsi="Arial Narrow" w:eastAsia="仿宋_GB2312" w:cs="Arial Narrow"/>
                <w:sz w:val="24"/>
              </w:rPr>
              <w:t>222,762.05</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Arial Narrow" w:hAnsi="Arial Narrow" w:eastAsia="仿宋_GB2312" w:cs="Arial Narrow"/>
                <w:sz w:val="24"/>
              </w:rPr>
              <w:t>384,884.18</w:t>
            </w:r>
          </w:p>
        </w:tc>
        <w:tc>
          <w:tcPr>
            <w:tcW w:type="dxa" w:w="2801"/>
          </w:tcPr>
          <w:p>
            <w:pPr>
              <w:jc w:val="right"/>
            </w:pPr>
            <w:r/>
            <w:r>
              <w:rPr>
                <w:rFonts w:ascii="Arial Narrow" w:hAnsi="Arial Narrow" w:eastAsia="仿宋_GB2312" w:cs="Arial Narrow"/>
                <w:sz w:val="24"/>
              </w:rPr>
              <w:t>222,762.05</w:t>
            </w:r>
          </w:p>
        </w:tc>
      </w:tr>
    </w:tbl>
    <w:p/>
    <w:p>
      <w:pPr>
        <w:spacing w:before="120" w:after="240" w:line="240" w:lineRule="auto"/>
      </w:pPr>
      <w:r>
        <w:rPr>
          <w:rFonts w:ascii="仿宋_GB2312" w:hAnsi="仿宋_GB2312" w:eastAsia="仿宋_GB2312"/>
          <w:b/>
          <w:sz w:val="24"/>
        </w:rPr>
        <w:t>81、资本公积</w:t>
      </w:r>
      <w:bookmarkStart w:id="48594" w:name="note_section_八、60"/>
      <w:bookmarkEnd w:id="48594"/>
    </w:p>
    <w:p>
      <w:pPr>
        <w:spacing w:before="0" w:after="240" w:line="240" w:lineRule="auto"/>
      </w:pPr>
      <w:r>
        <w:rPr>
          <w:rFonts w:ascii="仿宋_GB2312" w:hAnsi="仿宋_GB2312" w:eastAsia="仿宋_GB2312"/>
          <w:b w:val="0"/>
          <w:sz w:val="24"/>
        </w:rPr>
        <w:t>（注：（1）逐项说明资本公积增加、减少的原因、依据以及金额；</w:t>
        <w:br/>
        <w:br/>
        <w:t>（2）“国有独享资本公积”是国有资本经营预算资金暂时计入“资本公积”，未来再择机转为“实收资本”的资金，企业应说明具体内容及金额。）</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680"/>
          </w:tcPr>
          <w:p>
            <w:r/>
            <w:r>
              <w:rPr>
                <w:rFonts w:ascii="仿宋_GB2312" w:hAnsi="仿宋_GB2312" w:eastAsia="仿宋_GB2312"/>
                <w:b w:val="0"/>
                <w:sz w:val="24"/>
              </w:rPr>
              <w:t>资本（或股本）溢价</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其他资本公积</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其中：国有独享资本公积</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82、专项储备</w:t>
      </w:r>
      <w:bookmarkStart w:id="99953" w:name="note_section_八、61"/>
      <w:bookmarkEnd w:id="99953"/>
    </w:p>
    <w:p>
      <w:pPr>
        <w:spacing w:before="0" w:after="240" w:line="240" w:lineRule="auto"/>
      </w:pPr>
      <w:r>
        <w:rPr>
          <w:rFonts w:ascii="仿宋_GB2312" w:hAnsi="仿宋_GB2312" w:eastAsia="仿宋_GB2312"/>
          <w:b w:val="0"/>
          <w:sz w:val="24"/>
        </w:rPr>
        <w:t>注：说明对少数股东权益的影响。</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项目</w:t>
            </w:r>
          </w:p>
        </w:tc>
        <w:tc>
          <w:tcPr>
            <w:tcW w:type="dxa" w:w="1400"/>
            <w:tcBorders>
              <w:bottom w:val="single" w:sz="4" w:space="0" w:color="000000"/>
            </w:tcBorders>
          </w:tcPr>
          <w:p>
            <w:pPr>
              <w:jc w:val="center"/>
            </w:pPr>
            <w:r/>
            <w:r>
              <w:rPr>
                <w:rFonts w:ascii="仿宋_GB2312" w:hAnsi="仿宋_GB2312" w:eastAsia="仿宋_GB2312"/>
                <w:b/>
                <w:sz w:val="24"/>
              </w:rPr>
              <w:t>期初余额</w:t>
            </w:r>
          </w:p>
        </w:tc>
        <w:tc>
          <w:tcPr>
            <w:tcW w:type="dxa" w:w="1400"/>
            <w:tcBorders>
              <w:bottom w:val="single" w:sz="4" w:space="0" w:color="000000"/>
            </w:tcBorders>
          </w:tcPr>
          <w:p>
            <w:pPr>
              <w:jc w:val="center"/>
            </w:pPr>
            <w:r/>
            <w:r>
              <w:rPr>
                <w:rFonts w:ascii="仿宋_GB2312" w:hAnsi="仿宋_GB2312" w:eastAsia="仿宋_GB2312"/>
                <w:b/>
                <w:sz w:val="24"/>
              </w:rPr>
              <w:t>本期增加</w:t>
            </w:r>
          </w:p>
        </w:tc>
        <w:tc>
          <w:tcPr>
            <w:tcW w:type="dxa" w:w="1400"/>
            <w:tcBorders>
              <w:bottom w:val="single" w:sz="4" w:space="0" w:color="000000"/>
            </w:tcBorders>
          </w:tcPr>
          <w:p>
            <w:pPr>
              <w:jc w:val="center"/>
            </w:pPr>
            <w:r/>
            <w:r>
              <w:rPr>
                <w:rFonts w:ascii="仿宋_GB2312" w:hAnsi="仿宋_GB2312" w:eastAsia="仿宋_GB2312"/>
                <w:b/>
                <w:sz w:val="24"/>
              </w:rPr>
              <w:t>本期减少</w:t>
            </w:r>
          </w:p>
        </w:tc>
        <w:tc>
          <w:tcPr>
            <w:tcW w:type="dxa" w:w="1400"/>
            <w:tcBorders>
              <w:bottom w:val="single" w:sz="4" w:space="0" w:color="000000"/>
            </w:tcBorders>
          </w:tcPr>
          <w:p>
            <w:pPr>
              <w:jc w:val="center"/>
            </w:pPr>
            <w:r/>
            <w:r>
              <w:rPr>
                <w:rFonts w:ascii="仿宋_GB2312" w:hAnsi="仿宋_GB2312" w:eastAsia="仿宋_GB2312"/>
                <w:b/>
                <w:sz w:val="24"/>
              </w:rPr>
              <w:t>期末余额</w:t>
            </w:r>
          </w:p>
        </w:tc>
        <w:tc>
          <w:tcPr>
            <w:tcW w:type="dxa" w:w="1400"/>
            <w:tcBorders>
              <w:bottom w:val="single" w:sz="4" w:space="0" w:color="000000"/>
            </w:tcBorders>
          </w:tcPr>
          <w:p>
            <w:pPr>
              <w:jc w:val="center"/>
            </w:pPr>
            <w:r/>
            <w:r>
              <w:rPr>
                <w:rFonts w:ascii="仿宋_GB2312" w:hAnsi="仿宋_GB2312" w:eastAsia="仿宋_GB2312"/>
                <w:b/>
                <w:sz w:val="24"/>
              </w:rPr>
              <w:t>备注</w:t>
            </w:r>
          </w:p>
        </w:tc>
      </w:tr>
      <w:tr>
        <w:trPr>
          <w:trHeight w:val="397" w:hRule="exact"/>
          <w:cantSplit/>
        </w:trPr>
        <w:tc>
          <w:tcPr>
            <w:tcW w:type="dxa" w:w="1400"/>
          </w:tcPr>
          <w:p>
            <w:r/>
            <w:r>
              <w:rPr>
                <w:rFonts w:ascii="仿宋_GB2312" w:hAnsi="仿宋_GB2312" w:eastAsia="仿宋_GB2312"/>
                <w:b w:val="0"/>
                <w:sz w:val="24"/>
              </w:rPr>
              <w:t>安全生产费</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维简费</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其他</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合计</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83、盈余公积</w:t>
      </w:r>
      <w:bookmarkStart w:id="40094" w:name="note_section_八、62"/>
      <w:bookmarkEnd w:id="40094"/>
    </w:p>
    <w:p>
      <w:pPr>
        <w:spacing w:before="0" w:after="240" w:line="240" w:lineRule="auto"/>
      </w:pPr>
      <w:r>
        <w:rPr>
          <w:rFonts w:ascii="仿宋_GB2312" w:hAnsi="仿宋_GB2312" w:eastAsia="仿宋_GB2312"/>
          <w:b w:val="0"/>
          <w:sz w:val="24"/>
        </w:rPr>
        <w:t>（注：逐项说明盈余公积增加、减少的原因、依据及金额。）</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680"/>
          </w:tcPr>
          <w:p>
            <w:r/>
            <w:r>
              <w:rPr>
                <w:rFonts w:ascii="仿宋_GB2312" w:hAnsi="仿宋_GB2312" w:eastAsia="仿宋_GB2312"/>
                <w:b w:val="0"/>
                <w:sz w:val="24"/>
              </w:rPr>
              <w:t>法定盈余公积金</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任意盈余公积金</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储备基金</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企业发展基金</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84、未分配利润</w:t>
      </w:r>
      <w:bookmarkStart w:id="93005" w:name="note_section_八、63"/>
      <w:bookmarkEnd w:id="93005"/>
    </w:p>
    <w:p>
      <w:pPr>
        <w:spacing w:before="0" w:after="240" w:line="240" w:lineRule="auto"/>
      </w:pPr>
      <w:r>
        <w:rPr>
          <w:rFonts w:ascii="仿宋_GB2312" w:hAnsi="仿宋_GB2312" w:eastAsia="仿宋_GB2312"/>
          <w:b w:val="0"/>
          <w:sz w:val="24"/>
        </w:rPr>
        <w:t>注：企业应详细披露各项调整原因。</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本期金额</w:t>
            </w:r>
          </w:p>
        </w:tc>
        <w:tc>
          <w:tcPr>
            <w:tcW w:type="dxa" w:w="2801"/>
            <w:tcBorders>
              <w:bottom w:val="single" w:sz="4" w:space="0" w:color="000000"/>
            </w:tcBorders>
          </w:tcPr>
          <w:p>
            <w:pPr>
              <w:jc w:val="center"/>
            </w:pPr>
            <w:r/>
            <w:r>
              <w:rPr>
                <w:rFonts w:ascii="仿宋_GB2312" w:hAnsi="仿宋_GB2312" w:eastAsia="仿宋_GB2312"/>
                <w:b/>
                <w:sz w:val="24"/>
              </w:rPr>
              <w:t>上期金额</w:t>
            </w:r>
          </w:p>
        </w:tc>
      </w:tr>
      <w:tr>
        <w:trPr>
          <w:trHeight w:val="397" w:hRule="exact"/>
          <w:cantSplit/>
        </w:trPr>
        <w:tc>
          <w:tcPr>
            <w:tcW w:type="dxa" w:w="2801"/>
          </w:tcPr>
          <w:p>
            <w:r/>
            <w:r>
              <w:rPr>
                <w:rFonts w:ascii="仿宋_GB2312" w:hAnsi="仿宋_GB2312" w:eastAsia="仿宋_GB2312"/>
                <w:b w:val="0"/>
                <w:sz w:val="24"/>
              </w:rPr>
              <w:t>上年年末余额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期初调整金额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本期期初余额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本期增加额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其中：本期净利润转入</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盈余公积弥补亏损转入</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资本公积弥补亏损转入</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其他调整因素</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本期减少额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其中：本期提取盈余公积数</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本期提取一般风险准备</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本期分配现金股利数</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转增资本</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其他减少</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本期期末余额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85、营业收入、营业成本</w:t>
      </w:r>
      <w:bookmarkStart w:id="27745" w:name="note_section_八、64"/>
      <w:bookmarkEnd w:id="27745"/>
    </w:p>
    <w:p>
      <w:pPr>
        <w:spacing w:before="0" w:after="240" w:line="240" w:lineRule="auto"/>
      </w:pPr>
      <w:r>
        <w:rPr>
          <w:rFonts w:ascii="仿宋_GB2312" w:hAnsi="仿宋_GB2312" w:eastAsia="仿宋_GB2312"/>
          <w:b w:val="0"/>
          <w:sz w:val="24"/>
        </w:rPr>
        <w:t>【提示：</w:t>
        <w:br/>
        <w:br/>
        <w:t>1.处置投资性房地产（无论采用公允价值模式计量还是成本模式计量）的收入，在“其他业务收入”列示，相应结转成本至“其他业务成本”；</w:t>
        <w:br/>
        <w:br/>
        <w:t>2.单项的投资性房地产的处置，无论是直接出售还是先划分为持有待售资产再出售，处置损益均计入“其他业务收入/成本”，不计入“资产处置损益”；</w:t>
        <w:br/>
        <w:br/>
        <w:t>3.在停工停产期间继续计提固定资产折旧和无形资产摊销，并根据用途计入相关资产的成本或当期损益。例如，企业因需求不足而停产或因事故而停工检修等，相关生产设备应当继续计提折旧，并计入营业成本。】</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项目</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主营业务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其他业务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主要产品类型（或行业）</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主要产品类型（或行业）</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主要产品类型（或行业）</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主营业务：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消费品</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汽车</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能源</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其他业务：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销售材料</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租赁收入</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主要经营地区</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主要经营地区</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主要经营地区</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东北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华北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西北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合同分类/报告分部</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合同分类/报告分部</w:t>
            </w:r>
          </w:p>
        </w:tc>
        <w:tc>
          <w:tcPr>
            <w:tcW w:type="dxa" w:w="4201"/>
            <w:tcBorders>
              <w:bottom w:val="single" w:sz="4" w:space="0" w:color="000000"/>
            </w:tcBorders>
          </w:tcPr>
          <w:p>
            <w:pPr>
              <w:jc w:val="center"/>
            </w:pPr>
            <w:r/>
            <w:r>
              <w:rPr>
                <w:rFonts w:ascii="仿宋_GB2312" w:hAnsi="仿宋_GB2312" w:eastAsia="仿宋_GB2312"/>
                <w:b/>
                <w:sz w:val="24"/>
              </w:rPr>
              <w:t>本期发生额</w:t>
            </w:r>
          </w:p>
        </w:tc>
      </w:tr>
      <w:tr>
        <w:trPr>
          <w:trHeight w:val="397" w:hRule="exact"/>
          <w:cantSplit/>
        </w:trPr>
        <w:tc>
          <w:tcPr>
            <w:tcW w:type="dxa" w:w="4201"/>
          </w:tcPr>
          <w:p>
            <w:r/>
            <w:r>
              <w:rPr>
                <w:rFonts w:ascii="仿宋_GB2312" w:hAnsi="仿宋_GB2312" w:eastAsia="仿宋_GB2312"/>
                <w:b w:val="0"/>
                <w:sz w:val="24"/>
              </w:rPr>
              <w:t>合同分类/报告分部</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合同分类/报告分部</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主营业务</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其中：在某一时点确认</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在某一时段确认</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租赁收入</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其他业务</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其中：在某一时点确认</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在某一时段确认</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租赁收入</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合计</w:t>
            </w:r>
          </w:p>
        </w:tc>
        <w:tc>
          <w:tcPr>
            <w:tcW w:type="dxa" w:w="4201"/>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年  度</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年度</w:t>
            </w:r>
          </w:p>
        </w:tc>
        <w:tc>
          <w:tcPr>
            <w:tcW w:type="dxa" w:w="2100"/>
            <w:tcBorders>
              <w:bottom w:val="single" w:sz="4" w:space="0" w:color="000000"/>
            </w:tcBorders>
          </w:tcPr>
          <w:p>
            <w:pPr>
              <w:jc w:val="center"/>
            </w:pPr>
            <w:r/>
            <w:r>
              <w:rPr>
                <w:rFonts w:ascii="仿宋_GB2312" w:hAnsi="仿宋_GB2312" w:eastAsia="仿宋_GB2312"/>
                <w:b/>
                <w:sz w:val="24"/>
              </w:rPr>
              <w:t>2025年</w:t>
            </w:r>
          </w:p>
        </w:tc>
        <w:tc>
          <w:tcPr>
            <w:tcW w:type="dxa" w:w="2100"/>
            <w:tcBorders>
              <w:bottom w:val="single" w:sz="4" w:space="0" w:color="000000"/>
            </w:tcBorders>
          </w:tcPr>
          <w:p>
            <w:pPr>
              <w:jc w:val="center"/>
            </w:pPr>
            <w:r/>
            <w:r>
              <w:rPr>
                <w:rFonts w:ascii="仿宋_GB2312" w:hAnsi="仿宋_GB2312" w:eastAsia="仿宋_GB2312"/>
                <w:b/>
                <w:sz w:val="24"/>
              </w:rPr>
              <w:t>2026年</w:t>
            </w:r>
          </w:p>
        </w:tc>
        <w:tc>
          <w:tcPr>
            <w:tcW w:type="dxa" w:w="2100"/>
            <w:tcBorders>
              <w:bottom w:val="single" w:sz="4" w:space="0" w:color="000000"/>
            </w:tcBorders>
          </w:tcPr>
          <w:p>
            <w:pPr>
              <w:jc w:val="center"/>
            </w:pPr>
            <w:r/>
            <w:r>
              <w:rPr>
                <w:rFonts w:ascii="仿宋_GB2312" w:hAnsi="仿宋_GB2312" w:eastAsia="仿宋_GB2312"/>
                <w:b/>
                <w:sz w:val="24"/>
              </w:rPr>
              <w:t>合计</w:t>
            </w:r>
          </w:p>
        </w:tc>
      </w:tr>
      <w:tr>
        <w:trPr>
          <w:trHeight w:val="397" w:hRule="exact"/>
          <w:cantSplit/>
        </w:trPr>
        <w:tc>
          <w:tcPr>
            <w:tcW w:type="dxa" w:w="2100"/>
          </w:tcPr>
          <w:p>
            <w:r/>
            <w:r>
              <w:rPr>
                <w:rFonts w:ascii="仿宋_GB2312" w:hAnsi="仿宋_GB2312" w:eastAsia="仿宋_GB2312"/>
                <w:b w:val="0"/>
                <w:sz w:val="24"/>
              </w:rPr>
              <w:t>xx合同预计将确认的收入</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86、销售费用</w:t>
      </w:r>
      <w:bookmarkStart w:id="62988" w:name="note_section_八、65"/>
      <w:bookmarkEnd w:id="62988"/>
    </w:p>
    <w:p>
      <w:pPr>
        <w:spacing w:before="0" w:after="240" w:line="240" w:lineRule="auto"/>
      </w:pPr>
      <w:r>
        <w:rPr>
          <w:rFonts w:ascii="仿宋_GB2312" w:hAnsi="仿宋_GB2312" w:eastAsia="仿宋_GB2312"/>
          <w:b w:val="0"/>
          <w:sz w:val="24"/>
        </w:rPr>
        <w:t>本期无此项业务。</w:t>
      </w:r>
    </w:p>
    <w:p>
      <w:pPr>
        <w:spacing w:before="120" w:after="240" w:line="240" w:lineRule="auto"/>
      </w:pPr>
      <w:r>
        <w:rPr>
          <w:rFonts w:ascii="仿宋_GB2312" w:hAnsi="仿宋_GB2312" w:eastAsia="仿宋_GB2312"/>
          <w:b/>
          <w:sz w:val="24"/>
        </w:rPr>
        <w:t>87、管理费用</w:t>
      </w:r>
      <w:bookmarkStart w:id="35998" w:name="note_section_八、66"/>
      <w:bookmarkEnd w:id="35998"/>
    </w:p>
    <w:p>
      <w:pPr>
        <w:spacing w:before="0" w:after="240" w:line="240" w:lineRule="auto"/>
      </w:pPr>
      <w:r>
        <w:rPr>
          <w:rFonts w:ascii="仿宋_GB2312" w:hAnsi="仿宋_GB2312" w:eastAsia="仿宋_GB2312"/>
          <w:b w:val="0"/>
          <w:sz w:val="24"/>
        </w:rPr>
        <w:t>【提示：企业根据《残疾人就业保障金征收使用管理办法》（财税〔2015〕72号）的规定，应缴纳的残疾人就业保障金，应当计入“管理费用”科目。】</w:t>
        <w:br/>
        <w:br/>
        <w:t>【提示：不符合固定资产资本化后续支出条件的固定资产日常修理费用，在发生时应当按照受益对象计入当期损益或计入相关资产的成本。与存货的生产和加工相关的固定资产日常修理费用按照存货成本确定原则进行处理，行政管理部门、企业专设的销售机构等发生的固定资产日常修理费用按照功能分类计入管理费用或销售费用。】</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残疾人就业保障金</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88、研发费用</w:t>
      </w:r>
      <w:bookmarkStart w:id="60651" w:name="note_section_八、67"/>
      <w:bookmarkEnd w:id="60651"/>
    </w:p>
    <w:p>
      <w:pPr>
        <w:spacing w:before="0" w:after="240" w:line="240" w:lineRule="auto"/>
      </w:pPr>
      <w:r>
        <w:rPr>
          <w:rFonts w:ascii="仿宋_GB2312" w:hAnsi="仿宋_GB2312" w:eastAsia="仿宋_GB2312"/>
          <w:b w:val="0"/>
          <w:sz w:val="24"/>
        </w:rPr>
        <w:t>本期无此项业务。</w:t>
      </w:r>
    </w:p>
    <w:p>
      <w:pPr>
        <w:spacing w:before="120" w:after="240" w:line="240" w:lineRule="auto"/>
      </w:pPr>
      <w:r>
        <w:rPr>
          <w:rFonts w:ascii="仿宋_GB2312" w:hAnsi="仿宋_GB2312" w:eastAsia="仿宋_GB2312"/>
          <w:b/>
          <w:sz w:val="24"/>
        </w:rPr>
        <w:t>89、财务费用</w:t>
      </w:r>
      <w:bookmarkStart w:id="50851" w:name="note_section_八、68"/>
      <w:bookmarkEnd w:id="50851"/>
    </w:p>
    <w:p>
      <w:pPr>
        <w:spacing w:before="0" w:after="240" w:line="240" w:lineRule="auto"/>
      </w:pPr>
      <w:r>
        <w:rPr>
          <w:rFonts w:ascii="仿宋_GB2312" w:hAnsi="仿宋_GB2312" w:eastAsia="仿宋_GB2312"/>
          <w:b w:val="0"/>
          <w:sz w:val="24"/>
        </w:rPr>
        <w:t>【提示：利息收入主要为银行存款产生的利息收入，以及根据《企业会计准则第14号——收入》的相关规定确认的利息收入。】</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利息费用总额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减：利息资本化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利息费用净额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减：利息收入</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承兑汇票贴息</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汇兑损益</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减：汇兑损益资本化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手续费及其他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90、其他收益</w:t>
      </w:r>
      <w:bookmarkStart w:id="70081" w:name="note_section_八、69"/>
      <w:bookmarkEnd w:id="70081"/>
    </w:p>
    <w:p>
      <w:pPr>
        <w:spacing w:before="0" w:after="240" w:line="240" w:lineRule="auto"/>
      </w:pPr>
      <w:r>
        <w:rPr>
          <w:rFonts w:ascii="仿宋_GB2312" w:hAnsi="仿宋_GB2312" w:eastAsia="仿宋_GB2312"/>
          <w:b w:val="0"/>
          <w:sz w:val="24"/>
        </w:rPr>
        <w:t>【提示：（1）与日常活动相关的政府补助，采用总额法时计入其他收益；（2）填列企业作为个人所得税的扣缴义务人，根据《中华人民共和国个人所得税法》收到的扣缴税款手续费；（3）进项税加计扣除；（4）债务重组中，债务人以非金融资产（存货、固定资产、无形资产等）清偿债务的，所清偿债务账面价值与存货等账面价值之间的差额，记入“其他收益”；（5）企业超比例安排残疾人就业或者为安排残疾人就业做出显著成绩，按规定收到的奖励，计入“其他收益”科目；（6）对于小微企业达到增值税制度规定的免征增值税条件时，应当按照《增值税会计处理规定》（财会〔2016〕22号）的相关规定进行会计处理，将有关应交增值税转入“其他收益”科目；（7）对于当期直接减免的增值税，企业应当根据《增值税会计处理规定》（财会〔2016〕22号）的相关规定进行会计处理，借记“应交税金——应交增值税（减免税款）”科目，贷记“其他收益”科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项目</w:t>
            </w:r>
          </w:p>
        </w:tc>
        <w:tc>
          <w:tcPr>
            <w:tcW w:type="dxa" w:w="2100"/>
            <w:tcBorders>
              <w:bottom w:val="single" w:sz="4" w:space="0" w:color="000000"/>
            </w:tcBorders>
          </w:tcPr>
          <w:p>
            <w:pPr>
              <w:jc w:val="center"/>
            </w:pPr>
            <w:r/>
            <w:r>
              <w:rPr>
                <w:rFonts w:ascii="仿宋_GB2312" w:hAnsi="仿宋_GB2312" w:eastAsia="仿宋_GB2312"/>
                <w:b/>
                <w:sz w:val="24"/>
              </w:rPr>
              <w:t>本期发生额</w:t>
            </w:r>
          </w:p>
        </w:tc>
        <w:tc>
          <w:tcPr>
            <w:tcW w:type="dxa" w:w="2100"/>
            <w:tcBorders>
              <w:bottom w:val="single" w:sz="4" w:space="0" w:color="000000"/>
            </w:tcBorders>
          </w:tcPr>
          <w:p>
            <w:pPr>
              <w:jc w:val="center"/>
            </w:pPr>
            <w:r/>
            <w:r>
              <w:rPr>
                <w:rFonts w:ascii="仿宋_GB2312" w:hAnsi="仿宋_GB2312" w:eastAsia="仿宋_GB2312"/>
                <w:b/>
                <w:sz w:val="24"/>
              </w:rPr>
              <w:t>上期发生额</w:t>
            </w:r>
          </w:p>
        </w:tc>
        <w:tc>
          <w:tcPr>
            <w:tcW w:type="dxa" w:w="2100"/>
            <w:tcBorders>
              <w:bottom w:val="single" w:sz="4" w:space="0" w:color="000000"/>
            </w:tcBorders>
          </w:tcPr>
          <w:p>
            <w:pPr>
              <w:jc w:val="center"/>
            </w:pPr>
            <w:r/>
            <w:r>
              <w:rPr>
                <w:rFonts w:ascii="仿宋_GB2312" w:hAnsi="仿宋_GB2312" w:eastAsia="仿宋_GB2312"/>
                <w:b/>
                <w:sz w:val="24"/>
              </w:rPr>
              <w:t>是否为政府补助</w:t>
            </w:r>
          </w:p>
        </w:tc>
      </w:tr>
      <w:tr>
        <w:trPr>
          <w:trHeight w:val="397" w:hRule="exact"/>
          <w:cantSplit/>
        </w:trPr>
        <w:tc>
          <w:tcPr>
            <w:tcW w:type="dxa" w:w="2100"/>
          </w:tcPr>
          <w:p>
            <w:r/>
            <w:r>
              <w:rPr>
                <w:rFonts w:ascii="仿宋_GB2312" w:hAnsi="仿宋_GB2312" w:eastAsia="仿宋_GB2312"/>
                <w:b w:val="0"/>
                <w:sz w:val="24"/>
              </w:rPr>
              <w:t>增值税即征即退</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代扣代缴个人所得税手续费返还</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Arial Narrow" w:hAnsi="Arial Narrow" w:eastAsia="仿宋_GB2312" w:cs="Arial Narrow"/>
                <w:sz w:val="24"/>
              </w:rPr>
            </w:r>
          </w:p>
        </w:tc>
      </w:tr>
      <w:tr>
        <w:trPr>
          <w:trHeight w:val="397" w:hRule="exact"/>
          <w:cantSplit/>
        </w:trPr>
        <w:tc>
          <w:tcPr>
            <w:tcW w:type="dxa" w:w="2100"/>
          </w:tcPr>
          <w:p>
            <w:r/>
            <w:r>
              <w:rPr>
                <w:rFonts w:ascii="仿宋_GB2312" w:hAnsi="仿宋_GB2312" w:eastAsia="仿宋_GB2312"/>
                <w:b w:val="0"/>
                <w:sz w:val="24"/>
              </w:rPr>
              <w:t>其中：政府补助</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91、预付款项</w:t>
      </w:r>
      <w:bookmarkStart w:id="63641" w:name="note_section_八、7"/>
      <w:bookmarkEnd w:id="63641"/>
    </w:p>
    <w:p>
      <w:pPr>
        <w:spacing w:before="0" w:after="240" w:line="240" w:lineRule="auto"/>
      </w:pPr>
      <w:r>
        <w:rPr>
          <w:rFonts w:ascii="仿宋_GB2312" w:hAnsi="仿宋_GB2312" w:eastAsia="仿宋_GB2312"/>
          <w:b w:val="0"/>
          <w:sz w:val="24"/>
        </w:rPr>
        <w:t>### 预付款项按账龄列示</w:t>
        <w:br/>
        <w:br/>
        <w:t>### 账龄超过1年的大额预付款项</w:t>
        <w:br/>
        <w:br/>
        <w:t>### 按欠款方归集的期末余额前五名的预付款项</w:t>
      </w:r>
    </w:p>
    <w:p>
      <w:pPr>
        <w:spacing w:before="120" w:after="240" w:line="240" w:lineRule="auto"/>
      </w:pPr>
      <w:r>
        <w:rPr>
          <w:rFonts w:ascii="仿宋_GB2312" w:hAnsi="仿宋_GB2312" w:eastAsia="仿宋_GB2312"/>
          <w:b/>
          <w:sz w:val="24"/>
        </w:rPr>
        <w:t>账  龄</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账龄</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账龄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1年以内（含1年）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1至2年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2至3年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3年以上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减：减值准备</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债权单位</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债权单位</w:t>
            </w:r>
          </w:p>
        </w:tc>
        <w:tc>
          <w:tcPr>
            <w:tcW w:type="dxa" w:w="1680"/>
            <w:tcBorders>
              <w:bottom w:val="single" w:sz="4" w:space="0" w:color="000000"/>
            </w:tcBorders>
          </w:tcPr>
          <w:p>
            <w:pPr>
              <w:jc w:val="center"/>
            </w:pPr>
            <w:r/>
            <w:r>
              <w:rPr>
                <w:rFonts w:ascii="仿宋_GB2312" w:hAnsi="仿宋_GB2312" w:eastAsia="仿宋_GB2312"/>
                <w:b/>
                <w:sz w:val="24"/>
              </w:rPr>
              <w:t>债务单位</w:t>
            </w:r>
          </w:p>
        </w:tc>
        <w:tc>
          <w:tcPr>
            <w:tcW w:type="dxa" w:w="1680"/>
            <w:tcBorders>
              <w:bottom w:val="single" w:sz="4" w:space="0" w:color="000000"/>
            </w:tcBorders>
          </w:tcPr>
          <w:p>
            <w:pPr>
              <w:jc w:val="center"/>
            </w:pPr>
            <w:r/>
            <w:r>
              <w:rPr>
                <w:rFonts w:ascii="仿宋_GB2312" w:hAnsi="仿宋_GB2312" w:eastAsia="仿宋_GB2312"/>
                <w:b/>
                <w:sz w:val="24"/>
              </w:rPr>
              <w:t>期末余额</w:t>
            </w:r>
          </w:p>
        </w:tc>
        <w:tc>
          <w:tcPr>
            <w:tcW w:type="dxa" w:w="1680"/>
            <w:tcBorders>
              <w:bottom w:val="single" w:sz="4" w:space="0" w:color="000000"/>
            </w:tcBorders>
          </w:tcPr>
          <w:p>
            <w:pPr>
              <w:jc w:val="center"/>
            </w:pPr>
            <w:r/>
            <w:r>
              <w:rPr>
                <w:rFonts w:ascii="仿宋_GB2312" w:hAnsi="仿宋_GB2312" w:eastAsia="仿宋_GB2312"/>
                <w:b/>
                <w:sz w:val="24"/>
              </w:rPr>
              <w:t>账龄</w:t>
            </w:r>
          </w:p>
        </w:tc>
        <w:tc>
          <w:tcPr>
            <w:tcW w:type="dxa" w:w="1680"/>
            <w:tcBorders>
              <w:bottom w:val="single" w:sz="4" w:space="0" w:color="000000"/>
            </w:tcBorders>
          </w:tcPr>
          <w:p>
            <w:pPr>
              <w:jc w:val="center"/>
            </w:pPr>
            <w:r/>
            <w:r>
              <w:rPr>
                <w:rFonts w:ascii="仿宋_GB2312" w:hAnsi="仿宋_GB2312" w:eastAsia="仿宋_GB2312"/>
                <w:b/>
                <w:sz w:val="24"/>
              </w:rPr>
              <w:t>未结算的原因</w:t>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债务人名称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债务人名称</w:t>
            </w:r>
          </w:p>
        </w:tc>
        <w:tc>
          <w:tcPr>
            <w:tcW w:type="dxa" w:w="2100"/>
            <w:tcBorders>
              <w:bottom w:val="single" w:sz="4" w:space="0" w:color="000000"/>
            </w:tcBorders>
          </w:tcPr>
          <w:p>
            <w:pPr>
              <w:jc w:val="center"/>
            </w:pPr>
            <w:r/>
            <w:r>
              <w:rPr>
                <w:rFonts w:ascii="仿宋_GB2312" w:hAnsi="仿宋_GB2312" w:eastAsia="仿宋_GB2312"/>
                <w:b/>
                <w:sz w:val="24"/>
              </w:rPr>
              <w:t>账面余额</w:t>
            </w:r>
          </w:p>
        </w:tc>
        <w:tc>
          <w:tcPr>
            <w:tcW w:type="dxa" w:w="2100"/>
            <w:tcBorders>
              <w:bottom w:val="single" w:sz="4" w:space="0" w:color="000000"/>
            </w:tcBorders>
          </w:tcPr>
          <w:p>
            <w:pPr>
              <w:jc w:val="center"/>
            </w:pPr>
            <w:r/>
            <w:r>
              <w:rPr>
                <w:rFonts w:ascii="仿宋_GB2312" w:hAnsi="仿宋_GB2312" w:eastAsia="仿宋_GB2312"/>
                <w:b/>
                <w:sz w:val="24"/>
              </w:rPr>
              <w:t>占预付款项合计的比例（%）</w:t>
            </w:r>
          </w:p>
        </w:tc>
        <w:tc>
          <w:tcPr>
            <w:tcW w:type="dxa" w:w="2100"/>
            <w:tcBorders>
              <w:bottom w:val="single" w:sz="4" w:space="0" w:color="000000"/>
            </w:tcBorders>
          </w:tcPr>
          <w:p>
            <w:pPr>
              <w:jc w:val="center"/>
            </w:pPr>
            <w:r/>
            <w:r>
              <w:rPr>
                <w:rFonts w:ascii="仿宋_GB2312" w:hAnsi="仿宋_GB2312" w:eastAsia="仿宋_GB2312"/>
                <w:b/>
                <w:sz w:val="24"/>
              </w:rPr>
              <w:t>减值准备</w:t>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92、投资收益【下表中不适用的项目，删除】</w:t>
      </w:r>
      <w:bookmarkStart w:id="93514" w:name="note_section_八、70"/>
      <w:bookmarkEnd w:id="93514"/>
    </w:p>
    <w:p>
      <w:pPr>
        <w:spacing w:before="0" w:after="240" w:line="240" w:lineRule="auto"/>
      </w:pPr>
      <w:r>
        <w:rPr>
          <w:rFonts w:ascii="仿宋_GB2312" w:hAnsi="仿宋_GB2312" w:eastAsia="仿宋_GB2312"/>
          <w:b w:val="0"/>
          <w:sz w:val="24"/>
        </w:rPr>
        <w:t>注：若投资收益汇回有重大限制的，应予以说明。若不存在此类重大限制，也应做出说明。</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产生投资收益的来源</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权益法核算的长期股权投资收益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处置长期股权投资产生的投资收益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处置划分为持有待售资产的长期股权投资产生的投资收益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交易性金融资产持有期间取得的投资收益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处置交易性金融资产取得的投资收益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债权投资持有期间的利息收益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其他债权投资持有期间的利息收益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债权投资处置收益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其他债权投资处置收益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其他非流动金融资产在持有期间的投资收益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处置其他非流动金融资产取得的投资收益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取得控制权时，股权按公允价值重新计量产生的利得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丧失控制权后，剩余股权按公允价值重新计量产生的利得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持有其他权益工具投资期间取得的股利收入</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现金流量套期的无效部分的已实现收益（损失）</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债务重组产生的投资收益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处置衍生金融资产（或负债）产生的投资收益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93、净敞口套期收益</w:t>
      </w:r>
      <w:bookmarkStart w:id="67409" w:name="note_section_八、71"/>
      <w:bookmarkEnd w:id="67409"/>
    </w:p>
    <w:p>
      <w:pPr>
        <w:spacing w:before="0" w:after="240" w:line="240" w:lineRule="auto"/>
      </w:pPr>
      <w:r>
        <w:rPr>
          <w:rFonts w:ascii="仿宋_GB2312" w:hAnsi="仿宋_GB2312" w:eastAsia="仿宋_GB2312"/>
          <w:b w:val="0"/>
          <w:sz w:val="24"/>
        </w:rPr>
        <w:t>本期无此项业务。</w:t>
      </w:r>
    </w:p>
    <w:p>
      <w:pPr>
        <w:spacing w:before="120" w:after="240" w:line="240" w:lineRule="auto"/>
      </w:pPr>
      <w:r>
        <w:rPr>
          <w:rFonts w:ascii="仿宋_GB2312" w:hAnsi="仿宋_GB2312" w:eastAsia="仿宋_GB2312"/>
          <w:b/>
          <w:sz w:val="24"/>
        </w:rPr>
        <w:t>94、公允价值变动收益</w:t>
      </w:r>
      <w:bookmarkStart w:id="54223" w:name="note_section_八、72"/>
      <w:bookmarkEnd w:id="54223"/>
    </w:p>
    <w:p>
      <w:pPr>
        <w:spacing w:before="0" w:after="240" w:line="240" w:lineRule="auto"/>
      </w:pPr>
      <w:r>
        <w:rPr>
          <w:rFonts w:ascii="仿宋_GB2312" w:hAnsi="仿宋_GB2312" w:eastAsia="仿宋_GB2312"/>
          <w:b w:val="0"/>
          <w:sz w:val="24"/>
        </w:rPr>
        <w:t>本期无此项业务。</w:t>
      </w:r>
    </w:p>
    <w:p>
      <w:pPr>
        <w:spacing w:before="120" w:after="240" w:line="240" w:lineRule="auto"/>
      </w:pPr>
      <w:r>
        <w:rPr>
          <w:rFonts w:ascii="仿宋_GB2312" w:hAnsi="仿宋_GB2312" w:eastAsia="仿宋_GB2312"/>
          <w:b/>
          <w:sz w:val="24"/>
        </w:rPr>
        <w:t>95、信用减值损失</w:t>
      </w:r>
      <w:bookmarkStart w:id="10095" w:name="note_section_八、73"/>
      <w:bookmarkEnd w:id="10095"/>
    </w:p>
    <w:p>
      <w:pPr>
        <w:spacing w:before="0" w:after="240" w:line="240" w:lineRule="auto"/>
      </w:pPr>
      <w:r>
        <w:rPr>
          <w:rFonts w:ascii="仿宋_GB2312" w:hAnsi="仿宋_GB2312" w:eastAsia="仿宋_GB2312"/>
          <w:b w:val="0"/>
          <w:sz w:val="24"/>
        </w:rPr>
        <w:t>本期无此项业务。</w:t>
      </w:r>
    </w:p>
    <w:p>
      <w:pPr>
        <w:spacing w:before="120" w:after="240" w:line="240" w:lineRule="auto"/>
      </w:pPr>
      <w:r>
        <w:rPr>
          <w:rFonts w:ascii="仿宋_GB2312" w:hAnsi="仿宋_GB2312" w:eastAsia="仿宋_GB2312"/>
          <w:b/>
          <w:sz w:val="24"/>
        </w:rPr>
        <w:t>96、资产减值损失</w:t>
      </w:r>
      <w:bookmarkStart w:id="46662" w:name="note_section_八、74"/>
      <w:bookmarkEnd w:id="46662"/>
    </w:p>
    <w:p>
      <w:pPr>
        <w:spacing w:before="0" w:after="240" w:line="240" w:lineRule="auto"/>
      </w:pPr>
      <w:r>
        <w:rPr>
          <w:rFonts w:ascii="仿宋_GB2312" w:hAnsi="仿宋_GB2312" w:eastAsia="仿宋_GB2312"/>
          <w:b w:val="0"/>
          <w:sz w:val="24"/>
        </w:rPr>
        <w:t>本期无此项业务。</w:t>
      </w:r>
    </w:p>
    <w:p>
      <w:pPr>
        <w:spacing w:before="120" w:after="240" w:line="240" w:lineRule="auto"/>
      </w:pPr>
      <w:r>
        <w:rPr>
          <w:rFonts w:ascii="仿宋_GB2312" w:hAnsi="仿宋_GB2312" w:eastAsia="仿宋_GB2312"/>
          <w:b/>
          <w:sz w:val="24"/>
        </w:rPr>
        <w:t>97、资产处置收益</w:t>
      </w:r>
      <w:bookmarkStart w:id="25106" w:name="note_section_八、75"/>
      <w:bookmarkEnd w:id="25106"/>
    </w:p>
    <w:p>
      <w:pPr>
        <w:spacing w:before="0" w:after="240" w:line="240" w:lineRule="auto"/>
      </w:pPr>
      <w:r>
        <w:rPr>
          <w:rFonts w:ascii="仿宋_GB2312" w:hAnsi="仿宋_GB2312" w:eastAsia="仿宋_GB2312"/>
          <w:b w:val="0"/>
          <w:sz w:val="24"/>
        </w:rPr>
        <w:t>【提示：反映企业出售划分为持有待售的非流动资产（金融工具、长期股权投资和投资性房地产除外）或处置组时确认的处置利得或损失，以及处置未划分为持有待售的固定资产、在建工程、生产性生物资产及无形资产而产生的处置利得或损失。债务重组中因处置非流动资产产生的利得或损失和非货币性资产交换产生的利得或损失也包括在本项目内。该项目应根据在损益类科目新设置的“资产处置损益”科目的发生额分析填列；如为处置损失，以“-”号填列。】</w:t>
        <w:br/>
        <w:br/>
        <w:t>**【提示：1、针对业务（包括子公司和分公司）处置，不论直接出售还是先持有待售再出售，相关处置损益均计入“投资收益”，相关OCI在处置完成时转入“投资收益”。**</w:t>
        <w:br/>
        <w:br/>
        <w:t>**2、不构成业务的资产组处置（资产包涵盖42号准则规范及不在42号准则规范的相关资产），除非该资产组仅包括金融工具和长投（其处置损益计入“投资收益”），无论直接出售还是先持有待售再出售，相关处置损益打包确认，均计入“资产处置收益”。与处置组相关的OCI也转入“资产处置收益”。**</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项目</w:t>
            </w:r>
          </w:p>
        </w:tc>
        <w:tc>
          <w:tcPr>
            <w:tcW w:type="dxa" w:w="2100"/>
            <w:tcBorders>
              <w:bottom w:val="single" w:sz="4" w:space="0" w:color="000000"/>
            </w:tcBorders>
          </w:tcPr>
          <w:p>
            <w:pPr>
              <w:jc w:val="center"/>
            </w:pPr>
            <w:r/>
            <w:r>
              <w:rPr>
                <w:rFonts w:ascii="仿宋_GB2312" w:hAnsi="仿宋_GB2312" w:eastAsia="仿宋_GB2312"/>
                <w:b/>
                <w:sz w:val="24"/>
              </w:rPr>
              <w:t>本期发生额</w:t>
            </w:r>
          </w:p>
        </w:tc>
        <w:tc>
          <w:tcPr>
            <w:tcW w:type="dxa" w:w="2100"/>
            <w:tcBorders>
              <w:bottom w:val="single" w:sz="4" w:space="0" w:color="000000"/>
            </w:tcBorders>
          </w:tcPr>
          <w:p>
            <w:pPr>
              <w:jc w:val="center"/>
            </w:pPr>
            <w:r/>
            <w:r>
              <w:rPr>
                <w:rFonts w:ascii="仿宋_GB2312" w:hAnsi="仿宋_GB2312" w:eastAsia="仿宋_GB2312"/>
                <w:b/>
                <w:sz w:val="24"/>
              </w:rPr>
              <w:t>上期发生额</w:t>
            </w:r>
          </w:p>
        </w:tc>
        <w:tc>
          <w:tcPr>
            <w:tcW w:type="dxa" w:w="2100"/>
            <w:tcBorders>
              <w:bottom w:val="single" w:sz="4" w:space="0" w:color="000000"/>
            </w:tcBorders>
          </w:tcPr>
          <w:p>
            <w:pPr>
              <w:jc w:val="center"/>
            </w:pPr>
            <w:r/>
            <w:r>
              <w:rPr>
                <w:rFonts w:ascii="仿宋_GB2312" w:hAnsi="仿宋_GB2312" w:eastAsia="仿宋_GB2312"/>
                <w:b/>
                <w:sz w:val="24"/>
              </w:rPr>
              <w:t>计入当期非经常性损益的金额</w:t>
            </w:r>
          </w:p>
        </w:tc>
      </w:tr>
      <w:tr>
        <w:trPr>
          <w:trHeight w:val="397" w:hRule="exact"/>
          <w:cantSplit/>
        </w:trPr>
        <w:tc>
          <w:tcPr>
            <w:tcW w:type="dxa" w:w="2100"/>
          </w:tcPr>
          <w:p>
            <w:r/>
            <w:r>
              <w:rPr>
                <w:rFonts w:ascii="仿宋_GB2312" w:hAnsi="仿宋_GB2312" w:eastAsia="仿宋_GB2312"/>
                <w:b w:val="0"/>
                <w:sz w:val="24"/>
              </w:rPr>
              <w:t>持有待售的非流动资产（处置组）处置利得</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固定资产处置利得</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在建工程处置利得</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生产性生物资产处置利得</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无形资产处置利得</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非货币性资产交换产生的利得</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试运行销售损益</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98、营业外收入</w:t>
      </w:r>
      <w:bookmarkStart w:id="23482" w:name="note_section_八、76"/>
      <w:bookmarkEnd w:id="23482"/>
    </w:p>
    <w:p>
      <w:pPr>
        <w:spacing w:before="0" w:after="240" w:line="240" w:lineRule="auto"/>
      </w:pPr>
      <w:r>
        <w:rPr>
          <w:rFonts w:ascii="仿宋_GB2312" w:hAnsi="仿宋_GB2312" w:eastAsia="仿宋_GB2312"/>
          <w:b w:val="0"/>
          <w:sz w:val="24"/>
        </w:rPr>
        <w:t>（注：企业可根据实际情况，单独披露金额较大的项目。）</w:t>
        <w:br/>
        <w:br/>
        <w:t>【提示：“营业外收入”，反映企业发生的营业利润以外的收益，主要包括与企业日常活动无关的政府补助、非流动资产毁损报废利得、捐赠利得（企业接受股东或股东的子公司直接或间接的捐赠，经济实质属于股东对企业的资本性投入的除外）等。】</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项目</w:t>
            </w:r>
          </w:p>
        </w:tc>
        <w:tc>
          <w:tcPr>
            <w:tcW w:type="dxa" w:w="2100"/>
            <w:tcBorders>
              <w:bottom w:val="single" w:sz="4" w:space="0" w:color="000000"/>
            </w:tcBorders>
          </w:tcPr>
          <w:p>
            <w:pPr>
              <w:jc w:val="center"/>
            </w:pPr>
            <w:r/>
            <w:r>
              <w:rPr>
                <w:rFonts w:ascii="仿宋_GB2312" w:hAnsi="仿宋_GB2312" w:eastAsia="仿宋_GB2312"/>
                <w:b/>
                <w:sz w:val="24"/>
              </w:rPr>
              <w:t>本期发生额</w:t>
            </w:r>
          </w:p>
        </w:tc>
        <w:tc>
          <w:tcPr>
            <w:tcW w:type="dxa" w:w="2100"/>
            <w:tcBorders>
              <w:bottom w:val="single" w:sz="4" w:space="0" w:color="000000"/>
            </w:tcBorders>
          </w:tcPr>
          <w:p>
            <w:pPr>
              <w:jc w:val="center"/>
            </w:pPr>
            <w:r/>
            <w:r>
              <w:rPr>
                <w:rFonts w:ascii="仿宋_GB2312" w:hAnsi="仿宋_GB2312" w:eastAsia="仿宋_GB2312"/>
                <w:b/>
                <w:sz w:val="24"/>
              </w:rPr>
              <w:t>上期发生额</w:t>
            </w:r>
          </w:p>
        </w:tc>
        <w:tc>
          <w:tcPr>
            <w:tcW w:type="dxa" w:w="2100"/>
            <w:tcBorders>
              <w:bottom w:val="single" w:sz="4" w:space="0" w:color="000000"/>
            </w:tcBorders>
          </w:tcPr>
          <w:p>
            <w:pPr>
              <w:jc w:val="center"/>
            </w:pPr>
            <w:r/>
            <w:r>
              <w:rPr>
                <w:rFonts w:ascii="仿宋_GB2312" w:hAnsi="仿宋_GB2312" w:eastAsia="仿宋_GB2312"/>
                <w:b/>
                <w:sz w:val="24"/>
              </w:rPr>
              <w:t>计入当期非经常性损益的金额</w:t>
            </w:r>
          </w:p>
        </w:tc>
      </w:tr>
      <w:tr>
        <w:trPr>
          <w:trHeight w:val="397" w:hRule="exact"/>
          <w:cantSplit/>
        </w:trPr>
        <w:tc>
          <w:tcPr>
            <w:tcW w:type="dxa" w:w="2100"/>
          </w:tcPr>
          <w:p>
            <w:r/>
            <w:r>
              <w:rPr>
                <w:rFonts w:ascii="仿宋_GB2312" w:hAnsi="仿宋_GB2312" w:eastAsia="仿宋_GB2312"/>
                <w:b w:val="0"/>
                <w:sz w:val="24"/>
              </w:rPr>
              <w:t>非流动资产毁损报废利得</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接受捐赠</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与企业日常活动无关的政府补助</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碳排放配额交易</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其他</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99、营业外支出</w:t>
      </w:r>
      <w:bookmarkStart w:id="98241" w:name="note_section_八、77"/>
      <w:bookmarkEnd w:id="98241"/>
    </w:p>
    <w:p>
      <w:pPr>
        <w:spacing w:before="0" w:after="240" w:line="240" w:lineRule="auto"/>
      </w:pPr>
      <w:r>
        <w:rPr>
          <w:rFonts w:ascii="仿宋_GB2312" w:hAnsi="仿宋_GB2312" w:eastAsia="仿宋_GB2312"/>
          <w:b w:val="0"/>
          <w:sz w:val="24"/>
        </w:rPr>
        <w:t>（注：企业可根据实际情况，单独披露金额较大的项目。）</w:t>
        <w:br/>
        <w:br/>
        <w:t>【提示：“营业外支出”反映企业发生的营业利润以外的支出，主要包括对外捐赠支出、非流动资产毁损报废损失、非常损失、盘亏损失等。】</w:t>
        <w:br/>
        <w:br/>
        <w:t>【提示：企业未按规定缴纳残疾人就业保障金，按规定缴纳的滞纳金，计入“营业外支出”科目。】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项目</w:t>
            </w:r>
          </w:p>
        </w:tc>
        <w:tc>
          <w:tcPr>
            <w:tcW w:type="dxa" w:w="2100"/>
            <w:tcBorders>
              <w:bottom w:val="single" w:sz="4" w:space="0" w:color="000000"/>
            </w:tcBorders>
          </w:tcPr>
          <w:p>
            <w:pPr>
              <w:jc w:val="center"/>
            </w:pPr>
            <w:r/>
            <w:r>
              <w:rPr>
                <w:rFonts w:ascii="仿宋_GB2312" w:hAnsi="仿宋_GB2312" w:eastAsia="仿宋_GB2312"/>
                <w:b/>
                <w:sz w:val="24"/>
              </w:rPr>
              <w:t>本期发生额</w:t>
            </w:r>
          </w:p>
        </w:tc>
        <w:tc>
          <w:tcPr>
            <w:tcW w:type="dxa" w:w="2100"/>
            <w:tcBorders>
              <w:bottom w:val="single" w:sz="4" w:space="0" w:color="000000"/>
            </w:tcBorders>
          </w:tcPr>
          <w:p>
            <w:pPr>
              <w:jc w:val="center"/>
            </w:pPr>
            <w:r/>
            <w:r>
              <w:rPr>
                <w:rFonts w:ascii="仿宋_GB2312" w:hAnsi="仿宋_GB2312" w:eastAsia="仿宋_GB2312"/>
                <w:b/>
                <w:sz w:val="24"/>
              </w:rPr>
              <w:t>上期发生额</w:t>
            </w:r>
          </w:p>
        </w:tc>
        <w:tc>
          <w:tcPr>
            <w:tcW w:type="dxa" w:w="2100"/>
            <w:tcBorders>
              <w:bottom w:val="single" w:sz="4" w:space="0" w:color="000000"/>
            </w:tcBorders>
          </w:tcPr>
          <w:p>
            <w:pPr>
              <w:jc w:val="center"/>
            </w:pPr>
            <w:r/>
            <w:r>
              <w:rPr>
                <w:rFonts w:ascii="仿宋_GB2312" w:hAnsi="仿宋_GB2312" w:eastAsia="仿宋_GB2312"/>
                <w:b/>
                <w:sz w:val="24"/>
              </w:rPr>
              <w:t>计入当期非经常性损益的金额</w:t>
            </w:r>
          </w:p>
        </w:tc>
      </w:tr>
      <w:tr>
        <w:trPr>
          <w:trHeight w:val="397" w:hRule="exact"/>
          <w:cantSplit/>
        </w:trPr>
        <w:tc>
          <w:tcPr>
            <w:tcW w:type="dxa" w:w="2100"/>
          </w:tcPr>
          <w:p>
            <w:r/>
            <w:r>
              <w:rPr>
                <w:rFonts w:ascii="仿宋_GB2312" w:hAnsi="仿宋_GB2312" w:eastAsia="仿宋_GB2312"/>
                <w:b w:val="0"/>
                <w:sz w:val="24"/>
              </w:rPr>
              <w:t>非流动资产毁损报废损失</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公益性捐赠支出</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行政性罚款、滞纳金</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非常损失</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盘亏损失</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碳排放配额交易</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100、所得税费用</w:t>
      </w:r>
      <w:bookmarkStart w:id="89683" w:name="note_section_八、78"/>
      <w:bookmarkEnd w:id="89683"/>
    </w:p>
    <w:p>
      <w:pPr>
        <w:spacing w:before="0" w:after="240" w:line="240" w:lineRule="auto"/>
      </w:pPr>
      <w:r>
        <w:rPr>
          <w:rFonts w:ascii="仿宋_GB2312" w:hAnsi="仿宋_GB2312" w:eastAsia="仿宋_GB2312"/>
          <w:b w:val="0"/>
          <w:sz w:val="24"/>
        </w:rPr>
        <w:t>### 所得税费用</w:t>
        <w:br/>
        <w:br/>
        <w:t>### 会计利润与所得税费用调整过程【国资委格式未要求披露，建议披露】</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当期所得税费用</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递延所得税调整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项目</w:t>
            </w:r>
          </w:p>
        </w:tc>
        <w:tc>
          <w:tcPr>
            <w:tcW w:type="dxa" w:w="4201"/>
            <w:tcBorders>
              <w:bottom w:val="single" w:sz="4" w:space="0" w:color="000000"/>
            </w:tcBorders>
          </w:tcPr>
          <w:p>
            <w:pPr>
              <w:jc w:val="center"/>
            </w:pPr>
            <w:r/>
            <w:r>
              <w:rPr>
                <w:rFonts w:ascii="仿宋_GB2312" w:hAnsi="仿宋_GB2312" w:eastAsia="仿宋_GB2312"/>
                <w:b/>
                <w:sz w:val="24"/>
              </w:rPr>
              <w:t>本期发生额</w:t>
            </w:r>
          </w:p>
        </w:tc>
      </w:tr>
      <w:tr>
        <w:trPr>
          <w:trHeight w:val="397" w:hRule="exact"/>
          <w:cantSplit/>
        </w:trPr>
        <w:tc>
          <w:tcPr>
            <w:tcW w:type="dxa" w:w="4201"/>
          </w:tcPr>
          <w:p>
            <w:r/>
            <w:r>
              <w:rPr>
                <w:rFonts w:ascii="仿宋_GB2312" w:hAnsi="仿宋_GB2312" w:eastAsia="仿宋_GB2312"/>
                <w:b w:val="0"/>
                <w:sz w:val="24"/>
              </w:rPr>
              <w:t>利润总额</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按适定/适用税率计算的所得税费用</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子公司适用不同税率的影响</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调整以前期间所得税的影响</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非应税收入的影响</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不可抵扣的成本、费用和损失的影响</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使用前期未确认递延所得税资产的可抵扣亏损的影响</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本期未确认递延所得税资产的可抵扣暂时性差异或可抵扣亏损的影响</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其他</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合计</w:t>
            </w:r>
          </w:p>
        </w:tc>
        <w:tc>
          <w:tcPr>
            <w:tcW w:type="dxa" w:w="4201"/>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101、归属于母公司所有者的其他综合收益</w:t>
      </w:r>
      <w:bookmarkStart w:id="5029" w:name="note_section_八、79"/>
      <w:bookmarkEnd w:id="5029"/>
    </w:p>
    <w:p>
      <w:pPr>
        <w:spacing w:before="0" w:after="240" w:line="240" w:lineRule="auto"/>
      </w:pPr>
      <w:r>
        <w:rPr>
          <w:rFonts w:ascii="仿宋_GB2312" w:hAnsi="仿宋_GB2312" w:eastAsia="仿宋_GB2312"/>
          <w:b w:val="0"/>
          <w:sz w:val="24"/>
        </w:rPr>
        <w:t>### 其他综合收益各项目及其所得税影响和转入损益情况</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项目</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一、以后不能重分类进损益的其他综合收益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1、重新计量设定受益计划变动额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2、权益法下不能转损益的其他综合收益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3、其他权益工具投资公允价值变动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4、企业自身信用风险公允价值变动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5、不能转损益的保险合同金融变动（金融企业适用）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6、其他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二、将重分类进损益的其他综合收益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1、权益法下可转损益的其他综合收益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减：前期计入其他综合收益当期转入损益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2、其他债权投资公允价值变动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减：前期计入其他综合收益当期转入损益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3、金融资产重分类计入其他综合收益的金额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减：前期计入其他综合收益当期转入损益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4、其他债权投资信用减值准备</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减：前期计入其他综合收益当期转入损益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5、现金流量套期储备</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减：转为被套期项目初始确认金额的调整额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前期计入其他综合收益当期转入损益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6、外币财务报表折算差额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减：前期计入其他综合收益当期转入损益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7、可转损益的保险合同金融变动（金融企业适用）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减：前期计入其他综合收益当期转入损益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8、可转损益的分出再保险合同金融变动（金融企业适用）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减：前期计入其他综合收益当期转入损益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9、自用房地产或作为存货的房地产转换为以公允价值计量的投资性房地产在转换日公允价值大于账面价值部分</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减：前期计入其他综合收益当期转入损益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10、多次交易分步处置子公司股权构成一揽子交易的，丧失控制权之前各次交易处置价款与对应净资产账面价值份额的差额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减：前期计入其他综合收益当期转入损益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11、其他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减：前期计入其他综合收益当期转入损益的净额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三、其他综合收益合计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102、应收资金集中管理款</w:t>
      </w:r>
      <w:bookmarkStart w:id="46936" w:name="note_section_八、8"/>
      <w:bookmarkEnd w:id="46936"/>
    </w:p>
    <w:p>
      <w:pPr>
        <w:spacing w:before="0" w:after="240" w:line="240" w:lineRule="auto"/>
      </w:pPr>
      <w:r>
        <w:rPr>
          <w:rFonts w:ascii="仿宋_GB2312" w:hAnsi="仿宋_GB2312" w:eastAsia="仿宋_GB2312"/>
          <w:b w:val="0"/>
          <w:sz w:val="24"/>
        </w:rPr>
        <w:t>【提示：坏账准备的计提，参考附注八、9、（3）进行披露】</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103、每股收益</w:t>
      </w:r>
      <w:bookmarkStart w:id="95446" w:name="note_section_八、80"/>
      <w:bookmarkEnd w:id="95446"/>
    </w:p>
    <w:p>
      <w:pPr>
        <w:spacing w:before="0" w:after="240" w:line="240" w:lineRule="auto"/>
      </w:pPr>
      <w:r>
        <w:rPr>
          <w:rFonts w:ascii="仿宋_GB2312" w:hAnsi="仿宋_GB2312" w:eastAsia="仿宋_GB2312"/>
          <w:b w:val="0"/>
          <w:sz w:val="24"/>
        </w:rPr>
        <w:t>（1.说明基本每股收益和稀释每股收益分子、分母的计算过程；</w:t>
        <w:br/>
        <w:br/>
        <w:t>2.列报期间不具有稀释性但以后期间很可能具有稀释性的潜在普通股；</w:t>
        <w:br/>
        <w:br/>
        <w:t>3.在资产负债表日至财务报告批准报出日之间，企业发行在外普通股或潜在普通股股数发生重大变化的情况，如股份发行、股份回购、潜在普通股发行、潜在普通股转换或行权等。）</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项目</w:t>
            </w:r>
          </w:p>
        </w:tc>
        <w:tc>
          <w:tcPr>
            <w:tcW w:type="dxa" w:w="2100"/>
            <w:tcBorders>
              <w:bottom w:val="single" w:sz="4" w:space="0" w:color="000000"/>
            </w:tcBorders>
          </w:tcPr>
          <w:p>
            <w:pPr>
              <w:jc w:val="center"/>
            </w:pPr>
            <w:r/>
            <w:r>
              <w:rPr>
                <w:rFonts w:ascii="仿宋_GB2312" w:hAnsi="仿宋_GB2312" w:eastAsia="仿宋_GB2312"/>
                <w:b/>
                <w:sz w:val="24"/>
              </w:rPr>
              <w:t>代码</w:t>
            </w:r>
          </w:p>
        </w:tc>
        <w:tc>
          <w:tcPr>
            <w:tcW w:type="dxa" w:w="2100"/>
            <w:tcBorders>
              <w:bottom w:val="single" w:sz="4" w:space="0" w:color="000000"/>
            </w:tcBorders>
          </w:tcPr>
          <w:p>
            <w:pPr>
              <w:jc w:val="center"/>
            </w:pPr>
            <w:r/>
            <w:r>
              <w:rPr>
                <w:rFonts w:ascii="仿宋_GB2312" w:hAnsi="仿宋_GB2312" w:eastAsia="仿宋_GB2312"/>
                <w:b/>
                <w:sz w:val="24"/>
              </w:rPr>
              <w:t>本期发生额</w:t>
            </w:r>
          </w:p>
        </w:tc>
        <w:tc>
          <w:tcPr>
            <w:tcW w:type="dxa" w:w="2100"/>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100"/>
          </w:tcPr>
          <w:p>
            <w:r/>
            <w:r>
              <w:rPr>
                <w:rFonts w:ascii="仿宋_GB2312" w:hAnsi="仿宋_GB2312" w:eastAsia="仿宋_GB2312"/>
                <w:b w:val="0"/>
                <w:sz w:val="24"/>
              </w:rPr>
              <w:t>报告期归属于公司普通股股东的净利润</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报告期归属于公司普通股股东的非经常性损益</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报告期扣除非经常性损益后归属于公司普通股股东的净利润</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稀释事项对归属于公司普通股股东的净利润的影响</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稀释事项对扣除非经常性损益后归属于公司普通股股东的净利润的影响</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期初股份总数</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报告期因公积金转增股本或股票股利分配等增加股份数</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报告期因发行新股或债转股等增加股份数</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增加股份下一月份起至报告期期末的月份数</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报告期因回购等减少股份数</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减少股份下一月份起至报告期期末的月份数</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报告期缩股数</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报告期月份数</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发行在外的普通股加权平均数</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加：假定稀释性潜在普通股转换为已发行普通股而增加的普通股加权平均数</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计算稀释每股收益的普通股加权平均数</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其中：可转换公司债转换而增加的普通股加权数</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认股权证/股份期权行权而增加的普通股加权数</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回购承诺履行而增加的普通股加权数</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归属于公司普通股股东的基本每股收益</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扣除非经常性损益后归属于公司普通股股东的基本每股收益</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归属于公司普通股股东的稀释每股收益</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扣除非经常性损益后归属于公司普通股股东的稀释每股收益</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104、现金流量表项目注释</w:t>
      </w:r>
      <w:bookmarkStart w:id="57401" w:name="note_section_八、81"/>
      <w:bookmarkEnd w:id="57401"/>
    </w:p>
    <w:p>
      <w:pPr>
        <w:spacing w:before="0" w:after="240" w:line="240" w:lineRule="auto"/>
      </w:pPr>
      <w:r>
        <w:rPr>
          <w:rFonts w:ascii="仿宋_GB2312" w:hAnsi="仿宋_GB2312" w:eastAsia="仿宋_GB2312"/>
          <w:b w:val="0"/>
          <w:sz w:val="24"/>
        </w:rPr>
        <w:t>收到的重要的投资活动有关的现金</w:t>
        <w:br/>
        <w:br/>
        <w:t>支付的重要的投资活动有关的现金</w:t>
        <w:br/>
        <w:br/>
        <w:t>收到的其他与经营活动有关的现金</w:t>
        <w:br/>
        <w:br/>
        <w:t>支付的其他与经营活动有关的现金</w:t>
        <w:br/>
        <w:br/>
        <w:t>收到的其他与投资活动有关的现金</w:t>
        <w:br/>
        <w:br/>
        <w:t>支付的其他与投资活动有关的现金</w:t>
        <w:br/>
        <w:br/>
        <w:t>收到的其他与筹资活动有关的现金</w:t>
        <w:br/>
        <w:br/>
        <w:t>支付的其他与筹资活动有关的现金</w:t>
        <w:br/>
        <w:br/>
        <w:t>筹资活动产生的各项负债的变动情况</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偿还租赁负债支付的金额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200"/>
        <w:gridCol w:w="1200"/>
        <w:gridCol w:w="1200"/>
        <w:gridCol w:w="1200"/>
        <w:gridCol w:w="1200"/>
        <w:gridCol w:w="1200"/>
        <w:gridCol w:w="1200"/>
      </w:tblGrid>
      <w:tr>
        <w:trPr>
          <w:trHeight w:val="397" w:hRule="exact"/>
          <w:cantSplit/>
        </w:trPr>
        <w:tc>
          <w:tcPr>
            <w:tcW w:type="dxa" w:w="1200"/>
            <w:tcBorders>
              <w:bottom w:val="single" w:sz="4" w:space="0" w:color="000000"/>
            </w:tcBorders>
          </w:tcPr>
          <w:p>
            <w:pPr>
              <w:jc w:val="center"/>
            </w:pPr>
            <w:r/>
            <w:r>
              <w:rPr>
                <w:rFonts w:ascii="仿宋_GB2312" w:hAnsi="仿宋_GB2312" w:eastAsia="仿宋_GB2312"/>
                <w:b/>
                <w:sz w:val="24"/>
              </w:rPr>
              <w:t>项目</w:t>
            </w:r>
          </w:p>
        </w:tc>
        <w:tc>
          <w:tcPr>
            <w:tcW w:type="dxa" w:w="1200"/>
            <w:tcBorders>
              <w:bottom w:val="single" w:sz="4" w:space="0" w:color="000000"/>
            </w:tcBorders>
          </w:tcPr>
          <w:p>
            <w:pPr>
              <w:jc w:val="center"/>
            </w:pPr>
            <w:r/>
            <w:r>
              <w:rPr>
                <w:rFonts w:ascii="仿宋_GB2312" w:hAnsi="仿宋_GB2312" w:eastAsia="仿宋_GB2312"/>
                <w:b/>
                <w:sz w:val="24"/>
              </w:rPr>
              <w:t>期初余额</w:t>
            </w:r>
          </w:p>
        </w:tc>
        <w:tc>
          <w:tcPr>
            <w:tcW w:type="dxa" w:w="1200"/>
            <w:tcBorders>
              <w:bottom w:val="single" w:sz="4" w:space="0" w:color="000000"/>
            </w:tcBorders>
          </w:tcPr>
          <w:p>
            <w:pPr>
              <w:jc w:val="center"/>
            </w:pPr>
            <w:r/>
            <w:r>
              <w:rPr>
                <w:rFonts w:ascii="仿宋_GB2312" w:hAnsi="仿宋_GB2312" w:eastAsia="仿宋_GB2312"/>
                <w:b/>
                <w:sz w:val="24"/>
              </w:rPr>
              <w:t>现金流量净额</w:t>
            </w:r>
          </w:p>
        </w:tc>
        <w:tc>
          <w:tcPr>
            <w:tcW w:type="dxa" w:w="1200"/>
            <w:tcBorders>
              <w:bottom w:val="single" w:sz="4" w:space="0" w:color="000000"/>
            </w:tcBorders>
          </w:tcPr>
          <w:p>
            <w:pPr>
              <w:jc w:val="center"/>
            </w:pPr>
            <w:r/>
            <w:r>
              <w:rPr>
                <w:rFonts w:ascii="仿宋_GB2312" w:hAnsi="仿宋_GB2312" w:eastAsia="仿宋_GB2312"/>
                <w:b/>
                <w:sz w:val="24"/>
              </w:rPr>
              <w:t>计提的利息</w:t>
            </w:r>
          </w:p>
        </w:tc>
        <w:tc>
          <w:tcPr>
            <w:tcW w:type="dxa" w:w="1200"/>
            <w:tcBorders>
              <w:bottom w:val="single" w:sz="4" w:space="0" w:color="000000"/>
            </w:tcBorders>
          </w:tcPr>
          <w:p>
            <w:pPr>
              <w:jc w:val="center"/>
            </w:pPr>
            <w:r/>
            <w:r>
              <w:rPr>
                <w:rFonts w:ascii="仿宋_GB2312" w:hAnsi="仿宋_GB2312" w:eastAsia="仿宋_GB2312"/>
                <w:b/>
                <w:sz w:val="24"/>
              </w:rPr>
              <w:t>公允价值变动</w:t>
            </w:r>
          </w:p>
        </w:tc>
        <w:tc>
          <w:tcPr>
            <w:tcW w:type="dxa" w:w="1200"/>
            <w:tcBorders>
              <w:bottom w:val="single" w:sz="4" w:space="0" w:color="000000"/>
            </w:tcBorders>
          </w:tcPr>
          <w:p>
            <w:pPr>
              <w:jc w:val="center"/>
            </w:pPr>
            <w:r/>
            <w:r>
              <w:rPr>
                <w:rFonts w:ascii="仿宋_GB2312" w:hAnsi="仿宋_GB2312" w:eastAsia="仿宋_GB2312"/>
                <w:b/>
                <w:sz w:val="24"/>
              </w:rPr>
              <w:t>其他</w:t>
            </w:r>
          </w:p>
        </w:tc>
        <w:tc>
          <w:tcPr>
            <w:tcW w:type="dxa" w:w="120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200"/>
          </w:tcPr>
          <w:p>
            <w:r/>
            <w:r>
              <w:rPr>
                <w:rFonts w:ascii="仿宋_GB2312" w:hAnsi="仿宋_GB2312" w:eastAsia="仿宋_GB2312"/>
                <w:b w:val="0"/>
                <w:sz w:val="24"/>
              </w:rPr>
              <w:t>短期借款</w:t>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r>
      <w:tr>
        <w:trPr>
          <w:trHeight w:val="397" w:hRule="exact"/>
          <w:cantSplit/>
        </w:trPr>
        <w:tc>
          <w:tcPr>
            <w:tcW w:type="dxa" w:w="1200"/>
          </w:tcPr>
          <w:p>
            <w:r/>
            <w:r>
              <w:rPr>
                <w:rFonts w:ascii="仿宋_GB2312" w:hAnsi="仿宋_GB2312" w:eastAsia="仿宋_GB2312"/>
                <w:b w:val="0"/>
                <w:sz w:val="24"/>
              </w:rPr>
              <w:t>长期借款</w:t>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r>
      <w:tr>
        <w:trPr>
          <w:trHeight w:val="397" w:hRule="exact"/>
          <w:cantSplit/>
        </w:trPr>
        <w:tc>
          <w:tcPr>
            <w:tcW w:type="dxa" w:w="1200"/>
          </w:tcPr>
          <w:p>
            <w:r/>
            <w:r>
              <w:rPr>
                <w:rFonts w:ascii="仿宋_GB2312" w:hAnsi="仿宋_GB2312" w:eastAsia="仿宋_GB2312"/>
                <w:b w:val="0"/>
                <w:sz w:val="24"/>
              </w:rPr>
              <w:t>应付债券</w:t>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r>
      <w:tr>
        <w:trPr>
          <w:trHeight w:val="397" w:hRule="exact"/>
          <w:cantSplit/>
        </w:trPr>
        <w:tc>
          <w:tcPr>
            <w:tcW w:type="dxa" w:w="1200"/>
          </w:tcPr>
          <w:p>
            <w:r/>
            <w:r>
              <w:rPr>
                <w:rFonts w:ascii="仿宋_GB2312" w:hAnsi="仿宋_GB2312" w:eastAsia="仿宋_GB2312"/>
                <w:b w:val="0"/>
                <w:sz w:val="24"/>
              </w:rPr>
              <w:t>租赁负债</w:t>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r>
      <w:tr>
        <w:trPr>
          <w:trHeight w:val="397" w:hRule="exact"/>
          <w:cantSplit/>
        </w:trPr>
        <w:tc>
          <w:tcPr>
            <w:tcW w:type="dxa" w:w="1200"/>
          </w:tcPr>
          <w:p>
            <w:r/>
            <w:r>
              <w:rPr>
                <w:rFonts w:ascii="仿宋_GB2312" w:hAnsi="仿宋_GB2312" w:eastAsia="仿宋_GB2312"/>
                <w:b w:val="0"/>
                <w:sz w:val="24"/>
              </w:rPr>
              <w:t>合计</w:t>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105、非货币性资产交换</w:t>
      </w:r>
      <w:bookmarkStart w:id="98411" w:name="note_section_八、82"/>
      <w:bookmarkEnd w:id="98411"/>
    </w:p>
    <w:p>
      <w:pPr>
        <w:spacing w:before="0" w:after="240" w:line="240" w:lineRule="auto"/>
      </w:pPr>
      <w:r>
        <w:rPr>
          <w:rFonts w:ascii="仿宋_GB2312" w:hAnsi="仿宋_GB2312" w:eastAsia="仿宋_GB2312"/>
          <w:b w:val="0"/>
          <w:sz w:val="24"/>
        </w:rPr>
        <w:t>（1. 非货币性资产交换是否具有商业实质及其原因</w:t>
        <w:br/>
        <w:br/>
        <w:t>2. 换入资产、换出资产的类别</w:t>
        <w:br/>
        <w:br/>
        <w:t>3. 换入资产初始计量金额的确定方式</w:t>
        <w:br/>
        <w:br/>
        <w:t>4. 换入资产、换出资产的公允价值及换出资产的账面价值</w:t>
        <w:br/>
        <w:br/>
        <w:t>5. 非货币性资产交换确认的损益</w:t>
        <w:br/>
        <w:br/>
        <w:t>（本公司于20××年与××公司进行了非货币性资产交换，该非货币性资产交换的商业实质是[请参考以下判断标准进行描述：满足下列条件之一的非货币性资产交换具有商业实质（1）换入资产的未来现金流量在风险、时间分布或金额方面与换出资产显著不同；（2）使用换入资产所产生的预计未来现金流量现值与继续使用换出资产不同，且其差额与换入资产和换出资产的公允价值相比是重大的。]，其中换入资产类别为[请根据具体资产类别披露，例如存货、固定资产]，换出资产类别为[请根据具体资产类别披露，例如存货、固定资产]。）换入资产初始计量金额的确定方式为[请根据具体情况参考以下选择：（1）以换出资产的公允价值，加上支付（减去收到）补价的公允价值和应支付的相关税费；（2）以换入资产的公允价值，加上支付（减去收到）补价的公允价值和应支付的相关税费]。）</w:t>
        <w:br/>
        <w:br/>
        <w:t>换入资产、换出资产的公允价值及换出资产的账面价值如下：</w:t>
        <w:br/>
        <w:br/>
        <w:t>上述公允价值和账面价值为交易日的价值。本期非货币性资产交换确认的损益为人民币XX元。换入资产的成本以[换出/换入]资产的[公允/账面]价值和应支付的相关税费确定。）</w:t>
      </w:r>
    </w:p>
    <w:p>
      <w:pPr>
        <w:spacing w:before="120" w:after="240" w:line="240" w:lineRule="auto"/>
      </w:pPr>
      <w:r>
        <w:rPr>
          <w:rFonts w:ascii="仿宋_GB2312" w:hAnsi="仿宋_GB2312" w:eastAsia="仿宋_GB2312"/>
          <w:b/>
          <w:sz w:val="24"/>
        </w:rPr>
        <w:t>106、股份支付</w:t>
      </w:r>
      <w:bookmarkStart w:id="41562" w:name="note_section_八、83"/>
      <w:bookmarkEnd w:id="41562"/>
    </w:p>
    <w:p>
      <w:pPr>
        <w:spacing w:before="0" w:after="240" w:line="240" w:lineRule="auto"/>
      </w:pPr>
      <w:r>
        <w:rPr>
          <w:rFonts w:ascii="仿宋_GB2312" w:hAnsi="仿宋_GB2312" w:eastAsia="仿宋_GB2312"/>
          <w:b w:val="0"/>
          <w:sz w:val="24"/>
        </w:rPr>
        <w:t>### 股份支付总体情况</w:t>
        <w:br/>
        <w:br/>
        <w:t>### 以权益结算的股份支付情况</w:t>
        <w:br/>
        <w:br/>
        <w:t>注：本期估计与上期估计有重大差异的原因如没有，请填写“无”。</w:t>
        <w:br/>
        <w:br/>
        <w:t>### 以现金结算的股份支付情况</w:t>
        <w:br/>
        <w:br/>
        <w:t>注：若有股份支付的修改、终止情况及其他事项应详细说明。</w:t>
      </w:r>
    </w:p>
    <w:p>
      <w:pPr>
        <w:spacing w:before="120" w:after="240" w:line="240" w:lineRule="auto"/>
      </w:pPr>
      <w:r>
        <w:rPr>
          <w:rFonts w:ascii="仿宋_GB2312" w:hAnsi="仿宋_GB2312" w:eastAsia="仿宋_GB2312"/>
          <w:b/>
          <w:sz w:val="24"/>
        </w:rPr>
        <w:t>公司本期授予的各项权益工具总额</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8402"/>
      </w:tblGrid>
      <w:tr>
        <w:trPr>
          <w:trHeight w:val="397" w:hRule="exact"/>
          <w:cantSplit/>
        </w:trPr>
        <w:tc>
          <w:tcPr>
            <w:tcW w:type="dxa" w:w="8402"/>
            <w:tcBorders>
              <w:bottom w:val="single" w:sz="4" w:space="0" w:color="000000"/>
            </w:tcBorders>
          </w:tcPr>
          <w:p>
            <w:pPr>
              <w:jc w:val="center"/>
            </w:pPr>
            <w:r/>
            <w:r>
              <w:rPr>
                <w:rFonts w:ascii="仿宋_GB2312" w:hAnsi="仿宋_GB2312" w:eastAsia="仿宋_GB2312"/>
                <w:b/>
                <w:sz w:val="24"/>
              </w:rPr>
              <w:t>公司本期授予的各项权益工具总额</w:t>
            </w:r>
          </w:p>
        </w:tc>
      </w:tr>
      <w:tr>
        <w:trPr>
          <w:trHeight w:val="397" w:hRule="exact"/>
          <w:cantSplit/>
        </w:trPr>
        <w:tc>
          <w:tcPr>
            <w:tcW w:type="dxa" w:w="8402"/>
          </w:tcPr>
          <w:p>
            <w:r/>
            <w:r>
              <w:rPr>
                <w:rFonts w:ascii="仿宋_GB2312" w:hAnsi="仿宋_GB2312" w:eastAsia="仿宋_GB2312"/>
                <w:b w:val="0"/>
                <w:sz w:val="24"/>
              </w:rPr>
              <w:t>公司本期行权的各项权益工具总额</w:t>
            </w:r>
          </w:p>
        </w:tc>
      </w:tr>
      <w:tr>
        <w:trPr>
          <w:trHeight w:val="397" w:hRule="exact"/>
          <w:cantSplit/>
        </w:trPr>
        <w:tc>
          <w:tcPr>
            <w:tcW w:type="dxa" w:w="8402"/>
          </w:tcPr>
          <w:p>
            <w:r/>
            <w:r>
              <w:rPr>
                <w:rFonts w:ascii="仿宋_GB2312" w:hAnsi="仿宋_GB2312" w:eastAsia="仿宋_GB2312"/>
                <w:b w:val="0"/>
                <w:sz w:val="24"/>
              </w:rPr>
              <w:t>公司本期失效的各项权益工具总额</w:t>
            </w:r>
          </w:p>
        </w:tc>
      </w:tr>
      <w:tr>
        <w:trPr>
          <w:trHeight w:val="397" w:hRule="exact"/>
          <w:cantSplit/>
        </w:trPr>
        <w:tc>
          <w:tcPr>
            <w:tcW w:type="dxa" w:w="8402"/>
          </w:tcPr>
          <w:p>
            <w:r/>
            <w:r>
              <w:rPr>
                <w:rFonts w:ascii="仿宋_GB2312" w:hAnsi="仿宋_GB2312" w:eastAsia="仿宋_GB2312"/>
                <w:b w:val="0"/>
                <w:sz w:val="24"/>
              </w:rPr>
              <w:t>公司期末发行在外的股份期权行权价格的范围和合同剩余期限</w:t>
            </w:r>
          </w:p>
        </w:tc>
      </w:tr>
      <w:tr>
        <w:trPr>
          <w:trHeight w:val="397" w:hRule="exact"/>
          <w:cantSplit/>
        </w:trPr>
        <w:tc>
          <w:tcPr>
            <w:tcW w:type="dxa" w:w="8402"/>
          </w:tcPr>
          <w:p>
            <w:r/>
            <w:r>
              <w:rPr>
                <w:rFonts w:ascii="仿宋_GB2312" w:hAnsi="仿宋_GB2312" w:eastAsia="仿宋_GB2312"/>
                <w:b w:val="0"/>
                <w:sz w:val="24"/>
              </w:rPr>
              <w:t>公司期末其他权益工具行权价格的范围和合同剩余期限</w:t>
            </w:r>
          </w:p>
        </w:tc>
      </w:tr>
    </w:tbl>
    <w:p/>
    <w:p>
      <w:pPr>
        <w:spacing w:before="120" w:after="240" w:line="240" w:lineRule="auto"/>
      </w:pPr>
      <w:r>
        <w:rPr>
          <w:rFonts w:ascii="仿宋_GB2312" w:hAnsi="仿宋_GB2312" w:eastAsia="仿宋_GB2312"/>
          <w:b/>
          <w:sz w:val="24"/>
        </w:rPr>
        <w:t>授予日权益工具公允价值的确定方法</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8402"/>
      </w:tblGrid>
      <w:tr>
        <w:trPr>
          <w:trHeight w:val="397" w:hRule="exact"/>
          <w:cantSplit/>
        </w:trPr>
        <w:tc>
          <w:tcPr>
            <w:tcW w:type="dxa" w:w="8402"/>
            <w:tcBorders>
              <w:bottom w:val="single" w:sz="4" w:space="0" w:color="000000"/>
            </w:tcBorders>
          </w:tcPr>
          <w:p>
            <w:pPr>
              <w:jc w:val="center"/>
            </w:pPr>
            <w:r/>
            <w:r>
              <w:rPr>
                <w:rFonts w:ascii="仿宋_GB2312" w:hAnsi="仿宋_GB2312" w:eastAsia="仿宋_GB2312"/>
                <w:b/>
                <w:sz w:val="24"/>
              </w:rPr>
              <w:t>授予日权益工具公允价值的确定方法</w:t>
            </w:r>
          </w:p>
        </w:tc>
      </w:tr>
      <w:tr>
        <w:trPr>
          <w:trHeight w:val="397" w:hRule="exact"/>
          <w:cantSplit/>
        </w:trPr>
        <w:tc>
          <w:tcPr>
            <w:tcW w:type="dxa" w:w="8402"/>
          </w:tcPr>
          <w:p>
            <w:r/>
            <w:r>
              <w:rPr>
                <w:rFonts w:ascii="仿宋_GB2312" w:hAnsi="仿宋_GB2312" w:eastAsia="仿宋_GB2312"/>
                <w:b w:val="0"/>
                <w:sz w:val="24"/>
              </w:rPr>
              <w:t>可行权权益工具数量的确定依据</w:t>
            </w:r>
          </w:p>
        </w:tc>
      </w:tr>
      <w:tr>
        <w:trPr>
          <w:trHeight w:val="397" w:hRule="exact"/>
          <w:cantSplit/>
        </w:trPr>
        <w:tc>
          <w:tcPr>
            <w:tcW w:type="dxa" w:w="8402"/>
          </w:tcPr>
          <w:p>
            <w:r/>
            <w:r>
              <w:rPr>
                <w:rFonts w:ascii="仿宋_GB2312" w:hAnsi="仿宋_GB2312" w:eastAsia="仿宋_GB2312"/>
                <w:b w:val="0"/>
                <w:sz w:val="24"/>
              </w:rPr>
              <w:t>本期估计与上期估计有重大差异的原因</w:t>
            </w:r>
          </w:p>
        </w:tc>
      </w:tr>
      <w:tr>
        <w:trPr>
          <w:trHeight w:val="397" w:hRule="exact"/>
          <w:cantSplit/>
        </w:trPr>
        <w:tc>
          <w:tcPr>
            <w:tcW w:type="dxa" w:w="8402"/>
          </w:tcPr>
          <w:p>
            <w:r/>
            <w:r>
              <w:rPr>
                <w:rFonts w:ascii="仿宋_GB2312" w:hAnsi="仿宋_GB2312" w:eastAsia="仿宋_GB2312"/>
                <w:b w:val="0"/>
                <w:sz w:val="24"/>
              </w:rPr>
              <w:t>资本公积中以权益结算的股份支付的累计金额</w:t>
            </w:r>
          </w:p>
        </w:tc>
      </w:tr>
      <w:tr>
        <w:trPr>
          <w:trHeight w:val="397" w:hRule="exact"/>
          <w:cantSplit/>
        </w:trPr>
        <w:tc>
          <w:tcPr>
            <w:tcW w:type="dxa" w:w="8402"/>
          </w:tcPr>
          <w:p>
            <w:r/>
            <w:r>
              <w:rPr>
                <w:rFonts w:ascii="仿宋_GB2312" w:hAnsi="仿宋_GB2312" w:eastAsia="仿宋_GB2312"/>
                <w:b w:val="0"/>
                <w:sz w:val="24"/>
              </w:rPr>
              <w:t>以权益结算的股份支付确认的费用总额</w:t>
            </w:r>
          </w:p>
        </w:tc>
      </w:tr>
    </w:tbl>
    <w:p/>
    <w:p>
      <w:pPr>
        <w:spacing w:before="120" w:after="240" w:line="240" w:lineRule="auto"/>
      </w:pPr>
      <w:r>
        <w:rPr>
          <w:rFonts w:ascii="仿宋_GB2312" w:hAnsi="仿宋_GB2312" w:eastAsia="仿宋_GB2312"/>
          <w:b/>
          <w:sz w:val="24"/>
        </w:rPr>
        <w:t>公司承担的、以股份或其他权益工具为基础计算确定的负债的公允价值确定方法</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8402"/>
      </w:tblGrid>
      <w:tr>
        <w:trPr>
          <w:trHeight w:val="397" w:hRule="exact"/>
          <w:cantSplit/>
        </w:trPr>
        <w:tc>
          <w:tcPr>
            <w:tcW w:type="dxa" w:w="8402"/>
            <w:tcBorders>
              <w:bottom w:val="single" w:sz="4" w:space="0" w:color="000000"/>
            </w:tcBorders>
          </w:tcPr>
          <w:p>
            <w:pPr>
              <w:jc w:val="center"/>
            </w:pPr>
            <w:r/>
            <w:r>
              <w:rPr>
                <w:rFonts w:ascii="仿宋_GB2312" w:hAnsi="仿宋_GB2312" w:eastAsia="仿宋_GB2312"/>
                <w:b/>
                <w:sz w:val="24"/>
              </w:rPr>
              <w:t>公司承担的、以股份或其他权益工具为基础计算确定的负债的公允价值确定方法</w:t>
            </w:r>
          </w:p>
        </w:tc>
      </w:tr>
      <w:tr>
        <w:trPr>
          <w:trHeight w:val="397" w:hRule="exact"/>
          <w:cantSplit/>
        </w:trPr>
        <w:tc>
          <w:tcPr>
            <w:tcW w:type="dxa" w:w="8402"/>
          </w:tcPr>
          <w:p>
            <w:r/>
            <w:r>
              <w:rPr>
                <w:rFonts w:ascii="仿宋_GB2312" w:hAnsi="仿宋_GB2312" w:eastAsia="仿宋_GB2312"/>
                <w:b w:val="0"/>
                <w:sz w:val="24"/>
              </w:rPr>
              <w:t>负债中因以现金结算的股份支付产生的累计负债金额</w:t>
            </w:r>
          </w:p>
        </w:tc>
      </w:tr>
      <w:tr>
        <w:trPr>
          <w:trHeight w:val="397" w:hRule="exact"/>
          <w:cantSplit/>
        </w:trPr>
        <w:tc>
          <w:tcPr>
            <w:tcW w:type="dxa" w:w="8402"/>
          </w:tcPr>
          <w:p>
            <w:r/>
            <w:r>
              <w:rPr>
                <w:rFonts w:ascii="仿宋_GB2312" w:hAnsi="仿宋_GB2312" w:eastAsia="仿宋_GB2312"/>
                <w:b w:val="0"/>
                <w:sz w:val="24"/>
              </w:rPr>
              <w:t>以现金结算的股份支付而确认的费用总额</w:t>
            </w:r>
          </w:p>
        </w:tc>
      </w:tr>
    </w:tbl>
    <w:p/>
    <w:p>
      <w:pPr>
        <w:spacing w:before="120" w:after="240" w:line="240" w:lineRule="auto"/>
      </w:pPr>
      <w:r>
        <w:rPr>
          <w:rFonts w:ascii="仿宋_GB2312" w:hAnsi="仿宋_GB2312" w:eastAsia="仿宋_GB2312"/>
          <w:b/>
          <w:sz w:val="24"/>
        </w:rPr>
        <w:t>107、债务重组</w:t>
      </w:r>
      <w:bookmarkStart w:id="55499" w:name="note_section_八、84"/>
      <w:bookmarkEnd w:id="55499"/>
    </w:p>
    <w:p>
      <w:pPr>
        <w:spacing w:before="0" w:after="240" w:line="240" w:lineRule="auto"/>
      </w:pPr>
      <w:r>
        <w:rPr>
          <w:rFonts w:ascii="仿宋_GB2312" w:hAnsi="仿宋_GB2312" w:eastAsia="仿宋_GB2312"/>
          <w:b w:val="0"/>
          <w:sz w:val="24"/>
        </w:rPr>
        <w:t>### 债务人披露情况</w:t>
        <w:br/>
        <w:br/>
        <w:t>企业应披露转让非现金资产的公允价值、债务转成的股份的公允价值和修改其他债务条件后债务的公允价值的确定方法及依据。</w:t>
        <w:br/>
        <w:br/>
        <w:t>### 债权人披露情况</w:t>
        <w:br/>
        <w:br/>
        <w:t>企业应披露受让非现金资产的公允价值、债权转成的股权的公允价值和修改其他债务条件后债权的公允价值的确定方法及依据。</w:t>
        <w:br/>
        <w:br/>
        <w:t>（企业应以文字形式补充说明债务重组的主要内容。）</w:t>
      </w:r>
    </w:p>
    <w:p>
      <w:pPr>
        <w:spacing w:before="120" w:after="240" w:line="240" w:lineRule="auto"/>
      </w:pPr>
      <w:r>
        <w:rPr>
          <w:rFonts w:ascii="仿宋_GB2312" w:hAnsi="仿宋_GB2312" w:eastAsia="仿宋_GB2312"/>
          <w:b/>
          <w:sz w:val="24"/>
        </w:rPr>
        <w:t>债务重组方式</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债务重组方式</w:t>
            </w:r>
          </w:p>
        </w:tc>
        <w:tc>
          <w:tcPr>
            <w:tcW w:type="dxa" w:w="2100"/>
            <w:tcBorders>
              <w:bottom w:val="single" w:sz="4" w:space="0" w:color="000000"/>
            </w:tcBorders>
          </w:tcPr>
          <w:p>
            <w:pPr>
              <w:jc w:val="center"/>
            </w:pPr>
            <w:r/>
            <w:r>
              <w:rPr>
                <w:rFonts w:ascii="仿宋_GB2312" w:hAnsi="仿宋_GB2312" w:eastAsia="仿宋_GB2312"/>
                <w:b/>
                <w:sz w:val="24"/>
              </w:rPr>
              <w:t>债务账面价值</w:t>
            </w:r>
          </w:p>
        </w:tc>
        <w:tc>
          <w:tcPr>
            <w:tcW w:type="dxa" w:w="2100"/>
            <w:tcBorders>
              <w:bottom w:val="single" w:sz="4" w:space="0" w:color="000000"/>
            </w:tcBorders>
          </w:tcPr>
          <w:p>
            <w:pPr>
              <w:jc w:val="center"/>
            </w:pPr>
            <w:r/>
            <w:r>
              <w:rPr>
                <w:rFonts w:ascii="仿宋_GB2312" w:hAnsi="仿宋_GB2312" w:eastAsia="仿宋_GB2312"/>
                <w:b/>
                <w:sz w:val="24"/>
              </w:rPr>
              <w:t>债务重组利得金额</w:t>
            </w:r>
          </w:p>
        </w:tc>
        <w:tc>
          <w:tcPr>
            <w:tcW w:type="dxa" w:w="2100"/>
            <w:tcBorders>
              <w:bottom w:val="single" w:sz="4" w:space="0" w:color="000000"/>
            </w:tcBorders>
          </w:tcPr>
          <w:p>
            <w:pPr>
              <w:jc w:val="center"/>
            </w:pPr>
            <w:r/>
            <w:r>
              <w:rPr>
                <w:rFonts w:ascii="仿宋_GB2312" w:hAnsi="仿宋_GB2312" w:eastAsia="仿宋_GB2312"/>
                <w:b/>
                <w:sz w:val="24"/>
              </w:rPr>
              <w:t>股本等所有者权益增加金额</w:t>
            </w:r>
          </w:p>
        </w:tc>
      </w:tr>
      <w:tr>
        <w:trPr>
          <w:trHeight w:val="397" w:hRule="exact"/>
          <w:cantSplit/>
        </w:trPr>
        <w:tc>
          <w:tcPr>
            <w:tcW w:type="dxa" w:w="2100"/>
          </w:tcPr>
          <w:p>
            <w:r/>
            <w:r>
              <w:rPr>
                <w:rFonts w:ascii="仿宋_GB2312" w:hAnsi="仿宋_GB2312" w:eastAsia="仿宋_GB2312"/>
                <w:b w:val="0"/>
                <w:sz w:val="24"/>
              </w:rPr>
              <w:t>以低于债务账面价值的现金清偿债务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以非现金资产清偿债务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债务转为资本</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修改其它债务条件</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混合重组方式</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公允价值金额</w:t>
            </w:r>
          </w:p>
        </w:tc>
        <w:tc>
          <w:tcPr>
            <w:tcW w:type="dxa" w:w="2801"/>
            <w:tcBorders>
              <w:bottom w:val="single" w:sz="4" w:space="0" w:color="000000"/>
            </w:tcBorders>
          </w:tcPr>
          <w:p>
            <w:pPr>
              <w:jc w:val="center"/>
            </w:pPr>
            <w:r/>
            <w:r>
              <w:rPr>
                <w:rFonts w:ascii="仿宋_GB2312" w:hAnsi="仿宋_GB2312" w:eastAsia="仿宋_GB2312"/>
                <w:b/>
                <w:sz w:val="24"/>
              </w:rPr>
              <w:t>确定方法及依据</w:t>
            </w:r>
          </w:p>
        </w:tc>
      </w:tr>
      <w:tr>
        <w:trPr>
          <w:trHeight w:val="397" w:hRule="exact"/>
          <w:cantSplit/>
        </w:trPr>
        <w:tc>
          <w:tcPr>
            <w:tcW w:type="dxa" w:w="2801"/>
          </w:tcPr>
          <w:p>
            <w:r/>
            <w:r>
              <w:rPr>
                <w:rFonts w:ascii="仿宋_GB2312" w:hAnsi="仿宋_GB2312" w:eastAsia="仿宋_GB2312"/>
                <w:b w:val="0"/>
                <w:sz w:val="24"/>
              </w:rPr>
              <w:t>非现金资产</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债务转成的股份</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修改其他条件后的债务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债务重组方式</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债务重组方式</w:t>
            </w:r>
          </w:p>
        </w:tc>
        <w:tc>
          <w:tcPr>
            <w:tcW w:type="dxa" w:w="1680"/>
            <w:tcBorders>
              <w:bottom w:val="single" w:sz="4" w:space="0" w:color="000000"/>
            </w:tcBorders>
          </w:tcPr>
          <w:p>
            <w:pPr>
              <w:jc w:val="center"/>
            </w:pPr>
            <w:r/>
            <w:r>
              <w:rPr>
                <w:rFonts w:ascii="仿宋_GB2312" w:hAnsi="仿宋_GB2312" w:eastAsia="仿宋_GB2312"/>
                <w:b/>
                <w:sz w:val="24"/>
              </w:rPr>
              <w:t>债权账面价值</w:t>
            </w:r>
          </w:p>
        </w:tc>
        <w:tc>
          <w:tcPr>
            <w:tcW w:type="dxa" w:w="1680"/>
            <w:tcBorders>
              <w:bottom w:val="single" w:sz="4" w:space="0" w:color="000000"/>
            </w:tcBorders>
          </w:tcPr>
          <w:p>
            <w:pPr>
              <w:jc w:val="center"/>
            </w:pPr>
            <w:r/>
            <w:r>
              <w:rPr>
                <w:rFonts w:ascii="仿宋_GB2312" w:hAnsi="仿宋_GB2312" w:eastAsia="仿宋_GB2312"/>
                <w:b/>
                <w:sz w:val="24"/>
              </w:rPr>
              <w:t>债务重组损失金额</w:t>
            </w:r>
          </w:p>
        </w:tc>
        <w:tc>
          <w:tcPr>
            <w:tcW w:type="dxa" w:w="1680"/>
            <w:tcBorders>
              <w:bottom w:val="single" w:sz="4" w:space="0" w:color="000000"/>
            </w:tcBorders>
          </w:tcPr>
          <w:p>
            <w:pPr>
              <w:jc w:val="center"/>
            </w:pPr>
            <w:r/>
            <w:r>
              <w:rPr>
                <w:rFonts w:ascii="仿宋_GB2312" w:hAnsi="仿宋_GB2312" w:eastAsia="仿宋_GB2312"/>
                <w:b/>
                <w:sz w:val="24"/>
              </w:rPr>
              <w:t>长期股权投资增加金额</w:t>
            </w:r>
          </w:p>
        </w:tc>
        <w:tc>
          <w:tcPr>
            <w:tcW w:type="dxa" w:w="1680"/>
            <w:tcBorders>
              <w:bottom w:val="single" w:sz="4" w:space="0" w:color="000000"/>
            </w:tcBorders>
          </w:tcPr>
          <w:p>
            <w:pPr>
              <w:jc w:val="center"/>
            </w:pPr>
            <w:r/>
            <w:r>
              <w:rPr>
                <w:rFonts w:ascii="仿宋_GB2312" w:hAnsi="仿宋_GB2312" w:eastAsia="仿宋_GB2312"/>
                <w:b/>
                <w:sz w:val="24"/>
              </w:rPr>
              <w:t>占债务人股权的比例</w:t>
            </w:r>
          </w:p>
        </w:tc>
      </w:tr>
      <w:tr>
        <w:trPr>
          <w:trHeight w:val="397" w:hRule="exact"/>
          <w:cantSplit/>
        </w:trPr>
        <w:tc>
          <w:tcPr>
            <w:tcW w:type="dxa" w:w="1680"/>
          </w:tcPr>
          <w:p>
            <w:r/>
            <w:r>
              <w:rPr>
                <w:rFonts w:ascii="仿宋_GB2312" w:hAnsi="仿宋_GB2312" w:eastAsia="仿宋_GB2312"/>
                <w:b w:val="0"/>
                <w:sz w:val="24"/>
              </w:rPr>
              <w:t>低于债权账面价值的现金收回债权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以非现金资产收回债权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债权转为股权</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修改其它债务条件</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混合重组方式</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公允价值金额</w:t>
            </w:r>
          </w:p>
        </w:tc>
        <w:tc>
          <w:tcPr>
            <w:tcW w:type="dxa" w:w="2801"/>
            <w:tcBorders>
              <w:bottom w:val="single" w:sz="4" w:space="0" w:color="000000"/>
            </w:tcBorders>
          </w:tcPr>
          <w:p>
            <w:pPr>
              <w:jc w:val="center"/>
            </w:pPr>
            <w:r/>
            <w:r>
              <w:rPr>
                <w:rFonts w:ascii="仿宋_GB2312" w:hAnsi="仿宋_GB2312" w:eastAsia="仿宋_GB2312"/>
                <w:b/>
                <w:sz w:val="24"/>
              </w:rPr>
              <w:t>确定方法及依据</w:t>
            </w:r>
          </w:p>
        </w:tc>
      </w:tr>
      <w:tr>
        <w:trPr>
          <w:trHeight w:val="397" w:hRule="exact"/>
          <w:cantSplit/>
        </w:trPr>
        <w:tc>
          <w:tcPr>
            <w:tcW w:type="dxa" w:w="2801"/>
          </w:tcPr>
          <w:p>
            <w:r/>
            <w:r>
              <w:rPr>
                <w:rFonts w:ascii="仿宋_GB2312" w:hAnsi="仿宋_GB2312" w:eastAsia="仿宋_GB2312"/>
                <w:b w:val="0"/>
                <w:sz w:val="24"/>
              </w:rPr>
              <w:t>非现金资产</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债权转成的投资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修改其他条件后的债权</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108、借款费用</w:t>
      </w:r>
      <w:bookmarkStart w:id="58827" w:name="note_section_八、85"/>
      <w:bookmarkEnd w:id="58827"/>
    </w:p>
    <w:p>
      <w:pPr>
        <w:spacing w:before="0" w:after="240" w:line="240" w:lineRule="auto"/>
      </w:pPr>
      <w:r>
        <w:rPr>
          <w:rFonts w:ascii="仿宋_GB2312" w:hAnsi="仿宋_GB2312" w:eastAsia="仿宋_GB2312"/>
          <w:b w:val="0"/>
          <w:sz w:val="24"/>
        </w:rPr>
        <w:t>（说明借款费用资本化与费用化的原则、条件，资本化金额的确定方法。）</w:t>
        <w:br/>
        <w:br/>
        <w:t>本公司发生的借款费用，可直接归属于符合资本化条件的资产的购建或者生产的，予以资本化，计入相关资产成本；其他借款费用，在发生时根据其发生额确认为费用，计入当期损益。借款费用同时满足下列条件的，开始资本化：</w:t>
        <w:br/>
        <w:br/>
        <w:t>①资产支出已经发生，资产支出包括为购建或者生产符合资本化条件的资产而以支付现金、转移非现金资产或者承担带息债务形式发生的支出；</w:t>
        <w:br/>
        <w:br/>
        <w:t>②借款费用已经发生；</w:t>
        <w:br/>
        <w:br/>
        <w:t>③为使资产达到预定可使用或者可销售状态所必要的购建或者生产活动已经开始。</w:t>
        <w:br/>
        <w:br/>
        <w:t>本公司购建或者生产符合资本化条件的资产达到预定可使用或者可销售状态时，借款费用停止资本化。在符合资本化条件的资产达到预定可使用或者可销售状态之后所发生的借款费用，在发生时根据其发生额确认为费用，计入当期损益。</w:t>
        <w:br/>
        <w:br/>
        <w:t>符合资本化条件的资产在购建或者生产过程中发生非正常中断、且中断时间连续超过3个月的，暂停借款费用的资本化；正常中断期间的借款费用继续资本化。</w:t>
        <w:br/>
        <w:br/>
        <w:t>（采用实际利率计算利息费用的，说明实际利率的计算过程）</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当期资本化的借款费用金额</w:t>
            </w:r>
          </w:p>
        </w:tc>
        <w:tc>
          <w:tcPr>
            <w:tcW w:type="dxa" w:w="2801"/>
            <w:tcBorders>
              <w:bottom w:val="single" w:sz="4" w:space="0" w:color="000000"/>
            </w:tcBorders>
          </w:tcPr>
          <w:p>
            <w:pPr>
              <w:jc w:val="center"/>
            </w:pPr>
            <w:r/>
            <w:r>
              <w:rPr>
                <w:rFonts w:ascii="仿宋_GB2312" w:hAnsi="仿宋_GB2312" w:eastAsia="仿宋_GB2312"/>
                <w:b/>
                <w:sz w:val="24"/>
              </w:rPr>
              <w:t>资本化率</w:t>
            </w:r>
          </w:p>
        </w:tc>
      </w:tr>
      <w:tr>
        <w:trPr>
          <w:trHeight w:val="397" w:hRule="exact"/>
          <w:cantSplit/>
        </w:trPr>
        <w:tc>
          <w:tcPr>
            <w:tcW w:type="dxa" w:w="2801"/>
          </w:tcPr>
          <w:p>
            <w:r/>
            <w:r>
              <w:rPr>
                <w:rFonts w:ascii="仿宋_GB2312" w:hAnsi="仿宋_GB2312" w:eastAsia="仿宋_GB2312"/>
                <w:b w:val="0"/>
                <w:sz w:val="24"/>
              </w:rPr>
              <w:t>一、存货</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二、在建工程</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三、无形资产</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四、其他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109、外币折算</w:t>
      </w:r>
      <w:bookmarkStart w:id="16103" w:name="note_section_八、86"/>
      <w:bookmarkEnd w:id="16103"/>
    </w:p>
    <w:p>
      <w:pPr>
        <w:spacing w:before="0" w:after="240" w:line="240" w:lineRule="auto"/>
      </w:pPr>
      <w:r>
        <w:rPr>
          <w:rFonts w:ascii="仿宋_GB2312" w:hAnsi="仿宋_GB2312" w:eastAsia="仿宋_GB2312"/>
          <w:b w:val="0"/>
          <w:sz w:val="24"/>
        </w:rPr>
        <w:t>1.计入当期损益的汇兑差额；</w:t>
        <w:br/>
        <w:br/>
        <w:t>2.处置境外经营对外币财务报表折算差额的影响。</w:t>
      </w:r>
    </w:p>
    <w:p>
      <w:pPr>
        <w:spacing w:before="120" w:after="240" w:line="240" w:lineRule="auto"/>
      </w:pPr>
      <w:r>
        <w:rPr>
          <w:rFonts w:ascii="仿宋_GB2312" w:hAnsi="仿宋_GB2312" w:eastAsia="仿宋_GB2312"/>
          <w:b/>
          <w:sz w:val="24"/>
        </w:rPr>
        <w:t>110、租赁</w:t>
      </w:r>
      <w:bookmarkStart w:id="80839" w:name="note_section_八、87"/>
      <w:bookmarkEnd w:id="80839"/>
    </w:p>
    <w:p>
      <w:pPr>
        <w:spacing w:before="0" w:after="240" w:line="240" w:lineRule="auto"/>
      </w:pPr>
      <w:r>
        <w:rPr>
          <w:rFonts w:ascii="仿宋_GB2312" w:hAnsi="仿宋_GB2312" w:eastAsia="仿宋_GB2312"/>
          <w:b w:val="0"/>
          <w:sz w:val="24"/>
        </w:rPr>
        <w:t>### 作为承租人</w:t>
        <w:br/>
        <w:br/>
        <w:t>#### 承租人信息</w:t>
        <w:br/>
        <w:br/>
        <w:t>#### 承租人补充信息</w:t>
        <w:br/>
        <w:br/>
        <w:t>承租人应当根据理解财务报表的需要，披露有关租赁活动的其他定性和定量信息：</w:t>
        <w:br/>
        <w:br/>
        <w:t>1）租赁活动的性质，如对租赁活动基本情况的描述；</w:t>
        <w:br/>
        <w:br/>
        <w:t>2）未纳入租赁负债计量的未来潜在现金流出；</w:t>
        <w:br/>
        <w:br/>
        <w:t>3）租赁导致的限制或承诺；</w:t>
        <w:br/>
        <w:br/>
        <w:t>4）售后租回交易产生的相关损益、售后租回合同中的重要条款及其他信息；</w:t>
        <w:br/>
        <w:br/>
        <w:t>5）其他相关信息。</w:t>
        <w:br/>
        <w:br/>
        <w:t>### 作为出租人</w:t>
        <w:br/>
        <w:br/>
        <w:t>#### 融资租赁出租人</w:t>
        <w:br/>
        <w:br/>
        <w:t>未实现融资收益的余额。</w:t>
        <w:br/>
        <w:br/>
        <w:t>#### 经营租赁出租人</w:t>
        <w:br/>
        <w:br/>
        <w:t>#### 出租人补充信息</w:t>
        <w:br/>
        <w:br/>
        <w:t>（出租人应当根据理解财务报表的需要，披露有关租赁活动的其他定性和定量信息。此类信息包括：</w:t>
        <w:br/>
        <w:br/>
        <w:t>1）租赁活动的性质，如对租赁活动基本情况的描述；</w:t>
        <w:br/>
        <w:br/>
        <w:t>2）对其在租赁资产中保留的权利进行风险管理的情况；</w:t>
        <w:br/>
        <w:br/>
        <w:t>3）其他相关信息。）</w:t>
        <w:br/>
        <w:br/>
        <w:t>### 披露各售后租回交易以及售后租回合同中的重要条款。</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项目</w:t>
            </w:r>
          </w:p>
        </w:tc>
        <w:tc>
          <w:tcPr>
            <w:tcW w:type="dxa" w:w="4201"/>
            <w:tcBorders>
              <w:bottom w:val="single" w:sz="4" w:space="0" w:color="000000"/>
            </w:tcBorders>
          </w:tcPr>
          <w:p>
            <w:pPr>
              <w:jc w:val="center"/>
            </w:pPr>
            <w:r/>
            <w:r>
              <w:rPr>
                <w:rFonts w:ascii="仿宋_GB2312" w:hAnsi="仿宋_GB2312" w:eastAsia="仿宋_GB2312"/>
                <w:b/>
                <w:sz w:val="24"/>
              </w:rPr>
              <w:t>金额</w:t>
            </w:r>
          </w:p>
        </w:tc>
      </w:tr>
      <w:tr>
        <w:trPr>
          <w:trHeight w:val="397" w:hRule="exact"/>
          <w:cantSplit/>
        </w:trPr>
        <w:tc>
          <w:tcPr>
            <w:tcW w:type="dxa" w:w="4201"/>
          </w:tcPr>
          <w:p>
            <w:r/>
            <w:r>
              <w:rPr>
                <w:rFonts w:ascii="仿宋_GB2312" w:hAnsi="仿宋_GB2312" w:eastAsia="仿宋_GB2312"/>
                <w:b w:val="0"/>
                <w:sz w:val="24"/>
              </w:rPr>
              <w:t>租赁负债的利息费用</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计入相关资产成本或当期损益的简化处理的短期租赁费用</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计入相关资产成本或当期损益的简化处理的低价值资产租赁费用（低价值资产的短期租赁费用除外）</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计入相关资产成本或当期损益的未纳入租赁负债计量的可变租赁付款额</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其中：售后租回交易产生部分</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转租使用权资产取得的收入</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与租赁相关的总现金流出</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售后租回交易产生的相关损益</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售后租回交易现金流入</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售后租回交易现金流出</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其他</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项目</w:t>
            </w:r>
          </w:p>
        </w:tc>
        <w:tc>
          <w:tcPr>
            <w:tcW w:type="dxa" w:w="4201"/>
            <w:tcBorders>
              <w:bottom w:val="single" w:sz="4" w:space="0" w:color="000000"/>
            </w:tcBorders>
          </w:tcPr>
          <w:p>
            <w:pPr>
              <w:jc w:val="center"/>
            </w:pPr>
            <w:r/>
            <w:r>
              <w:rPr>
                <w:rFonts w:ascii="仿宋_GB2312" w:hAnsi="仿宋_GB2312" w:eastAsia="仿宋_GB2312"/>
                <w:b/>
                <w:sz w:val="24"/>
              </w:rPr>
              <w:t>金额</w:t>
            </w:r>
          </w:p>
        </w:tc>
      </w:tr>
      <w:tr>
        <w:trPr>
          <w:trHeight w:val="397" w:hRule="exact"/>
          <w:cantSplit/>
        </w:trPr>
        <w:tc>
          <w:tcPr>
            <w:tcW w:type="dxa" w:w="4201"/>
          </w:tcPr>
          <w:p>
            <w:r/>
            <w:r>
              <w:rPr>
                <w:rFonts w:ascii="仿宋_GB2312" w:hAnsi="仿宋_GB2312" w:eastAsia="仿宋_GB2312"/>
                <w:b w:val="0"/>
                <w:sz w:val="24"/>
              </w:rPr>
              <w:t>一、收入情况</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销售损益</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租赁投资净额的融资收益</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与未纳入租赁投资净额的可变租赁付款额相关的收入</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二、资产负债表日后将收到的未折现租赁收款额</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第1年</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第2年</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第3年</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第4年</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第5年</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5年以上</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三、未折现租赁收款额与租赁投资净额的调节</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剩余年度将收到的未折现租赁收款额小计</w:t>
            </w:r>
          </w:p>
        </w:tc>
        <w:tc>
          <w:tcPr>
            <w:tcW w:type="dxa" w:w="4201"/>
          </w:tcPr>
          <w:p>
            <w:pPr>
              <w:jc w:val="right"/>
            </w:pPr>
            <w:r/>
            <w:r>
              <w:rPr>
                <w:rFonts w:ascii="Arial Narrow" w:hAnsi="Arial Narrow" w:eastAsia="仿宋_GB2312" w:cs="Arial Narrow"/>
                <w:sz w:val="24"/>
              </w:rPr>
            </w:r>
          </w:p>
        </w:tc>
      </w:tr>
      <w:tr>
        <w:trPr>
          <w:trHeight w:val="397" w:hRule="exact"/>
          <w:cantSplit/>
        </w:trPr>
        <w:tc>
          <w:tcPr>
            <w:tcW w:type="dxa" w:w="4201"/>
          </w:tcPr>
          <w:p>
            <w:r/>
            <w:r>
              <w:rPr>
                <w:rFonts w:ascii="仿宋_GB2312" w:hAnsi="仿宋_GB2312" w:eastAsia="仿宋_GB2312"/>
                <w:b w:val="0"/>
                <w:sz w:val="24"/>
              </w:rPr>
              <w:t>减：未实现融资收益</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加：未担保余值的现值</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租赁投资净额</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项目</w:t>
            </w:r>
          </w:p>
        </w:tc>
        <w:tc>
          <w:tcPr>
            <w:tcW w:type="dxa" w:w="4201"/>
            <w:tcBorders>
              <w:bottom w:val="single" w:sz="4" w:space="0" w:color="000000"/>
            </w:tcBorders>
          </w:tcPr>
          <w:p>
            <w:pPr>
              <w:jc w:val="center"/>
            </w:pPr>
            <w:r/>
            <w:r>
              <w:rPr>
                <w:rFonts w:ascii="仿宋_GB2312" w:hAnsi="仿宋_GB2312" w:eastAsia="仿宋_GB2312"/>
                <w:b/>
                <w:sz w:val="24"/>
              </w:rPr>
              <w:t>金额</w:t>
            </w:r>
          </w:p>
        </w:tc>
      </w:tr>
      <w:tr>
        <w:trPr>
          <w:trHeight w:val="397" w:hRule="exact"/>
          <w:cantSplit/>
        </w:trPr>
        <w:tc>
          <w:tcPr>
            <w:tcW w:type="dxa" w:w="4201"/>
          </w:tcPr>
          <w:p>
            <w:r/>
            <w:r>
              <w:rPr>
                <w:rFonts w:ascii="仿宋_GB2312" w:hAnsi="仿宋_GB2312" w:eastAsia="仿宋_GB2312"/>
                <w:b w:val="0"/>
                <w:sz w:val="24"/>
              </w:rPr>
              <w:t>一、收入情况</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租赁收入</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其中：未计入租赁收款额的可变租赁付款额相关的收入</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二、资产负债表日后将收到的未折现租赁收款额</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第1年</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第2年</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第3年</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第4年</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第5年</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5年以上</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111、（3）其他数据资源相关信息</w:t>
      </w:r>
      <w:bookmarkStart w:id="41744" w:name="note_section_八、88"/>
      <w:bookmarkEnd w:id="41744"/>
    </w:p>
    <w:p>
      <w:pPr>
        <w:spacing w:before="0" w:after="240" w:line="240" w:lineRule="auto"/>
      </w:pPr>
      <w:r>
        <w:rPr>
          <w:rFonts w:ascii="仿宋_GB2312" w:hAnsi="仿宋_GB2312" w:eastAsia="仿宋_GB2312"/>
          <w:b w:val="0"/>
          <w:sz w:val="24"/>
        </w:rPr>
        <w:t>企业对数据资源进行评估且评估结果对企业财务报表具有重要影响的，应当披露评估依据的信息来源，评估结论成立的假设前提和限制条件，评估方法的选择，各重要参数的来源、分析、比较与测算过程等信息。</w:t>
        <w:br/>
        <w:br/>
        <w:t>企业可以根据实际情况，自愿披露数据资源（含未作为无形资产或存货确认的数据资源）下列相关信息：</w:t>
        <w:br/>
        <w:br/>
        <w:t>（1）数据资源的应用场景或业务模式、对企业创造价值的影响方式，与数据资源应用场景相关的宏观经济和行业领域前景等。</w:t>
        <w:br/>
        <w:br/>
        <w:t>（2）用于形成相关数据资源的原始数据的类型、规模、来源、权属、质量等信息。</w:t>
        <w:br/>
        <w:br/>
        <w:t>（3）企业对数据资源的加工维护和安全保护情况，以及相关人才、关键技术等的持有和投入情况。</w:t>
        <w:br/>
        <w:br/>
        <w:t>（4）数据资源的应用情况，包括数据资源相关产品或服务等的运营应用、作价出资、流通交易、服务计费方式等情况。</w:t>
        <w:br/>
        <w:br/>
        <w:t>（5）重大交易事项中涉及的数据资源对该交易事项的影响及风险分析，重大交易事项包括但不限于企业的经营活动、投融资活动、质押融资、关联方及关联交易、承诺事项、或有事项、债务重组、资产置换等。</w:t>
        <w:br/>
        <w:br/>
        <w:t>（6）数据资源相关权利的失效情况及失效事由、对企业的影响及风险分析等，如数据资源已确认为资产的，还包括相关资产的账面原值及累计摊销、减值准备或跌价准备、失效部分的会计处理。</w:t>
        <w:br/>
        <w:br/>
        <w:t>（7）数据资源转让、许可或应用所涉及的地域限制、领域限制及法律法规限制等权利限制。</w:t>
        <w:br/>
        <w:br/>
        <w:t>（8）企业认为有必要披露的其他数据资源相关信息。</w:t>
      </w:r>
    </w:p>
    <w:p>
      <w:pPr>
        <w:spacing w:before="120" w:after="240" w:line="240" w:lineRule="auto"/>
      </w:pPr>
      <w:r>
        <w:rPr>
          <w:rFonts w:ascii="仿宋_GB2312" w:hAnsi="仿宋_GB2312" w:eastAsia="仿宋_GB2312"/>
          <w:b/>
          <w:sz w:val="24"/>
        </w:rPr>
        <w:t>112、终止经营</w:t>
      </w:r>
      <w:bookmarkStart w:id="39461" w:name="note_section_八、89"/>
      <w:bookmarkEnd w:id="39461"/>
    </w:p>
    <w:p>
      <w:pPr>
        <w:spacing w:before="0" w:after="240" w:line="240" w:lineRule="auto"/>
      </w:pPr>
      <w:r>
        <w:rPr>
          <w:rFonts w:ascii="仿宋_GB2312" w:hAnsi="仿宋_GB2312" w:eastAsia="仿宋_GB2312"/>
          <w:b w:val="0"/>
          <w:sz w:val="24"/>
        </w:rPr>
        <w:t>注：1.应披露终止经营的资产（或处置组）确认的减值损失及其转回金额。</w:t>
        <w:br/>
        <w:br/>
        <w:t>2.终止经营的项目或资产应逐一在报告中披露。</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一、终止经营收入</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减：终止成本及经营费用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二、来自于终止经营业务的利润总额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减：终止经营所得税费用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三、终止经营净利润</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其中：归属于母公司的终止经营净利润</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加：处置业务的净收益（税后）</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其中：处置损益总额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减：所得税费用（或收益）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四、来自已终止经营业务的净利润总计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其中：归属于母公司所有者的来自于已终止经营业务的净利润总计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五、终止经营的现金流量净额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其中：经营活动现金流量净额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投资活动现金流量净额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筹资活动现金流量净额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113、其他应收款</w:t>
      </w:r>
      <w:bookmarkStart w:id="23472" w:name="note_section_八、9"/>
      <w:bookmarkEnd w:id="23472"/>
    </w:p>
    <w:p>
      <w:pPr>
        <w:spacing w:before="0" w:after="240" w:line="240" w:lineRule="auto"/>
      </w:pPr>
      <w:r>
        <w:rPr>
          <w:rFonts w:ascii="仿宋_GB2312" w:hAnsi="仿宋_GB2312" w:eastAsia="仿宋_GB2312"/>
          <w:b w:val="0"/>
          <w:sz w:val="24"/>
        </w:rPr>
        <w:t>应收利息</w:t>
        <w:br/>
        <w:br/>
        <w:t>#### 应收利息分类</w:t>
        <w:br/>
        <w:br/>
        <w:t>#### 重要逾期利息</w:t>
        <w:br/>
        <w:br/>
        <w:t>应收股利</w:t>
        <w:br/>
        <w:br/>
        <w:t>其他应收款项</w:t>
        <w:br/>
        <w:br/>
        <w:t>单项计提坏账准备的其他应收款项</w:t>
        <w:br/>
        <w:br/>
        <w:t>按信用风险特征组合计提坏账准备的其他应收款项</w:t>
        <w:br/>
        <w:br/>
        <w:t>#### 采用余额百分比法或其他组合方法计提坏账准备的其他应收款项</w:t>
        <w:br/>
        <w:br/>
        <w:t>收回或转回的坏账准备</w:t>
        <w:br/>
        <w:br/>
        <w:t>本期实际核销的其他应收款项</w:t>
        <w:br/>
        <w:br/>
        <w:t>按欠款方归集的期末余额前五名的其他应收款项</w:t>
        <w:br/>
        <w:br/>
        <w:t>企业应披露涉及政府补助的应收款项</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应收利息</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应收股利</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其他应收款项</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定期存款</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委托贷款</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债券投资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减：坏账准备</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借款单位</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借款单位</w:t>
            </w:r>
          </w:p>
        </w:tc>
        <w:tc>
          <w:tcPr>
            <w:tcW w:type="dxa" w:w="1680"/>
            <w:tcBorders>
              <w:bottom w:val="single" w:sz="4" w:space="0" w:color="000000"/>
            </w:tcBorders>
          </w:tcPr>
          <w:p>
            <w:pPr>
              <w:jc w:val="center"/>
            </w:pPr>
            <w:r/>
            <w:r>
              <w:rPr>
                <w:rFonts w:ascii="仿宋_GB2312" w:hAnsi="仿宋_GB2312" w:eastAsia="仿宋_GB2312"/>
                <w:b/>
                <w:sz w:val="24"/>
              </w:rPr>
              <w:t>期末余额</w:t>
            </w:r>
          </w:p>
        </w:tc>
        <w:tc>
          <w:tcPr>
            <w:tcW w:type="dxa" w:w="1680"/>
            <w:tcBorders>
              <w:bottom w:val="single" w:sz="4" w:space="0" w:color="000000"/>
            </w:tcBorders>
          </w:tcPr>
          <w:p>
            <w:pPr>
              <w:jc w:val="center"/>
            </w:pPr>
            <w:r/>
            <w:r>
              <w:rPr>
                <w:rFonts w:ascii="仿宋_GB2312" w:hAnsi="仿宋_GB2312" w:eastAsia="仿宋_GB2312"/>
                <w:b/>
                <w:sz w:val="24"/>
              </w:rPr>
              <w:t>逾期时间（月）</w:t>
            </w:r>
          </w:p>
        </w:tc>
        <w:tc>
          <w:tcPr>
            <w:tcW w:type="dxa" w:w="1680"/>
            <w:tcBorders>
              <w:bottom w:val="single" w:sz="4" w:space="0" w:color="000000"/>
            </w:tcBorders>
          </w:tcPr>
          <w:p>
            <w:pPr>
              <w:jc w:val="center"/>
            </w:pPr>
            <w:r/>
            <w:r>
              <w:rPr>
                <w:rFonts w:ascii="仿宋_GB2312" w:hAnsi="仿宋_GB2312" w:eastAsia="仿宋_GB2312"/>
                <w:b/>
                <w:sz w:val="24"/>
              </w:rPr>
              <w:t>逾期原因</w:t>
            </w:r>
          </w:p>
        </w:tc>
        <w:tc>
          <w:tcPr>
            <w:tcW w:type="dxa" w:w="1680"/>
            <w:tcBorders>
              <w:bottom w:val="single" w:sz="4" w:space="0" w:color="000000"/>
            </w:tcBorders>
          </w:tcPr>
          <w:p>
            <w:pPr>
              <w:jc w:val="center"/>
            </w:pPr>
            <w:r/>
            <w:r>
              <w:rPr>
                <w:rFonts w:ascii="仿宋_GB2312" w:hAnsi="仿宋_GB2312" w:eastAsia="仿宋_GB2312"/>
                <w:b/>
                <w:sz w:val="24"/>
              </w:rPr>
              <w:t>是否发生减值及其判断依据</w:t>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坏账准备</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坏账准备</w:t>
            </w:r>
          </w:p>
        </w:tc>
        <w:tc>
          <w:tcPr>
            <w:tcW w:type="dxa" w:w="1680"/>
            <w:tcBorders>
              <w:bottom w:val="single" w:sz="4" w:space="0" w:color="000000"/>
            </w:tcBorders>
          </w:tcPr>
          <w:p>
            <w:pPr>
              <w:jc w:val="center"/>
            </w:pPr>
            <w:r/>
            <w:r>
              <w:rPr>
                <w:rFonts w:ascii="仿宋_GB2312" w:hAnsi="仿宋_GB2312" w:eastAsia="仿宋_GB2312"/>
                <w:b/>
                <w:sz w:val="24"/>
              </w:rPr>
              <w:t>第一阶段</w:t>
            </w:r>
          </w:p>
        </w:tc>
        <w:tc>
          <w:tcPr>
            <w:tcW w:type="dxa" w:w="1680"/>
            <w:tcBorders>
              <w:bottom w:val="single" w:sz="4" w:space="0" w:color="000000"/>
            </w:tcBorders>
          </w:tcPr>
          <w:p>
            <w:pPr>
              <w:jc w:val="center"/>
            </w:pPr>
            <w:r/>
            <w:r>
              <w:rPr>
                <w:rFonts w:ascii="仿宋_GB2312" w:hAnsi="仿宋_GB2312" w:eastAsia="仿宋_GB2312"/>
                <w:b/>
                <w:sz w:val="24"/>
              </w:rPr>
              <w:t>第二阶段</w:t>
            </w:r>
          </w:p>
        </w:tc>
        <w:tc>
          <w:tcPr>
            <w:tcW w:type="dxa" w:w="1680"/>
            <w:tcBorders>
              <w:bottom w:val="single" w:sz="4" w:space="0" w:color="000000"/>
            </w:tcBorders>
          </w:tcPr>
          <w:p>
            <w:pPr>
              <w:jc w:val="center"/>
            </w:pPr>
            <w:r/>
            <w:r>
              <w:rPr>
                <w:rFonts w:ascii="仿宋_GB2312" w:hAnsi="仿宋_GB2312" w:eastAsia="仿宋_GB2312"/>
                <w:b/>
                <w:sz w:val="24"/>
              </w:rPr>
              <w:t>第三阶段</w:t>
            </w:r>
          </w:p>
        </w:tc>
        <w:tc>
          <w:tcPr>
            <w:tcW w:type="dxa" w:w="1680"/>
            <w:tcBorders>
              <w:bottom w:val="single" w:sz="4" w:space="0" w:color="000000"/>
            </w:tcBorders>
          </w:tcPr>
          <w:p>
            <w:pPr>
              <w:jc w:val="center"/>
            </w:pPr>
            <w:r/>
            <w:r>
              <w:rPr>
                <w:rFonts w:ascii="仿宋_GB2312" w:hAnsi="仿宋_GB2312" w:eastAsia="仿宋_GB2312"/>
                <w:b/>
                <w:sz w:val="24"/>
              </w:rPr>
              <w:t>合计</w:t>
            </w:r>
          </w:p>
        </w:tc>
      </w:tr>
      <w:tr>
        <w:trPr>
          <w:trHeight w:val="397" w:hRule="exact"/>
          <w:cantSplit/>
        </w:trPr>
        <w:tc>
          <w:tcPr>
            <w:tcW w:type="dxa" w:w="1680"/>
          </w:tcPr>
          <w:p>
            <w:r/>
            <w:r>
              <w:rPr>
                <w:rFonts w:ascii="仿宋_GB2312" w:hAnsi="仿宋_GB2312" w:eastAsia="仿宋_GB2312"/>
                <w:b w:val="0"/>
                <w:sz w:val="24"/>
              </w:rPr>
              <w:t>坏账准备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期初余额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期初余额在本期</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—转入第二阶段</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—转入第三阶段</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—转回第二阶段</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—转回第一阶段</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本期计提</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本期转回</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本期转销</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本期核销</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其他变动</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期末余额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期末余额</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未收回的原因</w:t>
            </w:r>
          </w:p>
        </w:tc>
        <w:tc>
          <w:tcPr>
            <w:tcW w:type="dxa" w:w="1680"/>
            <w:tcBorders>
              <w:bottom w:val="single" w:sz="4" w:space="0" w:color="000000"/>
            </w:tcBorders>
          </w:tcPr>
          <w:p>
            <w:pPr>
              <w:jc w:val="center"/>
            </w:pPr>
            <w:r/>
            <w:r>
              <w:rPr>
                <w:rFonts w:ascii="仿宋_GB2312" w:hAnsi="仿宋_GB2312" w:eastAsia="仿宋_GB2312"/>
                <w:b/>
                <w:sz w:val="24"/>
              </w:rPr>
              <w:t>是否发生减值及其判断依据</w:t>
            </w:r>
          </w:p>
        </w:tc>
      </w:tr>
      <w:tr>
        <w:trPr>
          <w:trHeight w:val="397" w:hRule="exact"/>
          <w:cantSplit/>
        </w:trPr>
        <w:tc>
          <w:tcPr>
            <w:tcW w:type="dxa" w:w="1680"/>
          </w:tcPr>
          <w:p>
            <w:r/>
            <w:r>
              <w:rPr>
                <w:rFonts w:ascii="仿宋_GB2312" w:hAnsi="仿宋_GB2312" w:eastAsia="仿宋_GB2312"/>
                <w:b w:val="0"/>
                <w:sz w:val="24"/>
              </w:rPr>
              <w:t>账龄一年以内的应收股利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其中：（1）</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账龄一年以上的应收股利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其中：（1）</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小计：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减：坏账准备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账  龄</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账龄</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1年以内（含1年）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1至2年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2至3年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3年以上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类  别</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类别</w:t>
            </w:r>
          </w:p>
        </w:tc>
        <w:tc>
          <w:tcPr>
            <w:tcW w:type="dxa" w:w="4201"/>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4201"/>
          </w:tcPr>
          <w:p>
            <w:r/>
            <w:r>
              <w:rPr>
                <w:rFonts w:ascii="仿宋_GB2312" w:hAnsi="仿宋_GB2312" w:eastAsia="仿宋_GB2312"/>
                <w:b w:val="0"/>
                <w:sz w:val="24"/>
              </w:rPr>
              <w:t>类别</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类别</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单项计提坏账准备的其他应收款项</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按信用风险特征组合计提坏账准备的其他应收款项</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合计</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其他应收款（续）类  别</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类别</w:t>
            </w:r>
          </w:p>
        </w:tc>
        <w:tc>
          <w:tcPr>
            <w:tcW w:type="dxa" w:w="42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4201"/>
          </w:tcPr>
          <w:p>
            <w:r/>
            <w:r>
              <w:rPr>
                <w:rFonts w:ascii="仿宋_GB2312" w:hAnsi="仿宋_GB2312" w:eastAsia="仿宋_GB2312"/>
                <w:b w:val="0"/>
                <w:sz w:val="24"/>
              </w:rPr>
              <w:t>类别</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类别</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单项计提坏账准备的其他应收款项</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按信用风险特征组合计提坏账准备的其他应收款项</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合计</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其他应收款（续）债务人名称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债务人名称</w:t>
            </w:r>
          </w:p>
        </w:tc>
        <w:tc>
          <w:tcPr>
            <w:tcW w:type="dxa" w:w="4201"/>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4201"/>
          </w:tcPr>
          <w:p>
            <w:r/>
            <w:r>
              <w:rPr>
                <w:rFonts w:ascii="仿宋_GB2312" w:hAnsi="仿宋_GB2312" w:eastAsia="仿宋_GB2312"/>
                <w:b w:val="0"/>
                <w:sz w:val="24"/>
              </w:rPr>
              <w:t>债务人名称</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合计</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其他应收款（续）账  龄</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账龄</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账龄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账龄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1年以内（含1年）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1至2年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2至3年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3年以上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其他应收款（续）组合名称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组合名称</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组合名称</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其他应收款（续）坏账准备</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坏账准备</w:t>
            </w:r>
          </w:p>
        </w:tc>
        <w:tc>
          <w:tcPr>
            <w:tcW w:type="dxa" w:w="1680"/>
            <w:tcBorders>
              <w:bottom w:val="single" w:sz="4" w:space="0" w:color="000000"/>
            </w:tcBorders>
          </w:tcPr>
          <w:p>
            <w:pPr>
              <w:jc w:val="center"/>
            </w:pPr>
            <w:r/>
            <w:r>
              <w:rPr>
                <w:rFonts w:ascii="仿宋_GB2312" w:hAnsi="仿宋_GB2312" w:eastAsia="仿宋_GB2312"/>
                <w:b/>
                <w:sz w:val="24"/>
              </w:rPr>
              <w:t>第一阶段</w:t>
            </w:r>
          </w:p>
        </w:tc>
        <w:tc>
          <w:tcPr>
            <w:tcW w:type="dxa" w:w="1680"/>
            <w:tcBorders>
              <w:bottom w:val="single" w:sz="4" w:space="0" w:color="000000"/>
            </w:tcBorders>
          </w:tcPr>
          <w:p>
            <w:pPr>
              <w:jc w:val="center"/>
            </w:pPr>
            <w:r/>
            <w:r>
              <w:rPr>
                <w:rFonts w:ascii="仿宋_GB2312" w:hAnsi="仿宋_GB2312" w:eastAsia="仿宋_GB2312"/>
                <w:b/>
                <w:sz w:val="24"/>
              </w:rPr>
              <w:t>第二阶段</w:t>
            </w:r>
          </w:p>
        </w:tc>
        <w:tc>
          <w:tcPr>
            <w:tcW w:type="dxa" w:w="1680"/>
            <w:tcBorders>
              <w:bottom w:val="single" w:sz="4" w:space="0" w:color="000000"/>
            </w:tcBorders>
          </w:tcPr>
          <w:p>
            <w:pPr>
              <w:jc w:val="center"/>
            </w:pPr>
            <w:r/>
            <w:r>
              <w:rPr>
                <w:rFonts w:ascii="仿宋_GB2312" w:hAnsi="仿宋_GB2312" w:eastAsia="仿宋_GB2312"/>
                <w:b/>
                <w:sz w:val="24"/>
              </w:rPr>
              <w:t>第三阶段</w:t>
            </w:r>
          </w:p>
        </w:tc>
        <w:tc>
          <w:tcPr>
            <w:tcW w:type="dxa" w:w="1680"/>
            <w:tcBorders>
              <w:bottom w:val="single" w:sz="4" w:space="0" w:color="000000"/>
            </w:tcBorders>
          </w:tcPr>
          <w:p>
            <w:pPr>
              <w:jc w:val="center"/>
            </w:pPr>
            <w:r/>
            <w:r>
              <w:rPr>
                <w:rFonts w:ascii="仿宋_GB2312" w:hAnsi="仿宋_GB2312" w:eastAsia="仿宋_GB2312"/>
                <w:b/>
                <w:sz w:val="24"/>
              </w:rPr>
              <w:t>合计</w:t>
            </w:r>
          </w:p>
        </w:tc>
      </w:tr>
      <w:tr>
        <w:trPr>
          <w:trHeight w:val="397" w:hRule="exact"/>
          <w:cantSplit/>
        </w:trPr>
        <w:tc>
          <w:tcPr>
            <w:tcW w:type="dxa" w:w="1680"/>
          </w:tcPr>
          <w:p>
            <w:r/>
            <w:r>
              <w:rPr>
                <w:rFonts w:ascii="仿宋_GB2312" w:hAnsi="仿宋_GB2312" w:eastAsia="仿宋_GB2312"/>
                <w:b w:val="0"/>
                <w:sz w:val="24"/>
              </w:rPr>
              <w:t>坏账准备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期初余额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期初余额在本期</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—转入第二阶段</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—转入第三阶段</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—转回第二阶段</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—转回第一阶段</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本期计提</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本期转回</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本期转销</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本期核销</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其他变动</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期末余额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其他应收款（续）债务人名称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债务人名称</w:t>
            </w:r>
          </w:p>
        </w:tc>
        <w:tc>
          <w:tcPr>
            <w:tcW w:type="dxa" w:w="2100"/>
            <w:tcBorders>
              <w:bottom w:val="single" w:sz="4" w:space="0" w:color="000000"/>
            </w:tcBorders>
          </w:tcPr>
          <w:p>
            <w:pPr>
              <w:jc w:val="center"/>
            </w:pPr>
            <w:r/>
            <w:r>
              <w:rPr>
                <w:rFonts w:ascii="仿宋_GB2312" w:hAnsi="仿宋_GB2312" w:eastAsia="仿宋_GB2312"/>
                <w:b/>
                <w:sz w:val="24"/>
              </w:rPr>
              <w:t>转回或收回金额</w:t>
            </w:r>
          </w:p>
        </w:tc>
        <w:tc>
          <w:tcPr>
            <w:tcW w:type="dxa" w:w="2100"/>
            <w:tcBorders>
              <w:bottom w:val="single" w:sz="4" w:space="0" w:color="000000"/>
            </w:tcBorders>
          </w:tcPr>
          <w:p>
            <w:pPr>
              <w:jc w:val="center"/>
            </w:pPr>
            <w:r/>
            <w:r>
              <w:rPr>
                <w:rFonts w:ascii="仿宋_GB2312" w:hAnsi="仿宋_GB2312" w:eastAsia="仿宋_GB2312"/>
                <w:b/>
                <w:sz w:val="24"/>
              </w:rPr>
              <w:t>转回或收回前累计&lt;br/&gt;已计提坏账准备金额</w:t>
            </w:r>
          </w:p>
        </w:tc>
        <w:tc>
          <w:tcPr>
            <w:tcW w:type="dxa" w:w="2100"/>
            <w:tcBorders>
              <w:bottom w:val="single" w:sz="4" w:space="0" w:color="000000"/>
            </w:tcBorders>
          </w:tcPr>
          <w:p>
            <w:pPr>
              <w:jc w:val="center"/>
            </w:pPr>
            <w:r/>
            <w:r>
              <w:rPr>
                <w:rFonts w:ascii="仿宋_GB2312" w:hAnsi="仿宋_GB2312" w:eastAsia="仿宋_GB2312"/>
                <w:b/>
                <w:sz w:val="24"/>
              </w:rPr>
              <w:t>转回或收回&lt;br/&gt;原因、方式</w:t>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其他应收款（续）债务人名称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债务人名称</w:t>
            </w:r>
          </w:p>
        </w:tc>
        <w:tc>
          <w:tcPr>
            <w:tcW w:type="dxa" w:w="1400"/>
            <w:tcBorders>
              <w:bottom w:val="single" w:sz="4" w:space="0" w:color="000000"/>
            </w:tcBorders>
          </w:tcPr>
          <w:p>
            <w:pPr>
              <w:jc w:val="center"/>
            </w:pPr>
            <w:r/>
            <w:r>
              <w:rPr>
                <w:rFonts w:ascii="仿宋_GB2312" w:hAnsi="仿宋_GB2312" w:eastAsia="仿宋_GB2312"/>
                <w:b/>
                <w:sz w:val="24"/>
              </w:rPr>
              <w:t>其他应收款项&lt;br/&gt;性质</w:t>
            </w:r>
          </w:p>
        </w:tc>
        <w:tc>
          <w:tcPr>
            <w:tcW w:type="dxa" w:w="1400"/>
            <w:tcBorders>
              <w:bottom w:val="single" w:sz="4" w:space="0" w:color="000000"/>
            </w:tcBorders>
          </w:tcPr>
          <w:p>
            <w:pPr>
              <w:jc w:val="center"/>
            </w:pPr>
            <w:r/>
            <w:r>
              <w:rPr>
                <w:rFonts w:ascii="仿宋_GB2312" w:hAnsi="仿宋_GB2312" w:eastAsia="仿宋_GB2312"/>
                <w:b/>
                <w:sz w:val="24"/>
              </w:rPr>
              <w:t>核销金额</w:t>
            </w:r>
          </w:p>
        </w:tc>
        <w:tc>
          <w:tcPr>
            <w:tcW w:type="dxa" w:w="1400"/>
            <w:tcBorders>
              <w:bottom w:val="single" w:sz="4" w:space="0" w:color="000000"/>
            </w:tcBorders>
          </w:tcPr>
          <w:p>
            <w:pPr>
              <w:jc w:val="center"/>
            </w:pPr>
            <w:r/>
            <w:r>
              <w:rPr>
                <w:rFonts w:ascii="仿宋_GB2312" w:hAnsi="仿宋_GB2312" w:eastAsia="仿宋_GB2312"/>
                <w:b/>
                <w:sz w:val="24"/>
              </w:rPr>
              <w:t>核销原因</w:t>
            </w:r>
          </w:p>
        </w:tc>
        <w:tc>
          <w:tcPr>
            <w:tcW w:type="dxa" w:w="1400"/>
            <w:tcBorders>
              <w:bottom w:val="single" w:sz="4" w:space="0" w:color="000000"/>
            </w:tcBorders>
          </w:tcPr>
          <w:p>
            <w:pPr>
              <w:jc w:val="center"/>
            </w:pPr>
            <w:r/>
            <w:r>
              <w:rPr>
                <w:rFonts w:ascii="仿宋_GB2312" w:hAnsi="仿宋_GB2312" w:eastAsia="仿宋_GB2312"/>
                <w:b/>
                <w:sz w:val="24"/>
              </w:rPr>
              <w:t>履行的核销程序</w:t>
            </w:r>
          </w:p>
        </w:tc>
        <w:tc>
          <w:tcPr>
            <w:tcW w:type="dxa" w:w="1400"/>
            <w:tcBorders>
              <w:bottom w:val="single" w:sz="4" w:space="0" w:color="000000"/>
            </w:tcBorders>
          </w:tcPr>
          <w:p>
            <w:pPr>
              <w:jc w:val="center"/>
            </w:pPr>
            <w:r/>
            <w:r>
              <w:rPr>
                <w:rFonts w:ascii="仿宋_GB2312" w:hAnsi="仿宋_GB2312" w:eastAsia="仿宋_GB2312"/>
                <w:b/>
                <w:sz w:val="24"/>
              </w:rPr>
              <w:t>是否因关联&lt;br/&gt;交易产生</w:t>
            </w:r>
          </w:p>
        </w:tc>
      </w:tr>
      <w:tr>
        <w:trPr>
          <w:trHeight w:val="397" w:hRule="exact"/>
          <w:cantSplit/>
        </w:trPr>
        <w:tc>
          <w:tcPr>
            <w:tcW w:type="dxa" w:w="1400"/>
          </w:tcPr>
          <w:p>
            <w:r/>
            <w:r>
              <w:rPr>
                <w:rFonts w:ascii="仿宋_GB2312" w:hAnsi="仿宋_GB2312" w:eastAsia="仿宋_GB2312"/>
                <w:b w:val="0"/>
                <w:sz w:val="24"/>
              </w:rPr>
              <w:t>合计</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其他应收款（续）债务人名称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债务人名称</w:t>
            </w:r>
          </w:p>
        </w:tc>
        <w:tc>
          <w:tcPr>
            <w:tcW w:type="dxa" w:w="1400"/>
            <w:tcBorders>
              <w:bottom w:val="single" w:sz="4" w:space="0" w:color="000000"/>
            </w:tcBorders>
          </w:tcPr>
          <w:p>
            <w:pPr>
              <w:jc w:val="center"/>
            </w:pPr>
            <w:r/>
            <w:r>
              <w:rPr>
                <w:rFonts w:ascii="仿宋_GB2312" w:hAnsi="仿宋_GB2312" w:eastAsia="仿宋_GB2312"/>
                <w:b/>
                <w:sz w:val="24"/>
              </w:rPr>
              <w:t>款项性质</w:t>
            </w:r>
          </w:p>
        </w:tc>
        <w:tc>
          <w:tcPr>
            <w:tcW w:type="dxa" w:w="1400"/>
            <w:tcBorders>
              <w:bottom w:val="single" w:sz="4" w:space="0" w:color="000000"/>
            </w:tcBorders>
          </w:tcPr>
          <w:p>
            <w:pPr>
              <w:jc w:val="center"/>
            </w:pPr>
            <w:r/>
            <w:r>
              <w:rPr>
                <w:rFonts w:ascii="仿宋_GB2312" w:hAnsi="仿宋_GB2312" w:eastAsia="仿宋_GB2312"/>
                <w:b/>
                <w:sz w:val="24"/>
              </w:rPr>
              <w:t>账面余额</w:t>
            </w:r>
          </w:p>
        </w:tc>
        <w:tc>
          <w:tcPr>
            <w:tcW w:type="dxa" w:w="1400"/>
            <w:tcBorders>
              <w:bottom w:val="single" w:sz="4" w:space="0" w:color="000000"/>
            </w:tcBorders>
          </w:tcPr>
          <w:p>
            <w:pPr>
              <w:jc w:val="center"/>
            </w:pPr>
            <w:r/>
            <w:r>
              <w:rPr>
                <w:rFonts w:ascii="仿宋_GB2312" w:hAnsi="仿宋_GB2312" w:eastAsia="仿宋_GB2312"/>
                <w:b/>
                <w:sz w:val="24"/>
              </w:rPr>
              <w:t>账龄</w:t>
            </w:r>
          </w:p>
        </w:tc>
        <w:tc>
          <w:tcPr>
            <w:tcW w:type="dxa" w:w="1400"/>
            <w:tcBorders>
              <w:bottom w:val="single" w:sz="4" w:space="0" w:color="000000"/>
            </w:tcBorders>
          </w:tcPr>
          <w:p>
            <w:pPr>
              <w:jc w:val="center"/>
            </w:pPr>
            <w:r/>
            <w:r>
              <w:rPr>
                <w:rFonts w:ascii="仿宋_GB2312" w:hAnsi="仿宋_GB2312" w:eastAsia="仿宋_GB2312"/>
                <w:b/>
                <w:sz w:val="24"/>
              </w:rPr>
              <w:t>占其他应收款项合计的比例（%）</w:t>
            </w:r>
          </w:p>
        </w:tc>
        <w:tc>
          <w:tcPr>
            <w:tcW w:type="dxa" w:w="1400"/>
            <w:tcBorders>
              <w:bottom w:val="single" w:sz="4" w:space="0" w:color="000000"/>
            </w:tcBorders>
          </w:tcPr>
          <w:p>
            <w:pPr>
              <w:jc w:val="center"/>
            </w:pPr>
            <w:r/>
            <w:r>
              <w:rPr>
                <w:rFonts w:ascii="仿宋_GB2312" w:hAnsi="仿宋_GB2312" w:eastAsia="仿宋_GB2312"/>
                <w:b/>
                <w:sz w:val="24"/>
              </w:rPr>
              <w:t>坏账准备</w:t>
            </w:r>
          </w:p>
        </w:tc>
      </w:tr>
      <w:tr>
        <w:trPr>
          <w:trHeight w:val="397" w:hRule="exact"/>
          <w:cantSplit/>
        </w:trPr>
        <w:tc>
          <w:tcPr>
            <w:tcW w:type="dxa" w:w="1400"/>
          </w:tcPr>
          <w:p>
            <w:r/>
            <w:r>
              <w:rPr>
                <w:rFonts w:ascii="仿宋_GB2312" w:hAnsi="仿宋_GB2312" w:eastAsia="仿宋_GB2312"/>
                <w:b w:val="0"/>
                <w:sz w:val="24"/>
              </w:rPr>
              <w:t>合计</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114、分部信息</w:t>
      </w:r>
      <w:bookmarkStart w:id="14917" w:name="note_section_八、90"/>
      <w:bookmarkEnd w:id="14917"/>
    </w:p>
    <w:p>
      <w:pPr>
        <w:spacing w:before="0" w:after="240" w:line="240" w:lineRule="auto"/>
      </w:pPr>
      <w:r>
        <w:rPr>
          <w:rFonts w:ascii="仿宋_GB2312" w:hAnsi="仿宋_GB2312" w:eastAsia="仿宋_GB2312"/>
          <w:b w:val="0"/>
          <w:sz w:val="24"/>
        </w:rPr>
        <w:t>【除已经作为报告分部信息组成部分的披露内容外，企业还应当披露下列信息：</w:t>
        <w:br/>
        <w:br/>
        <w:t>1.每一产品和劳务或每一类似产品和劳务的对外交易收入；</w:t>
        <w:br/>
        <w:br/>
        <w:t>2.企业取得的来自于本国的对外交易收入总额，以及企业从其他国家或地区取得的对外交易收入总额；</w:t>
        <w:br/>
        <w:br/>
        <w:t>3.企业取得的位于本国的非流动资产（不包括金融资产、独立账户资产、递延所得税资产）总额，以及企业位于其他国家或地区的非流动资产（不包括金融资产、独立账户资产、递延所得税资产）总额；</w:t>
        <w:br/>
        <w:br/>
        <w:t>4.企业对主要客户的依赖程度。】</w:t>
        <w:br/>
        <w:br/>
        <w:t>参考披露格式如下：</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项目</w:t>
            </w:r>
          </w:p>
        </w:tc>
        <w:tc>
          <w:tcPr>
            <w:tcW w:type="dxa" w:w="2100"/>
            <w:tcBorders>
              <w:bottom w:val="single" w:sz="4" w:space="0" w:color="000000"/>
            </w:tcBorders>
          </w:tcPr>
          <w:p>
            <w:pPr>
              <w:jc w:val="center"/>
            </w:pPr>
            <w:r/>
            <w:r>
              <w:rPr>
                <w:rFonts w:ascii="仿宋_GB2312" w:hAnsi="仿宋_GB2312" w:eastAsia="仿宋_GB2312"/>
                <w:b/>
                <w:sz w:val="24"/>
              </w:rPr>
              <w:t>××业务</w:t>
            </w:r>
          </w:p>
        </w:tc>
        <w:tc>
          <w:tcPr>
            <w:tcW w:type="dxa" w:w="2100"/>
            <w:tcBorders>
              <w:bottom w:val="single" w:sz="4" w:space="0" w:color="000000"/>
            </w:tcBorders>
          </w:tcPr>
          <w:p>
            <w:pPr>
              <w:jc w:val="center"/>
            </w:pPr>
            <w:r/>
            <w:r>
              <w:rPr>
                <w:rFonts w:ascii="仿宋_GB2312" w:hAnsi="仿宋_GB2312" w:eastAsia="仿宋_GB2312"/>
                <w:b/>
                <w:sz w:val="24"/>
              </w:rPr>
              <w:t>××业务</w:t>
            </w:r>
          </w:p>
        </w:tc>
        <w:tc>
          <w:tcPr>
            <w:tcW w:type="dxa" w:w="2100"/>
            <w:tcBorders>
              <w:bottom w:val="single" w:sz="4" w:space="0" w:color="000000"/>
            </w:tcBorders>
          </w:tcPr>
          <w:p>
            <w:pPr>
              <w:jc w:val="center"/>
            </w:pPr>
            <w:r/>
            <w:r>
              <w:rPr>
                <w:rFonts w:ascii="仿宋_GB2312" w:hAnsi="仿宋_GB2312" w:eastAsia="仿宋_GB2312"/>
                <w:b/>
                <w:sz w:val="24"/>
              </w:rPr>
              <w:t>其他</w:t>
            </w:r>
          </w:p>
        </w:tc>
      </w:tr>
      <w:tr>
        <w:trPr>
          <w:trHeight w:val="397" w:hRule="exact"/>
          <w:cantSplit/>
        </w:trPr>
        <w:tc>
          <w:tcPr>
            <w:tcW w:type="dxa" w:w="2100"/>
          </w:tcPr>
          <w:p>
            <w:r/>
            <w:r>
              <w:rPr>
                <w:rFonts w:ascii="仿宋_GB2312" w:hAnsi="仿宋_GB2312" w:eastAsia="仿宋_GB2312"/>
                <w:b w:val="0"/>
                <w:sz w:val="24"/>
              </w:rPr>
              <w:t>项目</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一、营业收入</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其中：对外交易收入</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分部间交易收入</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二、对联营和合营企业的投资收益</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三、资产减值损失</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四、信用减值损失</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五、折旧费和摊销费</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六、利润总额</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七、所得税费用</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八、净利润</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九、资产总额</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十、负债总额</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十一、其他重要的非现金项目</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其中：折旧费和摊销以外的非现金费用</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对联营企业和合营企业的长期股权投资权益法核算增加额</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本期或本期期末</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本期或本期期末</w:t>
            </w:r>
          </w:p>
        </w:tc>
        <w:tc>
          <w:tcPr>
            <w:tcW w:type="dxa" w:w="1400"/>
            <w:tcBorders>
              <w:bottom w:val="single" w:sz="4" w:space="0" w:color="000000"/>
            </w:tcBorders>
          </w:tcPr>
          <w:p>
            <w:pPr>
              <w:jc w:val="center"/>
            </w:pPr>
            <w:r/>
            <w:r>
              <w:rPr>
                <w:rFonts w:ascii="仿宋_GB2312" w:hAnsi="仿宋_GB2312" w:eastAsia="仿宋_GB2312"/>
                <w:b/>
                <w:sz w:val="24"/>
              </w:rPr>
              <w:t>中国内地</w:t>
            </w:r>
          </w:p>
        </w:tc>
        <w:tc>
          <w:tcPr>
            <w:tcW w:type="dxa" w:w="1400"/>
            <w:tcBorders>
              <w:bottom w:val="single" w:sz="4" w:space="0" w:color="000000"/>
            </w:tcBorders>
          </w:tcPr>
          <w:p>
            <w:pPr>
              <w:jc w:val="center"/>
            </w:pPr>
            <w:r/>
            <w:r>
              <w:rPr>
                <w:rFonts w:ascii="仿宋_GB2312" w:hAnsi="仿宋_GB2312" w:eastAsia="仿宋_GB2312"/>
                <w:b/>
                <w:sz w:val="24"/>
              </w:rPr>
              <w:t>香港、澳门及台湾</w:t>
            </w:r>
          </w:p>
        </w:tc>
        <w:tc>
          <w:tcPr>
            <w:tcW w:type="dxa" w:w="1400"/>
            <w:tcBorders>
              <w:bottom w:val="single" w:sz="4" w:space="0" w:color="000000"/>
            </w:tcBorders>
          </w:tcPr>
          <w:p>
            <w:pPr>
              <w:jc w:val="center"/>
            </w:pPr>
            <w:r/>
            <w:r>
              <w:rPr>
                <w:rFonts w:ascii="仿宋_GB2312" w:hAnsi="仿宋_GB2312" w:eastAsia="仿宋_GB2312"/>
                <w:b/>
                <w:sz w:val="24"/>
              </w:rPr>
              <w:t>海外</w:t>
            </w:r>
          </w:p>
        </w:tc>
        <w:tc>
          <w:tcPr>
            <w:tcW w:type="dxa" w:w="1400"/>
            <w:tcBorders>
              <w:bottom w:val="single" w:sz="4" w:space="0" w:color="000000"/>
            </w:tcBorders>
          </w:tcPr>
          <w:p>
            <w:pPr>
              <w:jc w:val="center"/>
            </w:pPr>
            <w:r/>
            <w:r>
              <w:rPr>
                <w:rFonts w:ascii="仿宋_GB2312" w:hAnsi="仿宋_GB2312" w:eastAsia="仿宋_GB2312"/>
                <w:b/>
                <w:sz w:val="24"/>
              </w:rPr>
              <w:t>抵销</w:t>
            </w:r>
          </w:p>
        </w:tc>
        <w:tc>
          <w:tcPr>
            <w:tcW w:type="dxa" w:w="1400"/>
            <w:tcBorders>
              <w:bottom w:val="single" w:sz="4" w:space="0" w:color="000000"/>
            </w:tcBorders>
          </w:tcPr>
          <w:p>
            <w:pPr>
              <w:jc w:val="center"/>
            </w:pPr>
            <w:r/>
            <w:r>
              <w:rPr>
                <w:rFonts w:ascii="仿宋_GB2312" w:hAnsi="仿宋_GB2312" w:eastAsia="仿宋_GB2312"/>
                <w:b/>
                <w:sz w:val="24"/>
              </w:rPr>
              <w:t>合计</w:t>
            </w:r>
          </w:p>
        </w:tc>
      </w:tr>
      <w:tr>
        <w:trPr>
          <w:trHeight w:val="397" w:hRule="exact"/>
          <w:cantSplit/>
        </w:trPr>
        <w:tc>
          <w:tcPr>
            <w:tcW w:type="dxa" w:w="1400"/>
          </w:tcPr>
          <w:p>
            <w:r/>
            <w:r>
              <w:rPr>
                <w:rFonts w:ascii="仿宋_GB2312" w:hAnsi="仿宋_GB2312" w:eastAsia="仿宋_GB2312"/>
                <w:b w:val="0"/>
                <w:sz w:val="24"/>
              </w:rPr>
              <w:t>对外交易收入</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非流动资产</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上期或上期期末</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上期或上期期末</w:t>
            </w:r>
          </w:p>
        </w:tc>
        <w:tc>
          <w:tcPr>
            <w:tcW w:type="dxa" w:w="1400"/>
            <w:tcBorders>
              <w:bottom w:val="single" w:sz="4" w:space="0" w:color="000000"/>
            </w:tcBorders>
          </w:tcPr>
          <w:p>
            <w:pPr>
              <w:jc w:val="center"/>
            </w:pPr>
            <w:r/>
            <w:r>
              <w:rPr>
                <w:rFonts w:ascii="仿宋_GB2312" w:hAnsi="仿宋_GB2312" w:eastAsia="仿宋_GB2312"/>
                <w:b/>
                <w:sz w:val="24"/>
              </w:rPr>
              <w:t>中国内地</w:t>
            </w:r>
          </w:p>
        </w:tc>
        <w:tc>
          <w:tcPr>
            <w:tcW w:type="dxa" w:w="1400"/>
            <w:tcBorders>
              <w:bottom w:val="single" w:sz="4" w:space="0" w:color="000000"/>
            </w:tcBorders>
          </w:tcPr>
          <w:p>
            <w:pPr>
              <w:jc w:val="center"/>
            </w:pPr>
            <w:r/>
            <w:r>
              <w:rPr>
                <w:rFonts w:ascii="仿宋_GB2312" w:hAnsi="仿宋_GB2312" w:eastAsia="仿宋_GB2312"/>
                <w:b/>
                <w:sz w:val="24"/>
              </w:rPr>
              <w:t>香港、澳门及台湾</w:t>
            </w:r>
          </w:p>
        </w:tc>
        <w:tc>
          <w:tcPr>
            <w:tcW w:type="dxa" w:w="1400"/>
            <w:tcBorders>
              <w:bottom w:val="single" w:sz="4" w:space="0" w:color="000000"/>
            </w:tcBorders>
          </w:tcPr>
          <w:p>
            <w:pPr>
              <w:jc w:val="center"/>
            </w:pPr>
            <w:r/>
            <w:r>
              <w:rPr>
                <w:rFonts w:ascii="仿宋_GB2312" w:hAnsi="仿宋_GB2312" w:eastAsia="仿宋_GB2312"/>
                <w:b/>
                <w:sz w:val="24"/>
              </w:rPr>
              <w:t>海外</w:t>
            </w:r>
          </w:p>
        </w:tc>
        <w:tc>
          <w:tcPr>
            <w:tcW w:type="dxa" w:w="1400"/>
            <w:tcBorders>
              <w:bottom w:val="single" w:sz="4" w:space="0" w:color="000000"/>
            </w:tcBorders>
          </w:tcPr>
          <w:p>
            <w:pPr>
              <w:jc w:val="center"/>
            </w:pPr>
            <w:r/>
            <w:r>
              <w:rPr>
                <w:rFonts w:ascii="仿宋_GB2312" w:hAnsi="仿宋_GB2312" w:eastAsia="仿宋_GB2312"/>
                <w:b/>
                <w:sz w:val="24"/>
              </w:rPr>
              <w:t>抵销</w:t>
            </w:r>
          </w:p>
        </w:tc>
        <w:tc>
          <w:tcPr>
            <w:tcW w:type="dxa" w:w="1400"/>
            <w:tcBorders>
              <w:bottom w:val="single" w:sz="4" w:space="0" w:color="000000"/>
            </w:tcBorders>
          </w:tcPr>
          <w:p>
            <w:pPr>
              <w:jc w:val="center"/>
            </w:pPr>
            <w:r/>
            <w:r>
              <w:rPr>
                <w:rFonts w:ascii="仿宋_GB2312" w:hAnsi="仿宋_GB2312" w:eastAsia="仿宋_GB2312"/>
                <w:b/>
                <w:sz w:val="24"/>
              </w:rPr>
              <w:t>合计</w:t>
            </w:r>
          </w:p>
        </w:tc>
      </w:tr>
      <w:tr>
        <w:trPr>
          <w:trHeight w:val="397" w:hRule="exact"/>
          <w:cantSplit/>
        </w:trPr>
        <w:tc>
          <w:tcPr>
            <w:tcW w:type="dxa" w:w="1400"/>
          </w:tcPr>
          <w:p>
            <w:r/>
            <w:r>
              <w:rPr>
                <w:rFonts w:ascii="仿宋_GB2312" w:hAnsi="仿宋_GB2312" w:eastAsia="仿宋_GB2312"/>
                <w:b w:val="0"/>
                <w:sz w:val="24"/>
              </w:rPr>
              <w:t>对外交易收入</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非流动资产</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115、合并现金流量表相关事项</w:t>
      </w:r>
      <w:bookmarkStart w:id="5674" w:name="note_section_八、91"/>
      <w:bookmarkEnd w:id="5674"/>
    </w:p>
    <w:p>
      <w:pPr>
        <w:spacing w:before="0" w:after="240" w:line="240" w:lineRule="auto"/>
      </w:pPr>
      <w:r>
        <w:rPr>
          <w:rFonts w:ascii="仿宋_GB2312" w:hAnsi="仿宋_GB2312" w:eastAsia="仿宋_GB2312"/>
          <w:b w:val="0"/>
          <w:sz w:val="24"/>
        </w:rPr>
        <w:t>### 现金流量表补充资料</w:t>
        <w:br/>
        <w:br/>
        <w:t>【提示：数字货币，根据《企业会计准则第31号——现金流量表》等规定判断是否属于现金及现金等价物。】</w:t>
        <w:br/>
        <w:br/>
        <w:t>### 本期取得子公司和收到处置子公司的现金净额</w:t>
        <w:br/>
        <w:br/>
        <w:t>### 现金和现金等价物的构成</w:t>
        <w:br/>
        <w:br/>
        <w:t>### 供应商融资安排</w:t>
        <w:br/>
        <w:br/>
        <w:t>### 供应商融资安排的条款和条件</w:t>
        <w:br/>
        <w:br/>
        <w:t>供应商融资安排1：反向保理。本公司通过XX银行提供的“eee”供应链金融服务平台办理反向保理业务，为“eee”平台持有的由本公司到期付款的电子债权凭证的卖方提供服务。XX银行收到本公司提供的应收账款信息，通知原始债权人（本公司供应商）通过“eee”平台发起申请生成对应的电子债权凭证，原始债权人提供应收账款信息和贸易背景资料，经“eee”平台审核通过，生成电子债权凭证，并通过“eee”平台提交本公司确认。本公司在电子债权凭证项下的付款义务的履行是无条件且不可撤销的，不受电子债权凭证流转相关方之间任何商业纠纷的影响，本公司不就该付款责任主张抵销或者进行抗辩。本公司将根据“eee”平台业务规则于付款日划付等额于电子债权凭证项下金额。电子债权凭证可转让、融资……</w:t>
        <w:br/>
        <w:br/>
        <w:t>供应商融资安排2：……</w:t>
        <w:br/>
        <w:br/>
        <w:t>### 资产负债表中的列报项目和相关信息</w:t>
        <w:br/>
        <w:br/>
        <w:t>### 付款到期日的区间</w:t>
        <w:br/>
        <w:br/>
        <w:t>### 不涉及现金收支的当期变动</w:t>
        <w:br/>
        <w:br/>
        <w:t>本公司上述金融负债变动中不存在企业合并和汇率变动的影响</w:t>
        <w:br/>
        <w:br/>
        <w:t>本公司因供应商融资安排，2025年度和2024年度终止确认应付账款同时确认短期借款分别为XXX万元和XXX万元。</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1.将净利润调节为经营活动现金流量：</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净利润</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加：资产减值损失</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信用减值损失</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固定资产折旧、油气资产折耗、生产性生物资产折旧（不适用的项目，可删除）</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使用权资产折旧</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无形资产摊销</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长期待摊费用摊销</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处置固定资产、无形资产和其他长期资产的损失（收益以“－”号填列）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固定资产报废损失（收益以“－”号填列）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公允价值变动损失（收益以“－”号填列）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财务费用（收益以“－”号填列）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投资损失（收益以“－”号填列）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递延所得税资产减少（增加以“－”号填列）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递延所得税负债增加（减少以“－”号填列）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存货的减少（增加以“－”号填列）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经营性应收项目的减少（增加以“－”号填列）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经营性应付项目的增加（减少以“－”号填列）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经营活动产生的现金流量净额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2.不涉及现金收支的重大投资和筹资活动：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债务转为资本</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一年内到期的可转换公司债券</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新增使用权资产</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3.现金及现金等价物净变动情况：</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现金的期末余额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减：现金的期初余额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加：现金等价物的期末余额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减：现金等价物的期初余额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现金及现金等价物净增加额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项目</w:t>
            </w:r>
          </w:p>
        </w:tc>
        <w:tc>
          <w:tcPr>
            <w:tcW w:type="dxa" w:w="4201"/>
            <w:tcBorders>
              <w:bottom w:val="single" w:sz="4" w:space="0" w:color="000000"/>
            </w:tcBorders>
          </w:tcPr>
          <w:p>
            <w:pPr>
              <w:jc w:val="center"/>
            </w:pPr>
            <w:r/>
            <w:r>
              <w:rPr>
                <w:rFonts w:ascii="仿宋_GB2312" w:hAnsi="仿宋_GB2312" w:eastAsia="仿宋_GB2312"/>
                <w:b/>
                <w:sz w:val="24"/>
              </w:rPr>
              <w:t>金额</w:t>
            </w:r>
          </w:p>
        </w:tc>
      </w:tr>
      <w:tr>
        <w:trPr>
          <w:trHeight w:val="397" w:hRule="exact"/>
          <w:cantSplit/>
        </w:trPr>
        <w:tc>
          <w:tcPr>
            <w:tcW w:type="dxa" w:w="4201"/>
          </w:tcPr>
          <w:p>
            <w:r/>
            <w:r>
              <w:rPr>
                <w:rFonts w:ascii="仿宋_GB2312" w:hAnsi="仿宋_GB2312" w:eastAsia="仿宋_GB2312"/>
                <w:b w:val="0"/>
                <w:sz w:val="24"/>
              </w:rPr>
              <w:t>一、本期发生的企业合并于本期支付的现金或现金等价物：</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减：购买日子公司持有的现金及现金等价物</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加：以前期间发生的企业合并于本期支付的现金或现金等价物</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取得子公司支付的现金净额</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二、本期处置子公司于本期收到的现金或现金等价物</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减：丧失控制权日子公司持有的现金及现金等价物</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加：以前期间处置子公司于本期收到的现金或现金等价物</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处置子公司收到的现金净额</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一、现金</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其中：库存现金</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可随时用于支付的银行存款</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可随时用于支付的其他货币资金</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可用于支付的存放中央银行款项</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存放同业款项</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拆放同业款项</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二、现金等价物</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其中：三个月内到期的债券投资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三、期末现金及现金等价物余额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其中：母公司或集团内子公司使用受限制的现金和现金等价物</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列报项目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列报项目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应付账款</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其中：供应商已收到款项</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短期借款</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其中：供应商已收到款项</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其他应付款</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其中：供应商已收到款项</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w:t>
            </w:r>
          </w:p>
        </w:tc>
        <w:tc>
          <w:tcPr>
            <w:tcW w:type="dxa" w:w="2801"/>
            <w:tcBorders>
              <w:bottom w:val="single" w:sz="4" w:space="0" w:color="000000"/>
            </w:tcBorders>
          </w:tcPr>
          <w:p>
            <w:pPr>
              <w:jc w:val="center"/>
            </w:pPr>
            <w:r/>
            <w:r>
              <w:rPr>
                <w:rFonts w:ascii="仿宋_GB2312" w:hAnsi="仿宋_GB2312" w:eastAsia="仿宋_GB2312"/>
                <w:b/>
                <w:sz w:val="24"/>
              </w:rPr>
              <w:t>期初</w:t>
            </w:r>
          </w:p>
        </w:tc>
      </w:tr>
      <w:tr>
        <w:trPr>
          <w:trHeight w:val="397" w:hRule="exact"/>
          <w:cantSplit/>
        </w:trPr>
        <w:tc>
          <w:tcPr>
            <w:tcW w:type="dxa" w:w="2801"/>
          </w:tcPr>
          <w:p>
            <w:r/>
            <w:r>
              <w:rPr>
                <w:rFonts w:ascii="仿宋_GB2312" w:hAnsi="仿宋_GB2312" w:eastAsia="仿宋_GB2312"/>
                <w:b w:val="0"/>
                <w:sz w:val="24"/>
              </w:rPr>
              <w:t>属于该安排项下的负债</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不属于该安排项下的可比应付账款</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116、外币货币性项目</w:t>
      </w:r>
      <w:bookmarkStart w:id="75271" w:name="note_section_八、92"/>
      <w:bookmarkEnd w:id="75271"/>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项目</w:t>
            </w:r>
          </w:p>
        </w:tc>
        <w:tc>
          <w:tcPr>
            <w:tcW w:type="dxa" w:w="2100"/>
            <w:tcBorders>
              <w:bottom w:val="single" w:sz="4" w:space="0" w:color="000000"/>
            </w:tcBorders>
          </w:tcPr>
          <w:p>
            <w:pPr>
              <w:jc w:val="center"/>
            </w:pPr>
            <w:r/>
            <w:r>
              <w:rPr>
                <w:rFonts w:ascii="仿宋_GB2312" w:hAnsi="仿宋_GB2312" w:eastAsia="仿宋_GB2312"/>
                <w:b/>
                <w:sz w:val="24"/>
              </w:rPr>
              <w:t>期末外币余额</w:t>
            </w:r>
          </w:p>
        </w:tc>
        <w:tc>
          <w:tcPr>
            <w:tcW w:type="dxa" w:w="2100"/>
            <w:tcBorders>
              <w:bottom w:val="single" w:sz="4" w:space="0" w:color="000000"/>
            </w:tcBorders>
          </w:tcPr>
          <w:p>
            <w:pPr>
              <w:jc w:val="center"/>
            </w:pPr>
            <w:r/>
            <w:r>
              <w:rPr>
                <w:rFonts w:ascii="仿宋_GB2312" w:hAnsi="仿宋_GB2312" w:eastAsia="仿宋_GB2312"/>
                <w:b/>
                <w:sz w:val="24"/>
              </w:rPr>
              <w:t>折算汇率</w:t>
            </w:r>
          </w:p>
        </w:tc>
        <w:tc>
          <w:tcPr>
            <w:tcW w:type="dxa" w:w="2100"/>
            <w:tcBorders>
              <w:bottom w:val="single" w:sz="4" w:space="0" w:color="000000"/>
            </w:tcBorders>
          </w:tcPr>
          <w:p>
            <w:pPr>
              <w:jc w:val="center"/>
            </w:pPr>
            <w:r/>
            <w:r>
              <w:rPr>
                <w:rFonts w:ascii="仿宋_GB2312" w:hAnsi="仿宋_GB2312" w:eastAsia="仿宋_GB2312"/>
                <w:b/>
                <w:sz w:val="24"/>
              </w:rPr>
              <w:t>期末折算人民币余额</w:t>
            </w:r>
          </w:p>
        </w:tc>
      </w:tr>
      <w:tr>
        <w:trPr>
          <w:trHeight w:val="397" w:hRule="exact"/>
          <w:cantSplit/>
        </w:trPr>
        <w:tc>
          <w:tcPr>
            <w:tcW w:type="dxa" w:w="2100"/>
          </w:tcPr>
          <w:p>
            <w:r/>
            <w:r>
              <w:rPr>
                <w:rFonts w:ascii="仿宋_GB2312" w:hAnsi="仿宋_GB2312" w:eastAsia="仿宋_GB2312"/>
                <w:b w:val="0"/>
                <w:sz w:val="24"/>
              </w:rPr>
              <w:t>货币资金</w:t>
            </w:r>
          </w:p>
        </w:tc>
        <w:tc>
          <w:tcPr>
            <w:tcW w:type="dxa" w:w="2100"/>
          </w:tcPr>
          <w:p>
            <w:pPr>
              <w:jc w:val="right"/>
            </w:pPr>
            <w:r/>
            <w:r>
              <w:rPr>
                <w:rFonts w:ascii="Arial Narrow" w:hAnsi="Arial Narrow" w:eastAsia="仿宋_GB2312" w:cs="Arial Narrow"/>
                <w:sz w:val="24"/>
              </w:rPr>
              <w:t>42,772,704.06</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Arial Narrow" w:hAnsi="Arial Narrow" w:eastAsia="仿宋_GB2312" w:cs="Arial Narrow"/>
                <w:sz w:val="24"/>
              </w:rPr>
              <w:t>42,772,704.06</w:t>
            </w:r>
          </w:p>
        </w:tc>
      </w:tr>
      <w:tr>
        <w:trPr>
          <w:trHeight w:val="397" w:hRule="exact"/>
          <w:cantSplit/>
        </w:trPr>
        <w:tc>
          <w:tcPr>
            <w:tcW w:type="dxa" w:w="2100"/>
          </w:tcPr>
          <w:p>
            <w:r/>
            <w:r>
              <w:rPr>
                <w:rFonts w:ascii="仿宋_GB2312" w:hAnsi="仿宋_GB2312" w:eastAsia="仿宋_GB2312"/>
                <w:b w:val="0"/>
                <w:sz w:val="24"/>
              </w:rPr>
              <w:t>其中：美元</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欧元</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港币</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应收账款</w:t>
            </w:r>
          </w:p>
        </w:tc>
        <w:tc>
          <w:tcPr>
            <w:tcW w:type="dxa" w:w="2100"/>
          </w:tcPr>
          <w:p>
            <w:pPr>
              <w:jc w:val="right"/>
            </w:pPr>
            <w:r/>
            <w:r>
              <w:rPr>
                <w:rFonts w:ascii="Arial Narrow" w:hAnsi="Arial Narrow" w:eastAsia="仿宋_GB2312" w:cs="Arial Narrow"/>
                <w:sz w:val="24"/>
              </w:rPr>
              <w:t>384,884.18</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Arial Narrow" w:hAnsi="Arial Narrow" w:eastAsia="仿宋_GB2312" w:cs="Arial Narrow"/>
                <w:sz w:val="24"/>
              </w:rPr>
              <w:t>384,884.18</w:t>
            </w:r>
          </w:p>
        </w:tc>
      </w:tr>
      <w:tr>
        <w:trPr>
          <w:trHeight w:val="397" w:hRule="exact"/>
          <w:cantSplit/>
        </w:trPr>
        <w:tc>
          <w:tcPr>
            <w:tcW w:type="dxa" w:w="2100"/>
          </w:tcPr>
          <w:p>
            <w:r/>
            <w:r>
              <w:rPr>
                <w:rFonts w:ascii="仿宋_GB2312" w:hAnsi="仿宋_GB2312" w:eastAsia="仿宋_GB2312"/>
                <w:b w:val="0"/>
                <w:sz w:val="24"/>
              </w:rPr>
              <w:t>其中：美元</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欧元</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港币</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短期借款</w:t>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Arial Narrow" w:hAnsi="Arial Narrow" w:eastAsia="仿宋_GB2312" w:cs="Arial Narrow"/>
                <w:sz w:val="24"/>
              </w:rPr>
            </w:r>
          </w:p>
        </w:tc>
      </w:tr>
      <w:tr>
        <w:trPr>
          <w:trHeight w:val="397" w:hRule="exact"/>
          <w:cantSplit/>
        </w:trPr>
        <w:tc>
          <w:tcPr>
            <w:tcW w:type="dxa" w:w="2100"/>
          </w:tcPr>
          <w:p>
            <w:r/>
            <w:r>
              <w:rPr>
                <w:rFonts w:ascii="仿宋_GB2312" w:hAnsi="仿宋_GB2312" w:eastAsia="仿宋_GB2312"/>
                <w:b w:val="0"/>
                <w:sz w:val="24"/>
              </w:rPr>
              <w:t>其中：美元</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欧元</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港币</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长期借款</w:t>
            </w:r>
          </w:p>
        </w:tc>
        <w:tc>
          <w:tcPr>
            <w:tcW w:type="dxa" w:w="2100"/>
          </w:tcPr>
          <w:p>
            <w:pPr>
              <w:jc w:val="right"/>
            </w:pPr>
            <w:r/>
            <w:r>
              <w:rPr>
                <w:rFonts w:ascii="Arial Narrow" w:hAnsi="Arial Narrow" w:eastAsia="仿宋_GB2312" w:cs="Arial Narrow"/>
                <w:sz w:val="24"/>
              </w:rPr>
              <w:t>3,005,553.16</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Arial Narrow" w:hAnsi="Arial Narrow" w:eastAsia="仿宋_GB2312" w:cs="Arial Narrow"/>
                <w:sz w:val="24"/>
              </w:rPr>
              <w:t>3,005,553.16</w:t>
            </w:r>
          </w:p>
        </w:tc>
      </w:tr>
      <w:tr>
        <w:trPr>
          <w:trHeight w:val="397" w:hRule="exact"/>
          <w:cantSplit/>
        </w:trPr>
        <w:tc>
          <w:tcPr>
            <w:tcW w:type="dxa" w:w="2100"/>
          </w:tcPr>
          <w:p>
            <w:r/>
            <w:r>
              <w:rPr>
                <w:rFonts w:ascii="仿宋_GB2312" w:hAnsi="仿宋_GB2312" w:eastAsia="仿宋_GB2312"/>
                <w:b w:val="0"/>
                <w:sz w:val="24"/>
              </w:rPr>
              <w:t>其中：美元</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欧元</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港币</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应付债券</w:t>
            </w:r>
          </w:p>
        </w:tc>
        <w:tc>
          <w:tcPr>
            <w:tcW w:type="dxa" w:w="2100"/>
          </w:tcPr>
          <w:p>
            <w:pPr>
              <w:jc w:val="right"/>
            </w:pPr>
            <w:r/>
            <w:r>
              <w:rPr>
                <w:rFonts w:ascii="Arial Narrow" w:hAnsi="Arial Narrow" w:eastAsia="仿宋_GB2312" w:cs="Arial Narrow"/>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Arial Narrow" w:hAnsi="Arial Narrow" w:eastAsia="仿宋_GB2312" w:cs="Arial Narrow"/>
                <w:sz w:val="24"/>
              </w:rPr>
            </w:r>
          </w:p>
        </w:tc>
      </w:tr>
      <w:tr>
        <w:trPr>
          <w:trHeight w:val="397" w:hRule="exact"/>
          <w:cantSplit/>
        </w:trPr>
        <w:tc>
          <w:tcPr>
            <w:tcW w:type="dxa" w:w="2100"/>
          </w:tcPr>
          <w:p>
            <w:r/>
            <w:r>
              <w:rPr>
                <w:rFonts w:ascii="仿宋_GB2312" w:hAnsi="仿宋_GB2312" w:eastAsia="仿宋_GB2312"/>
                <w:b w:val="0"/>
                <w:sz w:val="24"/>
              </w:rPr>
              <w:t>其中：美元</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欧元</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港币</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117、所有权和使用权受到限制的资产</w:t>
      </w:r>
      <w:bookmarkStart w:id="34641" w:name="note_section_八、93"/>
      <w:bookmarkEnd w:id="34641"/>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期末账面价值</w:t>
            </w:r>
          </w:p>
        </w:tc>
        <w:tc>
          <w:tcPr>
            <w:tcW w:type="dxa" w:w="2801"/>
            <w:tcBorders>
              <w:bottom w:val="single" w:sz="4" w:space="0" w:color="000000"/>
            </w:tcBorders>
          </w:tcPr>
          <w:p>
            <w:pPr>
              <w:jc w:val="center"/>
            </w:pPr>
            <w:r/>
            <w:r>
              <w:rPr>
                <w:rFonts w:ascii="仿宋_GB2312" w:hAnsi="仿宋_GB2312" w:eastAsia="仿宋_GB2312"/>
                <w:b/>
                <w:sz w:val="24"/>
              </w:rPr>
              <w:t>受限原因</w:t>
            </w:r>
          </w:p>
        </w:tc>
      </w:tr>
      <w:tr>
        <w:trPr>
          <w:trHeight w:val="397" w:hRule="exact"/>
          <w:cantSplit/>
        </w:trPr>
        <w:tc>
          <w:tcPr>
            <w:tcW w:type="dxa" w:w="2801"/>
          </w:tcPr>
          <w:p>
            <w:r/>
            <w:r>
              <w:rPr>
                <w:rFonts w:ascii="仿宋_GB2312" w:hAnsi="仿宋_GB2312" w:eastAsia="仿宋_GB2312"/>
                <w:b w:val="0"/>
                <w:sz w:val="24"/>
              </w:rPr>
              <w:t>货币资金</w:t>
            </w:r>
          </w:p>
        </w:tc>
        <w:tc>
          <w:tcPr>
            <w:tcW w:type="dxa" w:w="2801"/>
          </w:tcPr>
          <w:p>
            <w:pPr>
              <w:jc w:val="right"/>
            </w:pPr>
            <w:r/>
            <w:r>
              <w:rPr>
                <w:rFonts w:ascii="Arial Narrow" w:hAnsi="Arial Narrow" w:eastAsia="仿宋_GB2312" w:cs="Arial Narrow"/>
                <w:sz w:val="24"/>
              </w:rPr>
              <w:t>42,772,704.06</w:t>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应收票据</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应收账款</w:t>
            </w:r>
          </w:p>
        </w:tc>
        <w:tc>
          <w:tcPr>
            <w:tcW w:type="dxa" w:w="2801"/>
          </w:tcPr>
          <w:p>
            <w:pPr>
              <w:jc w:val="right"/>
            </w:pPr>
            <w:r/>
            <w:r>
              <w:rPr>
                <w:rFonts w:ascii="Arial Narrow" w:hAnsi="Arial Narrow" w:eastAsia="仿宋_GB2312" w:cs="Arial Narrow"/>
                <w:sz w:val="24"/>
              </w:rPr>
              <w:t>384,884.18</w:t>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应收款项融资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存货</w:t>
            </w:r>
          </w:p>
        </w:tc>
        <w:tc>
          <w:tcPr>
            <w:tcW w:type="dxa" w:w="2801"/>
          </w:tcPr>
          <w:p>
            <w:pPr>
              <w:jc w:val="right"/>
            </w:pPr>
            <w:r/>
            <w:r>
              <w:rPr>
                <w:rFonts w:ascii="Arial Narrow" w:hAnsi="Arial Narrow" w:eastAsia="仿宋_GB2312" w:cs="Arial Narrow"/>
                <w:sz w:val="24"/>
              </w:rPr>
              <w:t>4,230.00</w:t>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固定资产</w:t>
            </w:r>
          </w:p>
        </w:tc>
        <w:tc>
          <w:tcPr>
            <w:tcW w:type="dxa" w:w="2801"/>
          </w:tcPr>
          <w:p>
            <w:pPr>
              <w:jc w:val="right"/>
            </w:pPr>
            <w:r/>
            <w:r>
              <w:rPr>
                <w:rFonts w:ascii="Arial Narrow" w:hAnsi="Arial Narrow" w:eastAsia="仿宋_GB2312" w:cs="Arial Narrow"/>
                <w:sz w:val="24"/>
              </w:rPr>
              <w:t>51,270,217.56</w:t>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无形资产</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在建工程</w:t>
            </w:r>
          </w:p>
        </w:tc>
        <w:tc>
          <w:tcPr>
            <w:tcW w:type="dxa" w:w="2801"/>
          </w:tcPr>
          <w:p>
            <w:pPr>
              <w:jc w:val="right"/>
            </w:pPr>
            <w:r/>
            <w:r>
              <w:rPr>
                <w:rFonts w:ascii="Arial Narrow" w:hAnsi="Arial Narrow" w:eastAsia="仿宋_GB2312" w:cs="Arial Narrow"/>
                <w:sz w:val="24"/>
              </w:rPr>
              <w:t>7,964,602.00</w:t>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118、主要税种及税率</w:t>
      </w:r>
      <w:bookmarkStart w:id="95957" w:name="note_section_六、主要税种及税率"/>
      <w:bookmarkEnd w:id="95957"/>
    </w:p>
    <w:p>
      <w:pPr>
        <w:spacing w:before="0" w:after="240" w:line="240" w:lineRule="auto"/>
      </w:pPr>
      <w:r>
        <w:rPr>
          <w:rFonts w:ascii="仿宋_GB2312" w:hAnsi="仿宋_GB2312" w:eastAsia="仿宋_GB2312"/>
          <w:b w:val="0"/>
          <w:sz w:val="24"/>
        </w:rPr>
        <w:t>（各分公司、分厂异地独立缴纳所得税的，应说明各分公司、分厂执行的所得税税率。说明本期内所得税税率的变化、税率优惠政策，若税率、税率优惠政策较上期没有发生变化，也应说明。）</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税种</w:t>
            </w:r>
          </w:p>
        </w:tc>
        <w:tc>
          <w:tcPr>
            <w:tcW w:type="dxa" w:w="2801"/>
            <w:tcBorders>
              <w:bottom w:val="single" w:sz="4" w:space="0" w:color="000000"/>
            </w:tcBorders>
          </w:tcPr>
          <w:p>
            <w:pPr>
              <w:jc w:val="center"/>
            </w:pPr>
            <w:r/>
            <w:r>
              <w:rPr>
                <w:rFonts w:ascii="仿宋_GB2312" w:hAnsi="仿宋_GB2312" w:eastAsia="仿宋_GB2312"/>
                <w:b/>
                <w:sz w:val="24"/>
              </w:rPr>
              <w:t>计税依据</w:t>
            </w:r>
          </w:p>
        </w:tc>
        <w:tc>
          <w:tcPr>
            <w:tcW w:type="dxa" w:w="2801"/>
            <w:tcBorders>
              <w:bottom w:val="single" w:sz="4" w:space="0" w:color="000000"/>
            </w:tcBorders>
          </w:tcPr>
          <w:p>
            <w:pPr>
              <w:jc w:val="center"/>
            </w:pPr>
            <w:r/>
            <w:r>
              <w:rPr>
                <w:rFonts w:ascii="仿宋_GB2312" w:hAnsi="仿宋_GB2312" w:eastAsia="仿宋_GB2312"/>
                <w:b/>
                <w:sz w:val="24"/>
              </w:rPr>
              <w:t>法定税率%</w:t>
            </w:r>
          </w:p>
        </w:tc>
      </w:tr>
      <w:tr>
        <w:trPr>
          <w:trHeight w:val="397" w:hRule="exact"/>
          <w:cantSplit/>
        </w:trPr>
        <w:tc>
          <w:tcPr>
            <w:tcW w:type="dxa" w:w="2801"/>
          </w:tcPr>
          <w:p>
            <w:r/>
            <w:r>
              <w:rPr>
                <w:rFonts w:ascii="仿宋_GB2312" w:hAnsi="仿宋_GB2312" w:eastAsia="仿宋_GB2312"/>
                <w:b w:val="0"/>
                <w:sz w:val="24"/>
              </w:rPr>
              <w:t>增值税</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城市维护建设税</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企业所得税</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119、优惠税负及批文</w:t>
      </w:r>
      <w:bookmarkStart w:id="73600" w:name="note_section_六、优惠税负及批文"/>
      <w:bookmarkEnd w:id="73600"/>
    </w:p>
    <w:p>
      <w:pPr>
        <w:spacing w:before="0" w:after="240" w:line="240" w:lineRule="auto"/>
      </w:pPr>
      <w:r>
        <w:rPr>
          <w:rFonts w:ascii="仿宋_GB2312" w:hAnsi="仿宋_GB2312" w:eastAsia="仿宋_GB2312"/>
          <w:b w:val="0"/>
          <w:sz w:val="24"/>
        </w:rPr>
        <w:t>（存在各税种的税负减免的，应按税种分项说明相关法律法规或政策依据、批准机关、批准文号、减免幅度及有效期限。对于超过法定纳税期限尚未缴纳的税款，应列示主管税务机关的批准文件。享有高新技术企业等税收优惠政策的，应说明高新技术企业资格是否重新认定、该政策的有效期限、累计获得的税收优惠以及已获得但尚未执行的税收优惠。）</w:t>
      </w:r>
    </w:p>
    <w:p>
      <w:pPr>
        <w:spacing w:before="120" w:after="240" w:line="240" w:lineRule="auto"/>
      </w:pPr>
      <w:r>
        <w:rPr>
          <w:rFonts w:ascii="仿宋_GB2312" w:hAnsi="仿宋_GB2312" w:eastAsia="仿宋_GB2312"/>
          <w:b/>
          <w:sz w:val="24"/>
        </w:rPr>
        <w:t>120、递延所得税资产及递延所得税负债</w:t>
      </w:r>
      <w:bookmarkStart w:id="82021" w:name="note_section_六、递延所得税资产及"/>
      <w:bookmarkEnd w:id="82021"/>
    </w:p>
    <w:p>
      <w:pPr>
        <w:spacing w:before="0" w:after="240" w:line="240" w:lineRule="auto"/>
      </w:pPr>
      <w:r>
        <w:rPr>
          <w:rFonts w:ascii="仿宋_GB2312" w:hAnsi="仿宋_GB2312" w:eastAsia="仿宋_GB2312"/>
          <w:b w:val="0"/>
          <w:sz w:val="24"/>
        </w:rPr>
        <w:t>（说明递延所得税资产和递延所得税负债的确认依据。）</w:t>
        <w:br/>
        <w:br/>
        <w:t>所得税包括当期所得税和递延所得税。除由于企业合并产生的调整商誉，或与直接计入所有者权益的交易或者事项相关的递延所得税计入所有者权益外，均作为所得税费用计入当期损益。</w:t>
        <w:br/>
        <w:br/>
        <w:t>本公司根据资产、负债于资产负债表日的账面价值与计税基础之间的暂时性差异，采用资产负债表债务法确认递延所得税。</w:t>
        <w:br/>
        <w:br/>
        <w:t>各项应纳税暂时性差异均确认相关的递延所得税负债，除非该应纳税暂时性差异是在以下交易中产生的：</w:t>
        <w:br/>
        <w:br/>
        <w:t>（1）商誉的初始确认，或者具有以下特征的交易中产生的资产或负债的初始确认：该交易不是企业合并，并且交易发生时既不影响会计利润也不影响应纳税所得额；</w:t>
        <w:br/>
        <w:br/>
        <w:t>（2）对于与子公司、合营企业及联营企业投资相关的应纳税暂时性差异，该暂时性差异转回的时间能够控制并且该暂时性差异在可预见的未来很可能不会转回。</w:t>
        <w:br/>
        <w:br/>
        <w:t>对于可抵扣暂时性差异、能够结转以后年度的可抵扣亏损和税款抵减，本公司以很可能取得用来抵扣可抵扣暂时性差异、可抵扣亏损和税款抵减的未来应纳税所得额为限，确认由此产生的递延所得税资产，除非该可抵扣暂时性差异是在以下交易中产生的：</w:t>
        <w:br/>
        <w:br/>
        <w:t>（1）该交易不是企业合并，并且交易发生时既不影响会计利润也不影响应纳税所得额；且初始确认的资产和负债不会导致产生等额应纳税暂时性差异和可抵扣暂时性差异的单项交易；</w:t>
        <w:br/>
        <w:br/>
        <w:t>（2）对于与子公司、合营企业及联营企业投资相关的可抵扣暂时性差异，同时满足下列条件的，确认相应的递延所得税资产：暂时性差异在可预见的未来很可能转回，且未来很可能获得用来抵扣可抵扣暂时性差异的应纳税所得额。</w:t>
        <w:br/>
        <w:br/>
        <w:t>于资产负债表日，本公司对递延所得税资产和递延所得税负债，按照预期收回该资产或清偿该负债期间的适用税率计量，并反映资产负债表日预期收回资产或清偿负债方式的所得税影响。</w:t>
        <w:br/>
        <w:br/>
        <w:t>于资产负债表日，本公司对递延所得税资产的账面价值进行复核。如果未来期间很可能无法获得足够的应纳税所得额用以抵扣递延所得税资产的利益，减记递延所得税资产的账面价值。在很可能获得足够的应纳税所得额时，减记的金额予以转回。</w:t>
      </w:r>
    </w:p>
    <w:p>
      <w:pPr>
        <w:spacing w:before="120" w:after="240" w:line="240" w:lineRule="auto"/>
      </w:pPr>
      <w:r>
        <w:rPr>
          <w:rFonts w:ascii="仿宋_GB2312" w:hAnsi="仿宋_GB2312" w:eastAsia="仿宋_GB2312"/>
          <w:b/>
          <w:sz w:val="24"/>
        </w:rPr>
        <w:t>121、其他资产负债表日后事项说明</w:t>
      </w:r>
      <w:bookmarkStart w:id="39973" w:name="note_section_十、其他资产负债表日"/>
      <w:bookmarkEnd w:id="39973"/>
    </w:p>
    <w:p>
      <w:pPr>
        <w:spacing w:before="0" w:after="240" w:line="240" w:lineRule="auto"/>
      </w:pPr>
      <w:r>
        <w:rPr>
          <w:rFonts w:ascii="仿宋_GB2312" w:hAnsi="仿宋_GB2312" w:eastAsia="仿宋_GB2312"/>
          <w:b w:val="0"/>
          <w:sz w:val="24"/>
        </w:rPr>
        <w:t>【披露要求：</w:t>
        <w:br/>
        <w:br/>
        <w:t>（一）每项重要的资产负债表日后非调整事项的性质、内容，及其对财务状况和经营成果的影响。无法做出估计的，应当说明原因。</w:t>
        <w:br/>
        <w:br/>
        <w:t>（二）资产负债表日后，财务报告批准报出日前提议或宣布发放的股利总额和每股股利金额（或向投资者分配的利润或股利）。</w:t>
        <w:br/>
        <w:br/>
        <w:t>（三）资产负债表日后销售退回或其他事项说明。】</w:t>
        <w:br/>
        <w:br/>
        <w:t>## 重要的资产负债表日后事项说明</w:t>
        <w:br/>
        <w:br/>
        <w:t>## 资产负债表日后利润分配情况说明</w:t>
        <w:br/>
        <w:br/>
        <w:t>## 销售退回</w:t>
        <w:br/>
        <w:br/>
        <w:t>## 其他资产负债表日后事项说明</w:t>
        <w:br/>
        <w:br/>
        <w:t>（如果公司没有需要说明的资产负债表日后事项，也应予以说明。）</w:t>
        <w:br/>
        <w:br/>
        <w:t>截至2026年X月X日（董事会批准报告日），本公司不存在应披露的资产负债表日后事项。</w:t>
        <w:br/>
        <w:br/>
        <w:t>（特别提示：如披露了以上一项或多项资产负债表日后事项，则上述语句修改为：）</w:t>
        <w:br/>
        <w:br/>
        <w:t>截至2026年X月X 日（董事会批准报告日），本公司不存在其他应披露的资产负债表日后事项。</w:t>
      </w:r>
    </w:p>
    <w:p>
      <w:pPr>
        <w:spacing w:before="120" w:after="240" w:line="240" w:lineRule="auto"/>
      </w:pPr>
      <w:r>
        <w:rPr>
          <w:rFonts w:ascii="仿宋_GB2312" w:hAnsi="仿宋_GB2312" w:eastAsia="仿宋_GB2312"/>
          <w:b/>
          <w:sz w:val="24"/>
        </w:rPr>
        <w:t>122、资产负债表日后利润分配情况说明</w:t>
      </w:r>
      <w:bookmarkStart w:id="40713" w:name="note_section_十、资产负债表日后利"/>
      <w:bookmarkEnd w:id="40713"/>
    </w:p>
    <w:p>
      <w:pPr>
        <w:spacing w:before="0" w:after="240" w:line="240" w:lineRule="auto"/>
      </w:pPr>
      <w:r>
        <w:rPr>
          <w:rFonts w:ascii="仿宋_GB2312" w:hAnsi="仿宋_GB2312" w:eastAsia="仿宋_GB2312"/>
          <w:b w:val="0"/>
          <w:sz w:val="24"/>
        </w:rPr>
        <w:t>本期无此项业务。</w:t>
      </w:r>
    </w:p>
    <w:p>
      <w:pPr>
        <w:spacing w:before="120" w:after="240" w:line="240" w:lineRule="auto"/>
      </w:pPr>
      <w:r>
        <w:rPr>
          <w:rFonts w:ascii="仿宋_GB2312" w:hAnsi="仿宋_GB2312" w:eastAsia="仿宋_GB2312"/>
          <w:b/>
          <w:sz w:val="24"/>
        </w:rPr>
        <w:t>123、重要的资产负债表日后事项说明</w:t>
      </w:r>
      <w:bookmarkStart w:id="52970" w:name="note_section_十、重要的资产负债表"/>
      <w:bookmarkEnd w:id="52970"/>
    </w:p>
    <w:p>
      <w:pPr>
        <w:spacing w:before="0" w:after="240" w:line="240" w:lineRule="auto"/>
      </w:pPr>
      <w:r>
        <w:rPr>
          <w:rFonts w:ascii="仿宋_GB2312" w:hAnsi="仿宋_GB2312" w:eastAsia="仿宋_GB2312"/>
          <w:b w:val="0"/>
          <w:sz w:val="24"/>
        </w:rPr>
        <w:t>本期无此项业务。</w:t>
      </w:r>
    </w:p>
    <w:p>
      <w:pPr>
        <w:spacing w:before="120" w:after="240" w:line="240" w:lineRule="auto"/>
      </w:pPr>
      <w:r>
        <w:rPr>
          <w:rFonts w:ascii="仿宋_GB2312" w:hAnsi="仿宋_GB2312" w:eastAsia="仿宋_GB2312"/>
          <w:b/>
          <w:sz w:val="24"/>
        </w:rPr>
        <w:t>124、关联交易情况</w:t>
      </w:r>
      <w:bookmarkStart w:id="71456" w:name="note_section_十一、关联交易情况"/>
      <w:bookmarkEnd w:id="71456"/>
    </w:p>
    <w:p>
      <w:pPr>
        <w:spacing w:before="0" w:after="240" w:line="240" w:lineRule="auto"/>
      </w:pPr>
      <w:r>
        <w:rPr>
          <w:rFonts w:ascii="仿宋_GB2312" w:hAnsi="仿宋_GB2312" w:eastAsia="仿宋_GB2312"/>
          <w:b w:val="0"/>
          <w:sz w:val="24"/>
        </w:rPr>
        <w:t>【披露要求：分别说明各关联方关系的性质、交易类型及交易要素。交易要素至少应当包括：1.交易的金额。2.未结算项目的金额、条款和条件，以及有关提供或取得担保的信息。3.未结算应收项目的坏账准备金额。4.定价政策。</w:t>
        <w:br/>
        <w:br/>
        <w:t>关联方交易应分别关联方以及交易类型，披露关联交易定价方式及决策程序、关联交易金额占同类交易金额的比例等情况。】</w:t>
        <w:br/>
        <w:br/>
        <w:t>参考披露格式如下：</w:t>
        <w:br/>
        <w:br/>
        <w:t>### 关联采购与销售情况</w:t>
        <w:br/>
        <w:br/>
        <w:t>#### A、采购商品、接受劳务情况表</w:t>
        <w:br/>
        <w:br/>
        <w:t>#### B、出售商品、提供劳务情况表</w:t>
        <w:br/>
        <w:br/>
        <w:t>### 其他关联交易</w:t>
        <w:br/>
        <w:br/>
        <w:t>A、购买或销售商品以外的其他资产。</w:t>
        <w:br/>
        <w:br/>
        <w:t>B、提供或接受劳务。</w:t>
        <w:br/>
        <w:br/>
        <w:t>C、担保。</w:t>
        <w:br/>
        <w:br/>
        <w:t>D、提供资金（贷款或股权投资）。</w:t>
        <w:br/>
        <w:br/>
        <w:t>E、租赁。</w:t>
        <w:br/>
        <w:br/>
        <w:t>【参考披露格式如下】</w:t>
        <w:br/>
        <w:br/>
        <w:t>#### 本公司作为出租方当年确认的租赁收入</w:t>
        <w:br/>
        <w:br/>
        <w:t>#### 本公司作为承租方</w:t>
        <w:br/>
        <w:br/>
        <w:t>#### 本公司作为承租方当年新增的使用权资产</w:t>
        <w:br/>
        <w:br/>
        <w:t>#### 本公司为承租方当年承担的租赁负债利息支出</w:t>
        <w:br/>
        <w:br/>
        <w:t>F、代理。</w:t>
        <w:br/>
        <w:br/>
        <w:t>G、研究与开发项目的转移。</w:t>
        <w:br/>
        <w:br/>
        <w:t>H、许可协议。</w:t>
        <w:br/>
        <w:br/>
        <w:t>I、代表企业或由企业代表另一方进行债务结算。</w:t>
        <w:br/>
        <w:br/>
        <w:t>J、关键管理人员薪酬。</w:t>
        <w:br/>
        <w:br/>
        <w:t>K、企业年金基金。</w:t>
      </w:r>
    </w:p>
    <w:p>
      <w:pPr>
        <w:spacing w:before="120" w:after="240" w:line="240" w:lineRule="auto"/>
      </w:pPr>
      <w:r>
        <w:rPr>
          <w:rFonts w:ascii="仿宋_GB2312" w:hAnsi="仿宋_GB2312" w:eastAsia="仿宋_GB2312"/>
          <w:b/>
          <w:sz w:val="24"/>
        </w:rPr>
        <w:t>关联方</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关联方</w:t>
            </w:r>
          </w:p>
        </w:tc>
        <w:tc>
          <w:tcPr>
            <w:tcW w:type="dxa" w:w="1680"/>
            <w:tcBorders>
              <w:bottom w:val="single" w:sz="4" w:space="0" w:color="000000"/>
            </w:tcBorders>
          </w:tcPr>
          <w:p>
            <w:pPr>
              <w:jc w:val="center"/>
            </w:pPr>
            <w:r/>
            <w:r>
              <w:rPr>
                <w:rFonts w:ascii="仿宋_GB2312" w:hAnsi="仿宋_GB2312" w:eastAsia="仿宋_GB2312"/>
                <w:b/>
                <w:sz w:val="24"/>
              </w:rPr>
              <w:t>关联交易内容</w:t>
            </w:r>
          </w:p>
        </w:tc>
        <w:tc>
          <w:tcPr>
            <w:tcW w:type="dxa" w:w="1680"/>
            <w:tcBorders>
              <w:bottom w:val="single" w:sz="4" w:space="0" w:color="000000"/>
            </w:tcBorders>
          </w:tcPr>
          <w:p>
            <w:pPr>
              <w:jc w:val="center"/>
            </w:pPr>
            <w:r/>
            <w:r>
              <w:rPr>
                <w:rFonts w:ascii="仿宋_GB2312" w:hAnsi="仿宋_GB2312" w:eastAsia="仿宋_GB2312"/>
                <w:b/>
                <w:sz w:val="24"/>
              </w:rPr>
              <w:t>关联交易定价方式及决策程序</w:t>
            </w:r>
          </w:p>
        </w:tc>
        <w:tc>
          <w:tcPr>
            <w:tcW w:type="dxa" w:w="1680"/>
            <w:tcBorders>
              <w:bottom w:val="single" w:sz="4" w:space="0" w:color="000000"/>
            </w:tcBorders>
          </w:tcPr>
          <w:p>
            <w:pPr>
              <w:jc w:val="center"/>
            </w:pPr>
            <w:r/>
            <w:r>
              <w:rPr>
                <w:rFonts w:ascii="仿宋_GB2312" w:hAnsi="仿宋_GB2312" w:eastAsia="仿宋_GB2312"/>
                <w:b/>
                <w:sz w:val="24"/>
              </w:rPr>
              <w:t>本期发生额</w:t>
            </w:r>
          </w:p>
        </w:tc>
        <w:tc>
          <w:tcPr>
            <w:tcW w:type="dxa" w:w="1680"/>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1680"/>
          </w:tcPr>
          <w:p>
            <w:r/>
            <w:r>
              <w:rPr>
                <w:rFonts w:ascii="仿宋_GB2312" w:hAnsi="仿宋_GB2312" w:eastAsia="仿宋_GB2312"/>
                <w:b w:val="0"/>
                <w:sz w:val="24"/>
              </w:rPr>
              <w:t>关联方</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可无限量添加行</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关联方</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关联方</w:t>
            </w:r>
          </w:p>
        </w:tc>
        <w:tc>
          <w:tcPr>
            <w:tcW w:type="dxa" w:w="1680"/>
            <w:tcBorders>
              <w:bottom w:val="single" w:sz="4" w:space="0" w:color="000000"/>
            </w:tcBorders>
          </w:tcPr>
          <w:p>
            <w:pPr>
              <w:jc w:val="center"/>
            </w:pPr>
            <w:r/>
            <w:r>
              <w:rPr>
                <w:rFonts w:ascii="仿宋_GB2312" w:hAnsi="仿宋_GB2312" w:eastAsia="仿宋_GB2312"/>
                <w:b/>
                <w:sz w:val="24"/>
              </w:rPr>
              <w:t>关联交易内容</w:t>
            </w:r>
          </w:p>
        </w:tc>
        <w:tc>
          <w:tcPr>
            <w:tcW w:type="dxa" w:w="1680"/>
            <w:tcBorders>
              <w:bottom w:val="single" w:sz="4" w:space="0" w:color="000000"/>
            </w:tcBorders>
          </w:tcPr>
          <w:p>
            <w:pPr>
              <w:jc w:val="center"/>
            </w:pPr>
            <w:r/>
            <w:r>
              <w:rPr>
                <w:rFonts w:ascii="仿宋_GB2312" w:hAnsi="仿宋_GB2312" w:eastAsia="仿宋_GB2312"/>
                <w:b/>
                <w:sz w:val="24"/>
              </w:rPr>
              <w:t>关联交易定价方式及决策程序</w:t>
            </w:r>
          </w:p>
        </w:tc>
        <w:tc>
          <w:tcPr>
            <w:tcW w:type="dxa" w:w="1680"/>
            <w:tcBorders>
              <w:bottom w:val="single" w:sz="4" w:space="0" w:color="000000"/>
            </w:tcBorders>
          </w:tcPr>
          <w:p>
            <w:pPr>
              <w:jc w:val="center"/>
            </w:pPr>
            <w:r/>
            <w:r>
              <w:rPr>
                <w:rFonts w:ascii="仿宋_GB2312" w:hAnsi="仿宋_GB2312" w:eastAsia="仿宋_GB2312"/>
                <w:b/>
                <w:sz w:val="24"/>
              </w:rPr>
              <w:t>本期发生额</w:t>
            </w:r>
          </w:p>
        </w:tc>
        <w:tc>
          <w:tcPr>
            <w:tcW w:type="dxa" w:w="1680"/>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1680"/>
          </w:tcPr>
          <w:p>
            <w:r/>
            <w:r>
              <w:rPr>
                <w:rFonts w:ascii="仿宋_GB2312" w:hAnsi="仿宋_GB2312" w:eastAsia="仿宋_GB2312"/>
                <w:b w:val="0"/>
                <w:sz w:val="24"/>
              </w:rPr>
              <w:t>关联方</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可无限量添加行</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承租方名称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承租方名称</w:t>
            </w:r>
          </w:p>
        </w:tc>
        <w:tc>
          <w:tcPr>
            <w:tcW w:type="dxa" w:w="2100"/>
            <w:tcBorders>
              <w:bottom w:val="single" w:sz="4" w:space="0" w:color="000000"/>
            </w:tcBorders>
          </w:tcPr>
          <w:p>
            <w:pPr>
              <w:jc w:val="center"/>
            </w:pPr>
            <w:r/>
            <w:r>
              <w:rPr>
                <w:rFonts w:ascii="仿宋_GB2312" w:hAnsi="仿宋_GB2312" w:eastAsia="仿宋_GB2312"/>
                <w:b/>
                <w:sz w:val="24"/>
              </w:rPr>
              <w:t>租赁资产种类</w:t>
            </w:r>
          </w:p>
        </w:tc>
        <w:tc>
          <w:tcPr>
            <w:tcW w:type="dxa" w:w="2100"/>
            <w:tcBorders>
              <w:bottom w:val="single" w:sz="4" w:space="0" w:color="000000"/>
            </w:tcBorders>
          </w:tcPr>
          <w:p>
            <w:pPr>
              <w:jc w:val="center"/>
            </w:pPr>
            <w:r/>
            <w:r>
              <w:rPr>
                <w:rFonts w:ascii="仿宋_GB2312" w:hAnsi="仿宋_GB2312" w:eastAsia="仿宋_GB2312"/>
                <w:b/>
                <w:sz w:val="24"/>
              </w:rPr>
              <w:t>本期确认的租赁收入&lt;br/&gt;金额（万元）</w:t>
            </w:r>
          </w:p>
        </w:tc>
        <w:tc>
          <w:tcPr>
            <w:tcW w:type="dxa" w:w="2100"/>
            <w:tcBorders>
              <w:bottom w:val="single" w:sz="4" w:space="0" w:color="000000"/>
            </w:tcBorders>
          </w:tcPr>
          <w:p>
            <w:pPr>
              <w:jc w:val="center"/>
            </w:pPr>
            <w:r/>
            <w:r>
              <w:rPr>
                <w:rFonts w:ascii="仿宋_GB2312" w:hAnsi="仿宋_GB2312" w:eastAsia="仿宋_GB2312"/>
                <w:b/>
                <w:sz w:val="24"/>
              </w:rPr>
              <w:t>上期确认的租赁收入&lt;br/&gt;金额（万元）</w:t>
            </w:r>
          </w:p>
        </w:tc>
      </w:tr>
      <w:tr>
        <w:trPr>
          <w:trHeight w:val="397" w:hRule="exact"/>
          <w:cantSplit/>
        </w:trPr>
        <w:tc>
          <w:tcPr>
            <w:tcW w:type="dxa" w:w="2100"/>
          </w:tcPr>
          <w:p>
            <w:r/>
            <w:r>
              <w:rPr>
                <w:rFonts w:ascii="仿宋_GB2312" w:hAnsi="仿宋_GB2312" w:eastAsia="仿宋_GB2312"/>
                <w:b w:val="0"/>
                <w:sz w:val="24"/>
              </w:rPr>
              <w:t>可无限量添加行</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出租方名称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出租方名称</w:t>
            </w:r>
          </w:p>
        </w:tc>
        <w:tc>
          <w:tcPr>
            <w:tcW w:type="dxa" w:w="2100"/>
            <w:tcBorders>
              <w:bottom w:val="single" w:sz="4" w:space="0" w:color="000000"/>
            </w:tcBorders>
          </w:tcPr>
          <w:p>
            <w:pPr>
              <w:jc w:val="center"/>
            </w:pPr>
            <w:r/>
            <w:r>
              <w:rPr>
                <w:rFonts w:ascii="仿宋_GB2312" w:hAnsi="仿宋_GB2312" w:eastAsia="仿宋_GB2312"/>
                <w:b/>
                <w:sz w:val="24"/>
              </w:rPr>
              <w:t>租赁资产种类</w:t>
            </w:r>
          </w:p>
        </w:tc>
        <w:tc>
          <w:tcPr>
            <w:tcW w:type="dxa" w:w="2100"/>
            <w:tcBorders>
              <w:bottom w:val="single" w:sz="4" w:space="0" w:color="000000"/>
            </w:tcBorders>
          </w:tcPr>
          <w:p>
            <w:pPr>
              <w:jc w:val="center"/>
            </w:pPr>
            <w:r/>
            <w:r>
              <w:rPr>
                <w:rFonts w:ascii="仿宋_GB2312" w:hAnsi="仿宋_GB2312" w:eastAsia="仿宋_GB2312"/>
                <w:b/>
                <w:sz w:val="24"/>
              </w:rPr>
              <w:t>本期应支付的租赁款项&lt;br/&gt;金额（万元）</w:t>
            </w:r>
          </w:p>
        </w:tc>
        <w:tc>
          <w:tcPr>
            <w:tcW w:type="dxa" w:w="2100"/>
            <w:tcBorders>
              <w:bottom w:val="single" w:sz="4" w:space="0" w:color="000000"/>
            </w:tcBorders>
          </w:tcPr>
          <w:p>
            <w:pPr>
              <w:jc w:val="center"/>
            </w:pPr>
            <w:r/>
            <w:r>
              <w:rPr>
                <w:rFonts w:ascii="仿宋_GB2312" w:hAnsi="仿宋_GB2312" w:eastAsia="仿宋_GB2312"/>
                <w:b/>
                <w:sz w:val="24"/>
              </w:rPr>
              <w:t>上期应支付的租赁款项&lt;br/&gt;金额（万元）</w:t>
            </w:r>
          </w:p>
        </w:tc>
      </w:tr>
      <w:tr>
        <w:trPr>
          <w:trHeight w:val="397" w:hRule="exact"/>
          <w:cantSplit/>
        </w:trPr>
        <w:tc>
          <w:tcPr>
            <w:tcW w:type="dxa" w:w="2100"/>
          </w:tcPr>
          <w:p>
            <w:r/>
            <w:r>
              <w:rPr>
                <w:rFonts w:ascii="仿宋_GB2312" w:hAnsi="仿宋_GB2312" w:eastAsia="仿宋_GB2312"/>
                <w:b w:val="0"/>
                <w:sz w:val="24"/>
              </w:rPr>
              <w:t>可无限量添加行</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出租方名称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出租方名称</w:t>
            </w:r>
          </w:p>
        </w:tc>
        <w:tc>
          <w:tcPr>
            <w:tcW w:type="dxa" w:w="2100"/>
            <w:tcBorders>
              <w:bottom w:val="single" w:sz="4" w:space="0" w:color="000000"/>
            </w:tcBorders>
          </w:tcPr>
          <w:p>
            <w:pPr>
              <w:jc w:val="center"/>
            </w:pPr>
            <w:r/>
            <w:r>
              <w:rPr>
                <w:rFonts w:ascii="仿宋_GB2312" w:hAnsi="仿宋_GB2312" w:eastAsia="仿宋_GB2312"/>
                <w:b/>
                <w:sz w:val="24"/>
              </w:rPr>
              <w:t>租赁资产种类</w:t>
            </w:r>
          </w:p>
        </w:tc>
        <w:tc>
          <w:tcPr>
            <w:tcW w:type="dxa" w:w="2100"/>
            <w:tcBorders>
              <w:bottom w:val="single" w:sz="4" w:space="0" w:color="000000"/>
            </w:tcBorders>
          </w:tcPr>
          <w:p>
            <w:pPr>
              <w:jc w:val="center"/>
            </w:pPr>
            <w:r/>
            <w:r>
              <w:rPr>
                <w:rFonts w:ascii="仿宋_GB2312" w:hAnsi="仿宋_GB2312" w:eastAsia="仿宋_GB2312"/>
                <w:b/>
                <w:sz w:val="24"/>
              </w:rPr>
              <w:t>本期增加（万元）</w:t>
            </w:r>
          </w:p>
        </w:tc>
        <w:tc>
          <w:tcPr>
            <w:tcW w:type="dxa" w:w="2100"/>
            <w:tcBorders>
              <w:bottom w:val="single" w:sz="4" w:space="0" w:color="000000"/>
            </w:tcBorders>
          </w:tcPr>
          <w:p>
            <w:pPr>
              <w:jc w:val="center"/>
            </w:pPr>
            <w:r/>
            <w:r>
              <w:rPr>
                <w:rFonts w:ascii="仿宋_GB2312" w:hAnsi="仿宋_GB2312" w:eastAsia="仿宋_GB2312"/>
                <w:b/>
                <w:sz w:val="24"/>
              </w:rPr>
              <w:t>上期增加（万元）</w:t>
            </w:r>
          </w:p>
        </w:tc>
      </w:tr>
      <w:tr>
        <w:trPr>
          <w:trHeight w:val="397" w:hRule="exact"/>
          <w:cantSplit/>
        </w:trPr>
        <w:tc>
          <w:tcPr>
            <w:tcW w:type="dxa" w:w="2100"/>
          </w:tcPr>
          <w:p>
            <w:r/>
            <w:r>
              <w:rPr>
                <w:rFonts w:ascii="仿宋_GB2312" w:hAnsi="仿宋_GB2312" w:eastAsia="仿宋_GB2312"/>
                <w:b w:val="0"/>
                <w:sz w:val="24"/>
              </w:rPr>
              <w:t>可无限量添加行</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出租方名称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出租方名称</w:t>
            </w:r>
          </w:p>
        </w:tc>
        <w:tc>
          <w:tcPr>
            <w:tcW w:type="dxa" w:w="2100"/>
            <w:tcBorders>
              <w:bottom w:val="single" w:sz="4" w:space="0" w:color="000000"/>
            </w:tcBorders>
          </w:tcPr>
          <w:p>
            <w:pPr>
              <w:jc w:val="center"/>
            </w:pPr>
            <w:r/>
            <w:r>
              <w:rPr>
                <w:rFonts w:ascii="仿宋_GB2312" w:hAnsi="仿宋_GB2312" w:eastAsia="仿宋_GB2312"/>
                <w:b/>
                <w:sz w:val="24"/>
              </w:rPr>
              <w:t>租赁资产种类</w:t>
            </w:r>
          </w:p>
        </w:tc>
        <w:tc>
          <w:tcPr>
            <w:tcW w:type="dxa" w:w="2100"/>
            <w:tcBorders>
              <w:bottom w:val="single" w:sz="4" w:space="0" w:color="000000"/>
            </w:tcBorders>
          </w:tcPr>
          <w:p>
            <w:pPr>
              <w:jc w:val="center"/>
            </w:pPr>
            <w:r/>
            <w:r>
              <w:rPr>
                <w:rFonts w:ascii="仿宋_GB2312" w:hAnsi="仿宋_GB2312" w:eastAsia="仿宋_GB2312"/>
                <w:b/>
                <w:sz w:val="24"/>
              </w:rPr>
              <w:t>本期利息支出（万元）</w:t>
            </w:r>
          </w:p>
        </w:tc>
        <w:tc>
          <w:tcPr>
            <w:tcW w:type="dxa" w:w="2100"/>
            <w:tcBorders>
              <w:bottom w:val="single" w:sz="4" w:space="0" w:color="000000"/>
            </w:tcBorders>
          </w:tcPr>
          <w:p>
            <w:pPr>
              <w:jc w:val="center"/>
            </w:pPr>
            <w:r/>
            <w:r>
              <w:rPr>
                <w:rFonts w:ascii="仿宋_GB2312" w:hAnsi="仿宋_GB2312" w:eastAsia="仿宋_GB2312"/>
                <w:b/>
                <w:sz w:val="24"/>
              </w:rPr>
              <w:t>上期利息支出（万元）</w:t>
            </w:r>
          </w:p>
        </w:tc>
      </w:tr>
      <w:tr>
        <w:trPr>
          <w:trHeight w:val="397" w:hRule="exact"/>
          <w:cantSplit/>
        </w:trPr>
        <w:tc>
          <w:tcPr>
            <w:tcW w:type="dxa" w:w="2100"/>
          </w:tcPr>
          <w:p>
            <w:r/>
            <w:r>
              <w:rPr>
                <w:rFonts w:ascii="仿宋_GB2312" w:hAnsi="仿宋_GB2312" w:eastAsia="仿宋_GB2312"/>
                <w:b w:val="0"/>
                <w:sz w:val="24"/>
              </w:rPr>
              <w:t>可无限量添加行</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125、关联方应收应付款项</w:t>
      </w:r>
      <w:bookmarkStart w:id="41622" w:name="note_section_十一、关联方应收应付款"/>
      <w:bookmarkEnd w:id="41622"/>
    </w:p>
    <w:p>
      <w:pPr>
        <w:spacing w:before="0" w:after="240" w:line="240" w:lineRule="auto"/>
      </w:pPr>
      <w:r>
        <w:rPr>
          <w:rFonts w:ascii="仿宋_GB2312" w:hAnsi="仿宋_GB2312" w:eastAsia="仿宋_GB2312"/>
          <w:b w:val="0"/>
          <w:sz w:val="24"/>
        </w:rPr>
        <w:t>### 应收关联方款项</w:t>
        <w:br/>
        <w:br/>
        <w:t>注：关联交易约定以净额结算的，应收关联方款项可以抵销后金额填列。</w:t>
        <w:br/>
        <w:br/>
        <w:t>### 应付关联方款项</w:t>
        <w:br/>
        <w:br/>
        <w:t>注：关联交易约定以净额结算的，应付关联方款项可以抵销后金额填列。</w:t>
      </w:r>
    </w:p>
    <w:p>
      <w:pPr>
        <w:spacing w:before="120" w:after="240" w:line="240" w:lineRule="auto"/>
      </w:pPr>
      <w:r>
        <w:rPr>
          <w:rFonts w:ascii="仿宋_GB2312" w:hAnsi="仿宋_GB2312" w:eastAsia="仿宋_GB2312"/>
          <w:b/>
          <w:sz w:val="24"/>
        </w:rPr>
        <w:t>项目名称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项目名称</w:t>
            </w:r>
          </w:p>
        </w:tc>
        <w:tc>
          <w:tcPr>
            <w:tcW w:type="dxa" w:w="2100"/>
            <w:tcBorders>
              <w:bottom w:val="single" w:sz="4" w:space="0" w:color="000000"/>
            </w:tcBorders>
          </w:tcPr>
          <w:p>
            <w:pPr>
              <w:jc w:val="center"/>
            </w:pPr>
            <w:r/>
            <w:r>
              <w:rPr>
                <w:rFonts w:ascii="仿宋_GB2312" w:hAnsi="仿宋_GB2312" w:eastAsia="仿宋_GB2312"/>
                <w:b/>
                <w:sz w:val="24"/>
              </w:rPr>
              <w:t>关联方</w:t>
            </w:r>
          </w:p>
        </w:tc>
        <w:tc>
          <w:tcPr>
            <w:tcW w:type="dxa" w:w="2100"/>
            <w:tcBorders>
              <w:bottom w:val="single" w:sz="4" w:space="0" w:color="000000"/>
            </w:tcBorders>
          </w:tcPr>
          <w:p>
            <w:pPr>
              <w:jc w:val="center"/>
            </w:pPr>
            <w:r/>
            <w:r>
              <w:rPr>
                <w:rFonts w:ascii="仿宋_GB2312" w:hAnsi="仿宋_GB2312" w:eastAsia="仿宋_GB2312"/>
                <w:b/>
                <w:sz w:val="24"/>
              </w:rPr>
              <w:t>期末数</w:t>
            </w:r>
          </w:p>
        </w:tc>
        <w:tc>
          <w:tcPr>
            <w:tcW w:type="dxa" w:w="2100"/>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100"/>
          </w:tcPr>
          <w:p>
            <w:r/>
            <w:r>
              <w:rPr>
                <w:rFonts w:ascii="仿宋_GB2312" w:hAnsi="仿宋_GB2312" w:eastAsia="仿宋_GB2312"/>
                <w:b w:val="0"/>
                <w:sz w:val="24"/>
              </w:rPr>
              <w:t>项目名称</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可无限量添加行</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项目名称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项目名称</w:t>
            </w:r>
          </w:p>
        </w:tc>
        <w:tc>
          <w:tcPr>
            <w:tcW w:type="dxa" w:w="2100"/>
            <w:tcBorders>
              <w:bottom w:val="single" w:sz="4" w:space="0" w:color="000000"/>
            </w:tcBorders>
          </w:tcPr>
          <w:p>
            <w:pPr>
              <w:jc w:val="center"/>
            </w:pPr>
            <w:r/>
            <w:r>
              <w:rPr>
                <w:rFonts w:ascii="仿宋_GB2312" w:hAnsi="仿宋_GB2312" w:eastAsia="仿宋_GB2312"/>
                <w:b/>
                <w:sz w:val="24"/>
              </w:rPr>
              <w:t>关联方</w:t>
            </w:r>
          </w:p>
        </w:tc>
        <w:tc>
          <w:tcPr>
            <w:tcW w:type="dxa" w:w="2100"/>
            <w:tcBorders>
              <w:bottom w:val="single" w:sz="4" w:space="0" w:color="000000"/>
            </w:tcBorders>
          </w:tcPr>
          <w:p>
            <w:pPr>
              <w:jc w:val="center"/>
            </w:pPr>
            <w:r/>
            <w:r>
              <w:rPr>
                <w:rFonts w:ascii="仿宋_GB2312" w:hAnsi="仿宋_GB2312" w:eastAsia="仿宋_GB2312"/>
                <w:b/>
                <w:sz w:val="24"/>
              </w:rPr>
              <w:t>期末余额</w:t>
            </w:r>
          </w:p>
        </w:tc>
        <w:tc>
          <w:tcPr>
            <w:tcW w:type="dxa" w:w="2100"/>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100"/>
          </w:tcPr>
          <w:p>
            <w:r/>
            <w:r>
              <w:rPr>
                <w:rFonts w:ascii="仿宋_GB2312" w:hAnsi="仿宋_GB2312" w:eastAsia="仿宋_GB2312"/>
                <w:b w:val="0"/>
                <w:sz w:val="24"/>
              </w:rPr>
              <w:t>可无限量添加行</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126、本公司的其他关联方情况</w:t>
      </w:r>
      <w:bookmarkStart w:id="43711" w:name="note_section_十一、本公司的其他关联"/>
      <w:bookmarkEnd w:id="43711"/>
    </w:p>
    <w:p>
      <w:pPr>
        <w:spacing w:before="0" w:after="240" w:line="240" w:lineRule="auto"/>
      </w:pPr>
      <w:r>
        <w:rPr>
          <w:rFonts w:ascii="仿宋_GB2312" w:hAnsi="仿宋_GB2312" w:eastAsia="仿宋_GB2312"/>
          <w:b w:val="0"/>
          <w:sz w:val="24"/>
        </w:rPr>
        <w:t>本期无此项业务。</w:t>
      </w:r>
    </w:p>
    <w:p>
      <w:pPr>
        <w:spacing w:before="120" w:after="240" w:line="240" w:lineRule="auto"/>
      </w:pPr>
      <w:r>
        <w:rPr>
          <w:rFonts w:ascii="仿宋_GB2312" w:hAnsi="仿宋_GB2312" w:eastAsia="仿宋_GB2312"/>
          <w:b/>
          <w:sz w:val="24"/>
        </w:rPr>
        <w:t>127、本公司的合营企业、联营企业情况</w:t>
      </w:r>
      <w:bookmarkStart w:id="82984" w:name="note_section_十一、本公司的合营企业"/>
      <w:bookmarkEnd w:id="82984"/>
    </w:p>
    <w:p>
      <w:pPr>
        <w:spacing w:before="0" w:after="240" w:line="240" w:lineRule="auto"/>
      </w:pPr>
      <w:r>
        <w:rPr>
          <w:rFonts w:ascii="仿宋_GB2312" w:hAnsi="仿宋_GB2312" w:eastAsia="仿宋_GB2312"/>
          <w:b w:val="0"/>
          <w:sz w:val="24"/>
        </w:rPr>
        <w:t>重要的合营企业或联营企业基本信息</w:t>
        <w:br/>
        <w:br/>
        <w:t>①持股比例不同于表决权比例的，应说明表决权比例及差异原因。</w:t>
        <w:br/>
        <w:br/>
        <w:t>②持有其他主体20%以下表决权但具有重大影响，或者持有其他主体20%或以上表决权但不具有重大影响的，应披露相关判断和依据。</w:t>
        <w:br/>
        <w:br/>
        <w:t>本期与本公司发生关联方交易，或前期与本公司发生关联方交易形成余额的其他合营或联营企业情况</w:t>
      </w:r>
    </w:p>
    <w:p>
      <w:pPr>
        <w:spacing w:before="120" w:after="240" w:line="240" w:lineRule="auto"/>
      </w:pPr>
      <w:r>
        <w:rPr>
          <w:rFonts w:ascii="仿宋_GB2312" w:hAnsi="仿宋_GB2312" w:eastAsia="仿宋_GB2312"/>
          <w:b/>
          <w:sz w:val="24"/>
        </w:rPr>
        <w:t>合营企业或联营&lt;br/&gt;企业名称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合营企业或联营&lt;br/&gt;企业名称</w:t>
            </w:r>
          </w:p>
        </w:tc>
        <w:tc>
          <w:tcPr>
            <w:tcW w:type="dxa" w:w="1400"/>
            <w:tcBorders>
              <w:bottom w:val="single" w:sz="4" w:space="0" w:color="000000"/>
            </w:tcBorders>
          </w:tcPr>
          <w:p>
            <w:pPr>
              <w:jc w:val="center"/>
            </w:pPr>
            <w:r/>
            <w:r>
              <w:rPr>
                <w:rFonts w:ascii="仿宋_GB2312" w:hAnsi="仿宋_GB2312" w:eastAsia="仿宋_GB2312"/>
                <w:b/>
                <w:sz w:val="24"/>
              </w:rPr>
              <w:t>主要&lt;br/&gt;经营地</w:t>
            </w:r>
          </w:p>
        </w:tc>
        <w:tc>
          <w:tcPr>
            <w:tcW w:type="dxa" w:w="1400"/>
            <w:tcBorders>
              <w:bottom w:val="single" w:sz="4" w:space="0" w:color="000000"/>
            </w:tcBorders>
          </w:tcPr>
          <w:p>
            <w:pPr>
              <w:jc w:val="center"/>
            </w:pPr>
            <w:r/>
            <w:r>
              <w:rPr>
                <w:rFonts w:ascii="仿宋_GB2312" w:hAnsi="仿宋_GB2312" w:eastAsia="仿宋_GB2312"/>
                <w:b/>
                <w:sz w:val="24"/>
              </w:rPr>
              <w:t>注册地</w:t>
            </w:r>
          </w:p>
        </w:tc>
        <w:tc>
          <w:tcPr>
            <w:tcW w:type="dxa" w:w="1400"/>
            <w:tcBorders>
              <w:bottom w:val="single" w:sz="4" w:space="0" w:color="000000"/>
            </w:tcBorders>
          </w:tcPr>
          <w:p>
            <w:pPr>
              <w:jc w:val="center"/>
            </w:pPr>
            <w:r/>
            <w:r>
              <w:rPr>
                <w:rFonts w:ascii="仿宋_GB2312" w:hAnsi="仿宋_GB2312" w:eastAsia="仿宋_GB2312"/>
                <w:b/>
                <w:sz w:val="24"/>
              </w:rPr>
              <w:t>业务性质</w:t>
            </w:r>
          </w:p>
        </w:tc>
        <w:tc>
          <w:tcPr>
            <w:tcW w:type="dxa" w:w="1400"/>
            <w:tcBorders>
              <w:bottom w:val="single" w:sz="4" w:space="0" w:color="000000"/>
            </w:tcBorders>
          </w:tcPr>
          <w:p>
            <w:pPr>
              <w:jc w:val="center"/>
            </w:pPr>
            <w:r/>
            <w:r>
              <w:rPr>
                <w:rFonts w:ascii="仿宋_GB2312" w:hAnsi="仿宋_GB2312" w:eastAsia="仿宋_GB2312"/>
                <w:b/>
                <w:sz w:val="24"/>
              </w:rPr>
              <w:t>持股比例(%)</w:t>
            </w:r>
          </w:p>
        </w:tc>
        <w:tc>
          <w:tcPr>
            <w:tcW w:type="dxa" w:w="1400"/>
            <w:tcBorders>
              <w:bottom w:val="single" w:sz="4" w:space="0" w:color="000000"/>
            </w:tcBorders>
          </w:tcPr>
          <w:p>
            <w:pPr>
              <w:jc w:val="center"/>
            </w:pPr>
            <w:r/>
            <w:r>
              <w:rPr>
                <w:rFonts w:ascii="仿宋_GB2312" w:hAnsi="仿宋_GB2312" w:eastAsia="仿宋_GB2312"/>
                <w:b/>
                <w:sz w:val="24"/>
              </w:rPr>
              <w:t>表决权比例(%)</w:t>
            </w:r>
          </w:p>
        </w:tc>
      </w:tr>
      <w:tr>
        <w:trPr>
          <w:trHeight w:val="397" w:hRule="exact"/>
          <w:cantSplit/>
        </w:trPr>
        <w:tc>
          <w:tcPr>
            <w:tcW w:type="dxa" w:w="1400"/>
          </w:tcPr>
          <w:p>
            <w:r/>
            <w:r>
              <w:rPr>
                <w:rFonts w:ascii="仿宋_GB2312" w:hAnsi="仿宋_GB2312" w:eastAsia="仿宋_GB2312"/>
                <w:b w:val="0"/>
                <w:sz w:val="24"/>
              </w:rPr>
              <w:t>合营企业或联营&lt;br/&gt;企业名称</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一、合营企业</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二、联营企业</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r>
        <w:trPr>
          <w:trHeight w:val="397" w:hRule="exact"/>
          <w:cantSplit/>
        </w:trPr>
        <w:tc>
          <w:tcPr>
            <w:tcW w:type="dxa" w:w="1400"/>
          </w:tcPr>
          <w:p>
            <w:r/>
            <w:r>
              <w:rPr>
                <w:rFonts w:ascii="仿宋_GB2312" w:hAnsi="仿宋_GB2312" w:eastAsia="仿宋_GB2312"/>
                <w:b w:val="0"/>
                <w:sz w:val="24"/>
              </w:rPr>
              <w:t>可无限量添加行</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合营或联营企业名称</w:t>
      </w:r>
    </w:p>
    <w:p>
      <w:pPr>
        <w:spacing w:before="120" w:after="240" w:line="240" w:lineRule="auto"/>
      </w:pPr>
      <w:r>
        <w:rPr>
          <w:rFonts w:ascii="仿宋_GB2312" w:hAnsi="仿宋_GB2312" w:eastAsia="仿宋_GB2312"/>
          <w:b/>
          <w:sz w:val="24"/>
        </w:rPr>
        <w:t>128、本公司的子公司情况</w:t>
      </w:r>
      <w:bookmarkStart w:id="70310" w:name="note_section_十一、本公司的子公司情"/>
      <w:bookmarkEnd w:id="70310"/>
    </w:p>
    <w:p>
      <w:pPr>
        <w:spacing w:before="0" w:after="240" w:line="240" w:lineRule="auto"/>
      </w:pPr>
      <w:r>
        <w:rPr>
          <w:rFonts w:ascii="仿宋_GB2312" w:hAnsi="仿宋_GB2312" w:eastAsia="仿宋_GB2312"/>
          <w:b w:val="0"/>
          <w:sz w:val="24"/>
        </w:rPr>
        <w:t>本公司的子公司情况详见附注七、（一）。</w:t>
      </w:r>
    </w:p>
    <w:p>
      <w:pPr>
        <w:spacing w:before="120" w:after="240" w:line="240" w:lineRule="auto"/>
      </w:pPr>
      <w:r>
        <w:rPr>
          <w:rFonts w:ascii="仿宋_GB2312" w:hAnsi="仿宋_GB2312" w:eastAsia="仿宋_GB2312"/>
          <w:b/>
          <w:sz w:val="24"/>
        </w:rPr>
        <w:t>129、本公司的母公司情况</w:t>
      </w:r>
      <w:bookmarkStart w:id="65195" w:name="note_section_十一、本公司的母公司情"/>
      <w:bookmarkEnd w:id="65195"/>
    </w:p>
    <w:p>
      <w:pPr>
        <w:spacing w:before="0" w:after="240" w:line="240" w:lineRule="auto"/>
      </w:pPr>
      <w:r>
        <w:rPr>
          <w:rFonts w:ascii="仿宋_GB2312" w:hAnsi="仿宋_GB2312" w:eastAsia="仿宋_GB2312"/>
          <w:b w:val="0"/>
          <w:sz w:val="24"/>
        </w:rPr>
        <w:t>本公司的最终控制方为[母公司]/[最终控制方名称]。</w:t>
        <w:br/>
        <w:br/>
        <w:t>（注：对于上市公司母公司不是本公司最终控制方的，说明最终控制方名称；母公司和最终控制方均不对外提供财务报表的，说明母公司之上与其最相近的对外提供财务报表的母公司名称。</w:t>
        <w:br/>
        <w:br/>
        <w:t>对于非上市公司按产权级次披露上市母公司信息）</w:t>
        <w:br/>
        <w:br/>
        <w:t>（如报告期内母公司变更、母公司注册资本或实收资本有变化，应按以下格式披露；如无变化，不披露。)</w:t>
      </w:r>
    </w:p>
    <w:p>
      <w:pPr>
        <w:spacing w:before="120" w:after="240" w:line="240" w:lineRule="auto"/>
      </w:pPr>
      <w:r>
        <w:rPr>
          <w:rFonts w:ascii="仿宋_GB2312" w:hAnsi="仿宋_GB2312" w:eastAsia="仿宋_GB2312"/>
          <w:b/>
          <w:sz w:val="24"/>
        </w:rPr>
        <w:t>母公司名称</w:t>
      </w:r>
    </w:p>
    <w:p>
      <w:pPr>
        <w:spacing w:before="120" w:after="240" w:line="240" w:lineRule="auto"/>
      </w:pPr>
      <w:r>
        <w:rPr>
          <w:rFonts w:ascii="仿宋_GB2312" w:hAnsi="仿宋_GB2312" w:eastAsia="仿宋_GB2312"/>
          <w:b/>
          <w:sz w:val="24"/>
        </w:rPr>
        <w:t>母公司名称</w:t>
      </w:r>
    </w:p>
    <w:p>
      <w:pPr>
        <w:spacing w:before="120" w:after="240" w:line="240" w:lineRule="auto"/>
      </w:pPr>
      <w:r>
        <w:rPr>
          <w:rFonts w:ascii="仿宋_GB2312" w:hAnsi="仿宋_GB2312" w:eastAsia="仿宋_GB2312"/>
          <w:b/>
          <w:sz w:val="24"/>
        </w:rPr>
        <w:t>130、按照有关财务会计制度应披露的其他内容</w:t>
      </w:r>
      <w:bookmarkStart w:id="15668" w:name="note_section_十三、1"/>
      <w:bookmarkEnd w:id="15668"/>
    </w:p>
    <w:p>
      <w:pPr>
        <w:spacing w:before="0" w:after="240" w:line="240" w:lineRule="auto"/>
      </w:pPr>
      <w:r>
        <w:rPr>
          <w:rFonts w:ascii="仿宋_GB2312" w:hAnsi="仿宋_GB2312" w:eastAsia="仿宋_GB2312"/>
          <w:b w:val="0"/>
          <w:sz w:val="24"/>
        </w:rPr>
        <w:t>（一）或有负债（不包括极小可能导致经济利益流出企业的或有负债）。</w:t>
        <w:br/>
        <w:br/>
        <w:t>1.或有负债的种类及其形成原因，包括已贴现商业承兑汇票、未决诉讼、未决仲裁、对外提供担保等形成的或有负债。</w:t>
        <w:br/>
        <w:br/>
        <w:t>2.经济利益流出不确定性的说明。</w:t>
        <w:br/>
        <w:br/>
        <w:t>3.或有负债预计产生的财务影响，以及获得补偿的可能性；无法预计的，应当说明原因。</w:t>
        <w:br/>
        <w:br/>
        <w:t>（二）企业通常不应当披露或有资产。但或有资产很可能会给企业带来经济利益的，应当披露其形成的原因、预计产生的财务影响等。】</w:t>
      </w:r>
    </w:p>
    <w:p>
      <w:pPr>
        <w:spacing w:before="120" w:after="240" w:line="240" w:lineRule="auto"/>
      </w:pPr>
      <w:r>
        <w:rPr>
          <w:rFonts w:ascii="仿宋_GB2312" w:hAnsi="仿宋_GB2312" w:eastAsia="仿宋_GB2312"/>
          <w:b/>
          <w:sz w:val="24"/>
        </w:rPr>
        <w:t>131、其他应收款</w:t>
      </w:r>
      <w:bookmarkStart w:id="35636" w:name="note_section_十二、其他应收款"/>
      <w:bookmarkEnd w:id="35636"/>
    </w:p>
    <w:p>
      <w:pPr>
        <w:spacing w:before="0" w:after="240" w:line="240" w:lineRule="auto"/>
      </w:pPr>
      <w:r>
        <w:rPr>
          <w:rFonts w:ascii="仿宋_GB2312" w:hAnsi="仿宋_GB2312" w:eastAsia="仿宋_GB2312"/>
          <w:b w:val="0"/>
          <w:sz w:val="24"/>
        </w:rPr>
        <w:t>应收利息</w:t>
        <w:br/>
        <w:br/>
        <w:t>#### 应收利息分类</w:t>
        <w:br/>
        <w:br/>
        <w:t>#### 重要逾期利息</w:t>
        <w:br/>
        <w:br/>
        <w:t>应收股利</w:t>
        <w:br/>
        <w:br/>
        <w:t>其他应收款项</w:t>
        <w:br/>
        <w:br/>
        <w:t>单项计提坏账准备的其他应收款项</w:t>
        <w:br/>
        <w:br/>
        <w:t>按信用风险特征组合计提坏账准备的其他应收款项</w:t>
        <w:br/>
        <w:br/>
        <w:t>#### 采用余额百分比法或其他组合方法计提坏账准备的其他应收款项</w:t>
        <w:br/>
        <w:br/>
        <w:t>收回或转回的坏账准备</w:t>
        <w:br/>
        <w:br/>
        <w:t>本期实际核销的其他应收款项</w:t>
        <w:br/>
        <w:br/>
        <w:t>按欠款方归集的期末余额前五名的其他应收款项</w:t>
        <w:br/>
        <w:br/>
        <w:t>企业应披露涉及政府补助的应收款项</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应收利息</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应收股利</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其他应收款项</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定期存款</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委托贷款</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债券投资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减：坏账准备</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借款单位</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借款单位</w:t>
            </w:r>
          </w:p>
        </w:tc>
        <w:tc>
          <w:tcPr>
            <w:tcW w:type="dxa" w:w="1680"/>
            <w:tcBorders>
              <w:bottom w:val="single" w:sz="4" w:space="0" w:color="000000"/>
            </w:tcBorders>
          </w:tcPr>
          <w:p>
            <w:pPr>
              <w:jc w:val="center"/>
            </w:pPr>
            <w:r/>
            <w:r>
              <w:rPr>
                <w:rFonts w:ascii="仿宋_GB2312" w:hAnsi="仿宋_GB2312" w:eastAsia="仿宋_GB2312"/>
                <w:b/>
                <w:sz w:val="24"/>
              </w:rPr>
              <w:t>期末余额</w:t>
            </w:r>
          </w:p>
        </w:tc>
        <w:tc>
          <w:tcPr>
            <w:tcW w:type="dxa" w:w="1680"/>
            <w:tcBorders>
              <w:bottom w:val="single" w:sz="4" w:space="0" w:color="000000"/>
            </w:tcBorders>
          </w:tcPr>
          <w:p>
            <w:pPr>
              <w:jc w:val="center"/>
            </w:pPr>
            <w:r/>
            <w:r>
              <w:rPr>
                <w:rFonts w:ascii="仿宋_GB2312" w:hAnsi="仿宋_GB2312" w:eastAsia="仿宋_GB2312"/>
                <w:b/>
                <w:sz w:val="24"/>
              </w:rPr>
              <w:t>逾期时间（月）</w:t>
            </w:r>
          </w:p>
        </w:tc>
        <w:tc>
          <w:tcPr>
            <w:tcW w:type="dxa" w:w="1680"/>
            <w:tcBorders>
              <w:bottom w:val="single" w:sz="4" w:space="0" w:color="000000"/>
            </w:tcBorders>
          </w:tcPr>
          <w:p>
            <w:pPr>
              <w:jc w:val="center"/>
            </w:pPr>
            <w:r/>
            <w:r>
              <w:rPr>
                <w:rFonts w:ascii="仿宋_GB2312" w:hAnsi="仿宋_GB2312" w:eastAsia="仿宋_GB2312"/>
                <w:b/>
                <w:sz w:val="24"/>
              </w:rPr>
              <w:t>逾期原因</w:t>
            </w:r>
          </w:p>
        </w:tc>
        <w:tc>
          <w:tcPr>
            <w:tcW w:type="dxa" w:w="1680"/>
            <w:tcBorders>
              <w:bottom w:val="single" w:sz="4" w:space="0" w:color="000000"/>
            </w:tcBorders>
          </w:tcPr>
          <w:p>
            <w:pPr>
              <w:jc w:val="center"/>
            </w:pPr>
            <w:r/>
            <w:r>
              <w:rPr>
                <w:rFonts w:ascii="仿宋_GB2312" w:hAnsi="仿宋_GB2312" w:eastAsia="仿宋_GB2312"/>
                <w:b/>
                <w:sz w:val="24"/>
              </w:rPr>
              <w:t>是否发生减值及其判断依据</w:t>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坏账准备</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坏账准备</w:t>
            </w:r>
          </w:p>
        </w:tc>
        <w:tc>
          <w:tcPr>
            <w:tcW w:type="dxa" w:w="1680"/>
            <w:tcBorders>
              <w:bottom w:val="single" w:sz="4" w:space="0" w:color="000000"/>
            </w:tcBorders>
          </w:tcPr>
          <w:p>
            <w:pPr>
              <w:jc w:val="center"/>
            </w:pPr>
            <w:r/>
            <w:r>
              <w:rPr>
                <w:rFonts w:ascii="仿宋_GB2312" w:hAnsi="仿宋_GB2312" w:eastAsia="仿宋_GB2312"/>
                <w:b/>
                <w:sz w:val="24"/>
              </w:rPr>
              <w:t>第一阶段</w:t>
            </w:r>
          </w:p>
        </w:tc>
        <w:tc>
          <w:tcPr>
            <w:tcW w:type="dxa" w:w="1680"/>
            <w:tcBorders>
              <w:bottom w:val="single" w:sz="4" w:space="0" w:color="000000"/>
            </w:tcBorders>
          </w:tcPr>
          <w:p>
            <w:pPr>
              <w:jc w:val="center"/>
            </w:pPr>
            <w:r/>
            <w:r>
              <w:rPr>
                <w:rFonts w:ascii="仿宋_GB2312" w:hAnsi="仿宋_GB2312" w:eastAsia="仿宋_GB2312"/>
                <w:b/>
                <w:sz w:val="24"/>
              </w:rPr>
              <w:t>第二阶段</w:t>
            </w:r>
          </w:p>
        </w:tc>
        <w:tc>
          <w:tcPr>
            <w:tcW w:type="dxa" w:w="1680"/>
            <w:tcBorders>
              <w:bottom w:val="single" w:sz="4" w:space="0" w:color="000000"/>
            </w:tcBorders>
          </w:tcPr>
          <w:p>
            <w:pPr>
              <w:jc w:val="center"/>
            </w:pPr>
            <w:r/>
            <w:r>
              <w:rPr>
                <w:rFonts w:ascii="仿宋_GB2312" w:hAnsi="仿宋_GB2312" w:eastAsia="仿宋_GB2312"/>
                <w:b/>
                <w:sz w:val="24"/>
              </w:rPr>
              <w:t>第三阶段</w:t>
            </w:r>
          </w:p>
        </w:tc>
        <w:tc>
          <w:tcPr>
            <w:tcW w:type="dxa" w:w="1680"/>
            <w:tcBorders>
              <w:bottom w:val="single" w:sz="4" w:space="0" w:color="000000"/>
            </w:tcBorders>
          </w:tcPr>
          <w:p>
            <w:pPr>
              <w:jc w:val="center"/>
            </w:pPr>
            <w:r/>
            <w:r>
              <w:rPr>
                <w:rFonts w:ascii="仿宋_GB2312" w:hAnsi="仿宋_GB2312" w:eastAsia="仿宋_GB2312"/>
                <w:b/>
                <w:sz w:val="24"/>
              </w:rPr>
              <w:t>合计</w:t>
            </w:r>
          </w:p>
        </w:tc>
      </w:tr>
      <w:tr>
        <w:trPr>
          <w:trHeight w:val="397" w:hRule="exact"/>
          <w:cantSplit/>
        </w:trPr>
        <w:tc>
          <w:tcPr>
            <w:tcW w:type="dxa" w:w="1680"/>
          </w:tcPr>
          <w:p>
            <w:r/>
            <w:r>
              <w:rPr>
                <w:rFonts w:ascii="仿宋_GB2312" w:hAnsi="仿宋_GB2312" w:eastAsia="仿宋_GB2312"/>
                <w:b w:val="0"/>
                <w:sz w:val="24"/>
              </w:rPr>
              <w:t>坏账准备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期初余额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期初余额在本期</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—转入第二阶段</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—转入第三阶段</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—转回第二阶段</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—转回第一阶段</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本期计提</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本期转回</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本期转销</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本期核销</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其他变动</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期末余额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期末余额</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未收回的原因</w:t>
            </w:r>
          </w:p>
        </w:tc>
        <w:tc>
          <w:tcPr>
            <w:tcW w:type="dxa" w:w="1680"/>
            <w:tcBorders>
              <w:bottom w:val="single" w:sz="4" w:space="0" w:color="000000"/>
            </w:tcBorders>
          </w:tcPr>
          <w:p>
            <w:pPr>
              <w:jc w:val="center"/>
            </w:pPr>
            <w:r/>
            <w:r>
              <w:rPr>
                <w:rFonts w:ascii="仿宋_GB2312" w:hAnsi="仿宋_GB2312" w:eastAsia="仿宋_GB2312"/>
                <w:b/>
                <w:sz w:val="24"/>
              </w:rPr>
              <w:t>是否发生减值及其判断依据</w:t>
            </w:r>
          </w:p>
        </w:tc>
      </w:tr>
      <w:tr>
        <w:trPr>
          <w:trHeight w:val="397" w:hRule="exact"/>
          <w:cantSplit/>
        </w:trPr>
        <w:tc>
          <w:tcPr>
            <w:tcW w:type="dxa" w:w="1680"/>
          </w:tcPr>
          <w:p>
            <w:r/>
            <w:r>
              <w:rPr>
                <w:rFonts w:ascii="仿宋_GB2312" w:hAnsi="仿宋_GB2312" w:eastAsia="仿宋_GB2312"/>
                <w:b w:val="0"/>
                <w:sz w:val="24"/>
              </w:rPr>
              <w:t>账龄一年以内的应收股利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其中：（1）</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账龄一年以上的应收股利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其中：（1）</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（2）</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小计：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减：坏账准备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账  龄</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账龄</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1年以内（含1年）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1至2年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2至3年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3年以上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类  别</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类别</w:t>
            </w:r>
          </w:p>
        </w:tc>
        <w:tc>
          <w:tcPr>
            <w:tcW w:type="dxa" w:w="4201"/>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4201"/>
          </w:tcPr>
          <w:p>
            <w:r/>
            <w:r>
              <w:rPr>
                <w:rFonts w:ascii="仿宋_GB2312" w:hAnsi="仿宋_GB2312" w:eastAsia="仿宋_GB2312"/>
                <w:b w:val="0"/>
                <w:sz w:val="24"/>
              </w:rPr>
              <w:t>类别</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类别</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单项计提坏账准备的其他应收款项</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按信用风险特征组合计提坏账准备的其他应收款项</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合计</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其他应收款（续）类  别</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类别</w:t>
            </w:r>
          </w:p>
        </w:tc>
        <w:tc>
          <w:tcPr>
            <w:tcW w:type="dxa" w:w="42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4201"/>
          </w:tcPr>
          <w:p>
            <w:r/>
            <w:r>
              <w:rPr>
                <w:rFonts w:ascii="仿宋_GB2312" w:hAnsi="仿宋_GB2312" w:eastAsia="仿宋_GB2312"/>
                <w:b w:val="0"/>
                <w:sz w:val="24"/>
              </w:rPr>
              <w:t>类别</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类别</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单项计提坏账准备的其他应收款项</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按信用风险特征组合计提坏账准备的其他应收款项</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合计</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其他应收款（续）债务人名称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债务人名称</w:t>
            </w:r>
          </w:p>
        </w:tc>
        <w:tc>
          <w:tcPr>
            <w:tcW w:type="dxa" w:w="4201"/>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4201"/>
          </w:tcPr>
          <w:p>
            <w:r/>
            <w:r>
              <w:rPr>
                <w:rFonts w:ascii="仿宋_GB2312" w:hAnsi="仿宋_GB2312" w:eastAsia="仿宋_GB2312"/>
                <w:b w:val="0"/>
                <w:sz w:val="24"/>
              </w:rPr>
              <w:t>债务人名称</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合计</w:t>
            </w:r>
          </w:p>
        </w:tc>
        <w:tc>
          <w:tcPr>
            <w:tcW w:type="dxa" w:w="42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其他应收款（续）账  龄</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账龄</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账龄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账龄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1年以内（含1年）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1至2年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2至3年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3年以上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其他应收款（续）组合名称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组合名称</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组合名称</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其他应收款（续）坏账准备</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坏账准备</w:t>
            </w:r>
          </w:p>
        </w:tc>
        <w:tc>
          <w:tcPr>
            <w:tcW w:type="dxa" w:w="1680"/>
            <w:tcBorders>
              <w:bottom w:val="single" w:sz="4" w:space="0" w:color="000000"/>
            </w:tcBorders>
          </w:tcPr>
          <w:p>
            <w:pPr>
              <w:jc w:val="center"/>
            </w:pPr>
            <w:r/>
            <w:r>
              <w:rPr>
                <w:rFonts w:ascii="仿宋_GB2312" w:hAnsi="仿宋_GB2312" w:eastAsia="仿宋_GB2312"/>
                <w:b/>
                <w:sz w:val="24"/>
              </w:rPr>
              <w:t>第一阶段</w:t>
            </w:r>
          </w:p>
        </w:tc>
        <w:tc>
          <w:tcPr>
            <w:tcW w:type="dxa" w:w="1680"/>
            <w:tcBorders>
              <w:bottom w:val="single" w:sz="4" w:space="0" w:color="000000"/>
            </w:tcBorders>
          </w:tcPr>
          <w:p>
            <w:pPr>
              <w:jc w:val="center"/>
            </w:pPr>
            <w:r/>
            <w:r>
              <w:rPr>
                <w:rFonts w:ascii="仿宋_GB2312" w:hAnsi="仿宋_GB2312" w:eastAsia="仿宋_GB2312"/>
                <w:b/>
                <w:sz w:val="24"/>
              </w:rPr>
              <w:t>第二阶段</w:t>
            </w:r>
          </w:p>
        </w:tc>
        <w:tc>
          <w:tcPr>
            <w:tcW w:type="dxa" w:w="1680"/>
            <w:tcBorders>
              <w:bottom w:val="single" w:sz="4" w:space="0" w:color="000000"/>
            </w:tcBorders>
          </w:tcPr>
          <w:p>
            <w:pPr>
              <w:jc w:val="center"/>
            </w:pPr>
            <w:r/>
            <w:r>
              <w:rPr>
                <w:rFonts w:ascii="仿宋_GB2312" w:hAnsi="仿宋_GB2312" w:eastAsia="仿宋_GB2312"/>
                <w:b/>
                <w:sz w:val="24"/>
              </w:rPr>
              <w:t>第三阶段</w:t>
            </w:r>
          </w:p>
        </w:tc>
        <w:tc>
          <w:tcPr>
            <w:tcW w:type="dxa" w:w="1680"/>
            <w:tcBorders>
              <w:bottom w:val="single" w:sz="4" w:space="0" w:color="000000"/>
            </w:tcBorders>
          </w:tcPr>
          <w:p>
            <w:pPr>
              <w:jc w:val="center"/>
            </w:pPr>
            <w:r/>
            <w:r>
              <w:rPr>
                <w:rFonts w:ascii="仿宋_GB2312" w:hAnsi="仿宋_GB2312" w:eastAsia="仿宋_GB2312"/>
                <w:b/>
                <w:sz w:val="24"/>
              </w:rPr>
              <w:t>合计</w:t>
            </w:r>
          </w:p>
        </w:tc>
      </w:tr>
      <w:tr>
        <w:trPr>
          <w:trHeight w:val="397" w:hRule="exact"/>
          <w:cantSplit/>
        </w:trPr>
        <w:tc>
          <w:tcPr>
            <w:tcW w:type="dxa" w:w="1680"/>
          </w:tcPr>
          <w:p>
            <w:r/>
            <w:r>
              <w:rPr>
                <w:rFonts w:ascii="仿宋_GB2312" w:hAnsi="仿宋_GB2312" w:eastAsia="仿宋_GB2312"/>
                <w:b w:val="0"/>
                <w:sz w:val="24"/>
              </w:rPr>
              <w:t>坏账准备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期初余额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期初余额在本期</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—转入第二阶段</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—转入第三阶段</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—转回第二阶段</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—转回第一阶段</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本期计提</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本期转回</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本期转销</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本期核销</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其他变动</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期末余额</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其他应收款（续）债务人名称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债务人名称</w:t>
            </w:r>
          </w:p>
        </w:tc>
        <w:tc>
          <w:tcPr>
            <w:tcW w:type="dxa" w:w="2100"/>
            <w:tcBorders>
              <w:bottom w:val="single" w:sz="4" w:space="0" w:color="000000"/>
            </w:tcBorders>
          </w:tcPr>
          <w:p>
            <w:pPr>
              <w:jc w:val="center"/>
            </w:pPr>
            <w:r/>
            <w:r>
              <w:rPr>
                <w:rFonts w:ascii="仿宋_GB2312" w:hAnsi="仿宋_GB2312" w:eastAsia="仿宋_GB2312"/>
                <w:b/>
                <w:sz w:val="24"/>
              </w:rPr>
              <w:t>转回或收回金额</w:t>
            </w:r>
          </w:p>
        </w:tc>
        <w:tc>
          <w:tcPr>
            <w:tcW w:type="dxa" w:w="2100"/>
            <w:tcBorders>
              <w:bottom w:val="single" w:sz="4" w:space="0" w:color="000000"/>
            </w:tcBorders>
          </w:tcPr>
          <w:p>
            <w:pPr>
              <w:jc w:val="center"/>
            </w:pPr>
            <w:r/>
            <w:r>
              <w:rPr>
                <w:rFonts w:ascii="仿宋_GB2312" w:hAnsi="仿宋_GB2312" w:eastAsia="仿宋_GB2312"/>
                <w:b/>
                <w:sz w:val="24"/>
              </w:rPr>
              <w:t>转回或收回前累计&lt;br/&gt;已计提坏账准备金额</w:t>
            </w:r>
          </w:p>
        </w:tc>
        <w:tc>
          <w:tcPr>
            <w:tcW w:type="dxa" w:w="2100"/>
            <w:tcBorders>
              <w:bottom w:val="single" w:sz="4" w:space="0" w:color="000000"/>
            </w:tcBorders>
          </w:tcPr>
          <w:p>
            <w:pPr>
              <w:jc w:val="center"/>
            </w:pPr>
            <w:r/>
            <w:r>
              <w:rPr>
                <w:rFonts w:ascii="仿宋_GB2312" w:hAnsi="仿宋_GB2312" w:eastAsia="仿宋_GB2312"/>
                <w:b/>
                <w:sz w:val="24"/>
              </w:rPr>
              <w:t>转回或收回&lt;br/&gt;原因、方式</w:t>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其他应收款（续）债务人名称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债务人名称</w:t>
            </w:r>
          </w:p>
        </w:tc>
        <w:tc>
          <w:tcPr>
            <w:tcW w:type="dxa" w:w="1400"/>
            <w:tcBorders>
              <w:bottom w:val="single" w:sz="4" w:space="0" w:color="000000"/>
            </w:tcBorders>
          </w:tcPr>
          <w:p>
            <w:pPr>
              <w:jc w:val="center"/>
            </w:pPr>
            <w:r/>
            <w:r>
              <w:rPr>
                <w:rFonts w:ascii="仿宋_GB2312" w:hAnsi="仿宋_GB2312" w:eastAsia="仿宋_GB2312"/>
                <w:b/>
                <w:sz w:val="24"/>
              </w:rPr>
              <w:t>其他应收款项&lt;br/&gt;性质</w:t>
            </w:r>
          </w:p>
        </w:tc>
        <w:tc>
          <w:tcPr>
            <w:tcW w:type="dxa" w:w="1400"/>
            <w:tcBorders>
              <w:bottom w:val="single" w:sz="4" w:space="0" w:color="000000"/>
            </w:tcBorders>
          </w:tcPr>
          <w:p>
            <w:pPr>
              <w:jc w:val="center"/>
            </w:pPr>
            <w:r/>
            <w:r>
              <w:rPr>
                <w:rFonts w:ascii="仿宋_GB2312" w:hAnsi="仿宋_GB2312" w:eastAsia="仿宋_GB2312"/>
                <w:b/>
                <w:sz w:val="24"/>
              </w:rPr>
              <w:t>核销金额</w:t>
            </w:r>
          </w:p>
        </w:tc>
        <w:tc>
          <w:tcPr>
            <w:tcW w:type="dxa" w:w="1400"/>
            <w:tcBorders>
              <w:bottom w:val="single" w:sz="4" w:space="0" w:color="000000"/>
            </w:tcBorders>
          </w:tcPr>
          <w:p>
            <w:pPr>
              <w:jc w:val="center"/>
            </w:pPr>
            <w:r/>
            <w:r>
              <w:rPr>
                <w:rFonts w:ascii="仿宋_GB2312" w:hAnsi="仿宋_GB2312" w:eastAsia="仿宋_GB2312"/>
                <w:b/>
                <w:sz w:val="24"/>
              </w:rPr>
              <w:t>核销原因</w:t>
            </w:r>
          </w:p>
        </w:tc>
        <w:tc>
          <w:tcPr>
            <w:tcW w:type="dxa" w:w="1400"/>
            <w:tcBorders>
              <w:bottom w:val="single" w:sz="4" w:space="0" w:color="000000"/>
            </w:tcBorders>
          </w:tcPr>
          <w:p>
            <w:pPr>
              <w:jc w:val="center"/>
            </w:pPr>
            <w:r/>
            <w:r>
              <w:rPr>
                <w:rFonts w:ascii="仿宋_GB2312" w:hAnsi="仿宋_GB2312" w:eastAsia="仿宋_GB2312"/>
                <w:b/>
                <w:sz w:val="24"/>
              </w:rPr>
              <w:t>履行的核销程序</w:t>
            </w:r>
          </w:p>
        </w:tc>
        <w:tc>
          <w:tcPr>
            <w:tcW w:type="dxa" w:w="1400"/>
            <w:tcBorders>
              <w:bottom w:val="single" w:sz="4" w:space="0" w:color="000000"/>
            </w:tcBorders>
          </w:tcPr>
          <w:p>
            <w:pPr>
              <w:jc w:val="center"/>
            </w:pPr>
            <w:r/>
            <w:r>
              <w:rPr>
                <w:rFonts w:ascii="仿宋_GB2312" w:hAnsi="仿宋_GB2312" w:eastAsia="仿宋_GB2312"/>
                <w:b/>
                <w:sz w:val="24"/>
              </w:rPr>
              <w:t>是否因关联&lt;br/&gt;交易产生</w:t>
            </w:r>
          </w:p>
        </w:tc>
      </w:tr>
      <w:tr>
        <w:trPr>
          <w:trHeight w:val="397" w:hRule="exact"/>
          <w:cantSplit/>
        </w:trPr>
        <w:tc>
          <w:tcPr>
            <w:tcW w:type="dxa" w:w="1400"/>
          </w:tcPr>
          <w:p>
            <w:r/>
            <w:r>
              <w:rPr>
                <w:rFonts w:ascii="仿宋_GB2312" w:hAnsi="仿宋_GB2312" w:eastAsia="仿宋_GB2312"/>
                <w:b w:val="0"/>
                <w:sz w:val="24"/>
              </w:rPr>
              <w:t>合计</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其他应收款（续）债务人名称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债务人名称</w:t>
            </w:r>
          </w:p>
        </w:tc>
        <w:tc>
          <w:tcPr>
            <w:tcW w:type="dxa" w:w="1400"/>
            <w:tcBorders>
              <w:bottom w:val="single" w:sz="4" w:space="0" w:color="000000"/>
            </w:tcBorders>
          </w:tcPr>
          <w:p>
            <w:pPr>
              <w:jc w:val="center"/>
            </w:pPr>
            <w:r/>
            <w:r>
              <w:rPr>
                <w:rFonts w:ascii="仿宋_GB2312" w:hAnsi="仿宋_GB2312" w:eastAsia="仿宋_GB2312"/>
                <w:b/>
                <w:sz w:val="24"/>
              </w:rPr>
              <w:t>款项性质</w:t>
            </w:r>
          </w:p>
        </w:tc>
        <w:tc>
          <w:tcPr>
            <w:tcW w:type="dxa" w:w="1400"/>
            <w:tcBorders>
              <w:bottom w:val="single" w:sz="4" w:space="0" w:color="000000"/>
            </w:tcBorders>
          </w:tcPr>
          <w:p>
            <w:pPr>
              <w:jc w:val="center"/>
            </w:pPr>
            <w:r/>
            <w:r>
              <w:rPr>
                <w:rFonts w:ascii="仿宋_GB2312" w:hAnsi="仿宋_GB2312" w:eastAsia="仿宋_GB2312"/>
                <w:b/>
                <w:sz w:val="24"/>
              </w:rPr>
              <w:t>账面余额</w:t>
            </w:r>
          </w:p>
        </w:tc>
        <w:tc>
          <w:tcPr>
            <w:tcW w:type="dxa" w:w="1400"/>
            <w:tcBorders>
              <w:bottom w:val="single" w:sz="4" w:space="0" w:color="000000"/>
            </w:tcBorders>
          </w:tcPr>
          <w:p>
            <w:pPr>
              <w:jc w:val="center"/>
            </w:pPr>
            <w:r/>
            <w:r>
              <w:rPr>
                <w:rFonts w:ascii="仿宋_GB2312" w:hAnsi="仿宋_GB2312" w:eastAsia="仿宋_GB2312"/>
                <w:b/>
                <w:sz w:val="24"/>
              </w:rPr>
              <w:t>账龄</w:t>
            </w:r>
          </w:p>
        </w:tc>
        <w:tc>
          <w:tcPr>
            <w:tcW w:type="dxa" w:w="1400"/>
            <w:tcBorders>
              <w:bottom w:val="single" w:sz="4" w:space="0" w:color="000000"/>
            </w:tcBorders>
          </w:tcPr>
          <w:p>
            <w:pPr>
              <w:jc w:val="center"/>
            </w:pPr>
            <w:r/>
            <w:r>
              <w:rPr>
                <w:rFonts w:ascii="仿宋_GB2312" w:hAnsi="仿宋_GB2312" w:eastAsia="仿宋_GB2312"/>
                <w:b/>
                <w:sz w:val="24"/>
              </w:rPr>
              <w:t>占其他应收款项合计的比例（%）</w:t>
            </w:r>
          </w:p>
        </w:tc>
        <w:tc>
          <w:tcPr>
            <w:tcW w:type="dxa" w:w="1400"/>
            <w:tcBorders>
              <w:bottom w:val="single" w:sz="4" w:space="0" w:color="000000"/>
            </w:tcBorders>
          </w:tcPr>
          <w:p>
            <w:pPr>
              <w:jc w:val="center"/>
            </w:pPr>
            <w:r/>
            <w:r>
              <w:rPr>
                <w:rFonts w:ascii="仿宋_GB2312" w:hAnsi="仿宋_GB2312" w:eastAsia="仿宋_GB2312"/>
                <w:b/>
                <w:sz w:val="24"/>
              </w:rPr>
              <w:t>坏账准备</w:t>
            </w:r>
          </w:p>
        </w:tc>
      </w:tr>
      <w:tr>
        <w:trPr>
          <w:trHeight w:val="397" w:hRule="exact"/>
          <w:cantSplit/>
        </w:trPr>
        <w:tc>
          <w:tcPr>
            <w:tcW w:type="dxa" w:w="1400"/>
          </w:tcPr>
          <w:p>
            <w:r/>
            <w:r>
              <w:rPr>
                <w:rFonts w:ascii="仿宋_GB2312" w:hAnsi="仿宋_GB2312" w:eastAsia="仿宋_GB2312"/>
                <w:b w:val="0"/>
                <w:sz w:val="24"/>
              </w:rPr>
              <w:t>合计</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132、应收账款</w:t>
      </w:r>
      <w:bookmarkStart w:id="1799" w:name="note_section_十二、应收账款"/>
      <w:bookmarkEnd w:id="1799"/>
    </w:p>
    <w:p>
      <w:pPr>
        <w:spacing w:before="0" w:after="240" w:line="240" w:lineRule="auto"/>
      </w:pPr>
      <w:r>
        <w:rPr>
          <w:rFonts w:ascii="仿宋_GB2312" w:hAnsi="仿宋_GB2312" w:eastAsia="仿宋_GB2312"/>
          <w:b w:val="0"/>
          <w:sz w:val="24"/>
        </w:rPr>
        <w:t>（1）按账龄披露应收账款</w:t>
        <w:br/>
        <w:br/>
        <w:t>（2）按坏账准备计提方法分类披露应收账款</w:t>
        <w:br/>
        <w:br/>
        <w:t>#### 期末单项计提坏账准备的应收账款</w:t>
        <w:br/>
        <w:br/>
        <w:t>（3）本期计提、收回或转回的坏账准备情况</w:t>
        <w:br/>
        <w:br/>
        <w:t>（4）本期实际核销的应收账款</w:t>
        <w:br/>
        <w:br/>
        <w:t>（5）按欠款方归集的期末余额前五名的应收账款</w:t>
        <w:br/>
        <w:br/>
        <w:t>（6）由金融资产转移而终止确认的应收账款</w:t>
      </w:r>
    </w:p>
    <w:p>
      <w:pPr>
        <w:spacing w:before="120" w:after="240" w:line="240" w:lineRule="auto"/>
      </w:pPr>
      <w:r>
        <w:rPr>
          <w:rFonts w:ascii="仿宋_GB2312" w:hAnsi="仿宋_GB2312" w:eastAsia="仿宋_GB2312"/>
          <w:b/>
          <w:sz w:val="24"/>
        </w:rPr>
        <w:t>账  龄</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账龄</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1年以内（含1年）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1至2年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2至3年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3年以上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类  别</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类别</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按单项计提坏账准备</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按组合计提坏账准备</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其中：</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应收中央企业客户</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应收海外企业客户</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债务人名称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债务人名称</w:t>
            </w:r>
          </w:p>
        </w:tc>
        <w:tc>
          <w:tcPr>
            <w:tcW w:type="dxa" w:w="1400"/>
            <w:tcBorders>
              <w:bottom w:val="single" w:sz="4" w:space="0" w:color="000000"/>
            </w:tcBorders>
          </w:tcPr>
          <w:p>
            <w:pPr>
              <w:jc w:val="center"/>
            </w:pPr>
            <w:r/>
            <w:r>
              <w:rPr>
                <w:rFonts w:ascii="仿宋_GB2312" w:hAnsi="仿宋_GB2312" w:eastAsia="仿宋_GB2312"/>
                <w:b/>
                <w:sz w:val="24"/>
              </w:rPr>
              <w:t>账面余额</w:t>
            </w:r>
          </w:p>
        </w:tc>
        <w:tc>
          <w:tcPr>
            <w:tcW w:type="dxa" w:w="1400"/>
            <w:tcBorders>
              <w:bottom w:val="single" w:sz="4" w:space="0" w:color="000000"/>
            </w:tcBorders>
          </w:tcPr>
          <w:p>
            <w:pPr>
              <w:jc w:val="center"/>
            </w:pPr>
            <w:r/>
            <w:r>
              <w:rPr>
                <w:rFonts w:ascii="仿宋_GB2312" w:hAnsi="仿宋_GB2312" w:eastAsia="仿宋_GB2312"/>
                <w:b/>
                <w:sz w:val="24"/>
              </w:rPr>
              <w:t>坏账准备</w:t>
            </w:r>
          </w:p>
        </w:tc>
        <w:tc>
          <w:tcPr>
            <w:tcW w:type="dxa" w:w="1400"/>
            <w:tcBorders>
              <w:bottom w:val="single" w:sz="4" w:space="0" w:color="000000"/>
            </w:tcBorders>
          </w:tcPr>
          <w:p>
            <w:pPr>
              <w:jc w:val="center"/>
            </w:pPr>
            <w:r/>
            <w:r>
              <w:rPr>
                <w:rFonts w:ascii="仿宋_GB2312" w:hAnsi="仿宋_GB2312" w:eastAsia="仿宋_GB2312"/>
                <w:b/>
                <w:sz w:val="24"/>
              </w:rPr>
              <w:t>账龄</w:t>
            </w:r>
          </w:p>
        </w:tc>
        <w:tc>
          <w:tcPr>
            <w:tcW w:type="dxa" w:w="1400"/>
            <w:tcBorders>
              <w:bottom w:val="single" w:sz="4" w:space="0" w:color="000000"/>
            </w:tcBorders>
          </w:tcPr>
          <w:p>
            <w:pPr>
              <w:jc w:val="center"/>
            </w:pPr>
            <w:r/>
            <w:r>
              <w:rPr>
                <w:rFonts w:ascii="仿宋_GB2312" w:hAnsi="仿宋_GB2312" w:eastAsia="仿宋_GB2312"/>
                <w:b/>
                <w:sz w:val="24"/>
              </w:rPr>
              <w:t>预期信用&lt;br/&gt;损失率（%）</w:t>
            </w:r>
          </w:p>
        </w:tc>
        <w:tc>
          <w:tcPr>
            <w:tcW w:type="dxa" w:w="1400"/>
            <w:tcBorders>
              <w:bottom w:val="single" w:sz="4" w:space="0" w:color="000000"/>
            </w:tcBorders>
          </w:tcPr>
          <w:p>
            <w:pPr>
              <w:jc w:val="center"/>
            </w:pPr>
            <w:r/>
            <w:r>
              <w:rPr>
                <w:rFonts w:ascii="仿宋_GB2312" w:hAnsi="仿宋_GB2312" w:eastAsia="仿宋_GB2312"/>
                <w:b/>
                <w:sz w:val="24"/>
              </w:rPr>
              <w:t>计提理由</w:t>
            </w:r>
          </w:p>
        </w:tc>
      </w:tr>
      <w:tr>
        <w:trPr>
          <w:trHeight w:val="397" w:hRule="exact"/>
          <w:cantSplit/>
        </w:trPr>
        <w:tc>
          <w:tcPr>
            <w:tcW w:type="dxa" w:w="1400"/>
          </w:tcPr>
          <w:p>
            <w:r/>
            <w:r>
              <w:rPr>
                <w:rFonts w:ascii="仿宋_GB2312" w:hAnsi="仿宋_GB2312" w:eastAsia="仿宋_GB2312"/>
                <w:b w:val="0"/>
                <w:sz w:val="24"/>
              </w:rPr>
              <w:t>合计</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账  龄</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账龄</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账龄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账龄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1年以内（含1年）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1至2年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2至3年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3年以上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账  龄</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账龄</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账龄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账龄</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1年以内（含1年）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1至2年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2至3年</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3年以上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组合名称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组合名称</w:t>
            </w:r>
          </w:p>
        </w:tc>
        <w:tc>
          <w:tcPr>
            <w:tcW w:type="dxa" w:w="2801"/>
            <w:tcBorders>
              <w:bottom w:val="single" w:sz="4" w:space="0" w:color="000000"/>
            </w:tcBorders>
          </w:tcPr>
          <w:p>
            <w:pPr>
              <w:jc w:val="center"/>
            </w:pPr>
            <w:r/>
            <w:r>
              <w:rPr>
                <w:rFonts w:ascii="仿宋_GB2312" w:hAnsi="仿宋_GB2312" w:eastAsia="仿宋_GB2312"/>
                <w:b/>
                <w:sz w:val="24"/>
              </w:rPr>
              <w:t>期末数</w:t>
            </w:r>
          </w:p>
        </w:tc>
        <w:tc>
          <w:tcPr>
            <w:tcW w:type="dxa" w:w="2801"/>
            <w:tcBorders>
              <w:bottom w:val="single" w:sz="4" w:space="0" w:color="000000"/>
            </w:tcBorders>
          </w:tcPr>
          <w:p>
            <w:pPr>
              <w:jc w:val="center"/>
            </w:pPr>
            <w:r/>
            <w:r>
              <w:rPr>
                <w:rFonts w:ascii="仿宋_GB2312" w:hAnsi="仿宋_GB2312" w:eastAsia="仿宋_GB2312"/>
                <w:b/>
                <w:sz w:val="24"/>
              </w:rPr>
              <w:t>期初数</w:t>
            </w:r>
          </w:p>
        </w:tc>
      </w:tr>
      <w:tr>
        <w:trPr>
          <w:trHeight w:val="397" w:hRule="exact"/>
          <w:cantSplit/>
        </w:trPr>
        <w:tc>
          <w:tcPr>
            <w:tcW w:type="dxa" w:w="2801"/>
          </w:tcPr>
          <w:p>
            <w:r/>
            <w:r>
              <w:rPr>
                <w:rFonts w:ascii="仿宋_GB2312" w:hAnsi="仿宋_GB2312" w:eastAsia="仿宋_GB2312"/>
                <w:b w:val="0"/>
                <w:sz w:val="24"/>
              </w:rPr>
              <w:t>组合名称</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类  别</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类别</w:t>
            </w:r>
          </w:p>
        </w:tc>
        <w:tc>
          <w:tcPr>
            <w:tcW w:type="dxa" w:w="2100"/>
            <w:tcBorders>
              <w:bottom w:val="single" w:sz="4" w:space="0" w:color="000000"/>
            </w:tcBorders>
          </w:tcPr>
          <w:p>
            <w:pPr>
              <w:jc w:val="center"/>
            </w:pPr>
            <w:r/>
            <w:r>
              <w:rPr>
                <w:rFonts w:ascii="仿宋_GB2312" w:hAnsi="仿宋_GB2312" w:eastAsia="仿宋_GB2312"/>
                <w:b/>
                <w:sz w:val="24"/>
              </w:rPr>
              <w:t>期初数</w:t>
            </w:r>
          </w:p>
        </w:tc>
        <w:tc>
          <w:tcPr>
            <w:tcW w:type="dxa" w:w="2100"/>
            <w:tcBorders>
              <w:bottom w:val="single" w:sz="4" w:space="0" w:color="000000"/>
            </w:tcBorders>
          </w:tcPr>
          <w:p>
            <w:pPr>
              <w:jc w:val="center"/>
            </w:pPr>
            <w:r/>
            <w:r>
              <w:rPr>
                <w:rFonts w:ascii="仿宋_GB2312" w:hAnsi="仿宋_GB2312" w:eastAsia="仿宋_GB2312"/>
                <w:b/>
                <w:sz w:val="24"/>
              </w:rPr>
              <w:t>本期变动金额</w:t>
            </w:r>
          </w:p>
        </w:tc>
        <w:tc>
          <w:tcPr>
            <w:tcW w:type="dxa" w:w="2100"/>
            <w:tcBorders>
              <w:bottom w:val="single" w:sz="4" w:space="0" w:color="000000"/>
            </w:tcBorders>
          </w:tcPr>
          <w:p>
            <w:pPr>
              <w:jc w:val="center"/>
            </w:pPr>
            <w:r/>
            <w:r>
              <w:rPr>
                <w:rFonts w:ascii="仿宋_GB2312" w:hAnsi="仿宋_GB2312" w:eastAsia="仿宋_GB2312"/>
                <w:b/>
                <w:sz w:val="24"/>
              </w:rPr>
              <w:t>期末数</w:t>
            </w:r>
          </w:p>
        </w:tc>
      </w:tr>
      <w:tr>
        <w:trPr>
          <w:trHeight w:val="397" w:hRule="exact"/>
          <w:cantSplit/>
        </w:trPr>
        <w:tc>
          <w:tcPr>
            <w:tcW w:type="dxa" w:w="2100"/>
          </w:tcPr>
          <w:p>
            <w:r/>
            <w:r>
              <w:rPr>
                <w:rFonts w:ascii="仿宋_GB2312" w:hAnsi="仿宋_GB2312" w:eastAsia="仿宋_GB2312"/>
                <w:b w:val="0"/>
                <w:sz w:val="24"/>
              </w:rPr>
              <w:t>类别</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单项</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组合：</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债务人名称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债务人名称</w:t>
            </w:r>
          </w:p>
        </w:tc>
        <w:tc>
          <w:tcPr>
            <w:tcW w:type="dxa" w:w="2100"/>
            <w:tcBorders>
              <w:bottom w:val="single" w:sz="4" w:space="0" w:color="000000"/>
            </w:tcBorders>
          </w:tcPr>
          <w:p>
            <w:pPr>
              <w:jc w:val="center"/>
            </w:pPr>
            <w:r/>
            <w:r>
              <w:rPr>
                <w:rFonts w:ascii="仿宋_GB2312" w:hAnsi="仿宋_GB2312" w:eastAsia="仿宋_GB2312"/>
                <w:b/>
                <w:sz w:val="24"/>
              </w:rPr>
              <w:t>转回或收回&lt;br/&gt;金额</w:t>
            </w:r>
          </w:p>
        </w:tc>
        <w:tc>
          <w:tcPr>
            <w:tcW w:type="dxa" w:w="2100"/>
            <w:tcBorders>
              <w:bottom w:val="single" w:sz="4" w:space="0" w:color="000000"/>
            </w:tcBorders>
          </w:tcPr>
          <w:p>
            <w:pPr>
              <w:jc w:val="center"/>
            </w:pPr>
            <w:r/>
            <w:r>
              <w:rPr>
                <w:rFonts w:ascii="仿宋_GB2312" w:hAnsi="仿宋_GB2312" w:eastAsia="仿宋_GB2312"/>
                <w:b/>
                <w:sz w:val="24"/>
              </w:rPr>
              <w:t>转回或收回前累计&lt;br/&gt;已计提坏账准备金额</w:t>
            </w:r>
          </w:p>
        </w:tc>
        <w:tc>
          <w:tcPr>
            <w:tcW w:type="dxa" w:w="2100"/>
            <w:tcBorders>
              <w:bottom w:val="single" w:sz="4" w:space="0" w:color="000000"/>
            </w:tcBorders>
          </w:tcPr>
          <w:p>
            <w:pPr>
              <w:jc w:val="center"/>
            </w:pPr>
            <w:r/>
            <w:r>
              <w:rPr>
                <w:rFonts w:ascii="仿宋_GB2312" w:hAnsi="仿宋_GB2312" w:eastAsia="仿宋_GB2312"/>
                <w:b/>
                <w:sz w:val="24"/>
              </w:rPr>
              <w:t>转回或收回&lt;br/&gt;原因、方式</w:t>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债务人名称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400"/>
        <w:gridCol w:w="1400"/>
        <w:gridCol w:w="1400"/>
        <w:gridCol w:w="1400"/>
        <w:gridCol w:w="1400"/>
        <w:gridCol w:w="1400"/>
      </w:tblGrid>
      <w:tr>
        <w:trPr>
          <w:trHeight w:val="397" w:hRule="exact"/>
          <w:cantSplit/>
        </w:trPr>
        <w:tc>
          <w:tcPr>
            <w:tcW w:type="dxa" w:w="1400"/>
            <w:tcBorders>
              <w:bottom w:val="single" w:sz="4" w:space="0" w:color="000000"/>
            </w:tcBorders>
          </w:tcPr>
          <w:p>
            <w:pPr>
              <w:jc w:val="center"/>
            </w:pPr>
            <w:r/>
            <w:r>
              <w:rPr>
                <w:rFonts w:ascii="仿宋_GB2312" w:hAnsi="仿宋_GB2312" w:eastAsia="仿宋_GB2312"/>
                <w:b/>
                <w:sz w:val="24"/>
              </w:rPr>
              <w:t>债务人名称</w:t>
            </w:r>
          </w:p>
        </w:tc>
        <w:tc>
          <w:tcPr>
            <w:tcW w:type="dxa" w:w="1400"/>
            <w:tcBorders>
              <w:bottom w:val="single" w:sz="4" w:space="0" w:color="000000"/>
            </w:tcBorders>
          </w:tcPr>
          <w:p>
            <w:pPr>
              <w:jc w:val="center"/>
            </w:pPr>
            <w:r/>
            <w:r>
              <w:rPr>
                <w:rFonts w:ascii="仿宋_GB2312" w:hAnsi="仿宋_GB2312" w:eastAsia="仿宋_GB2312"/>
                <w:b/>
                <w:sz w:val="24"/>
              </w:rPr>
              <w:t>应收账款性质</w:t>
            </w:r>
          </w:p>
        </w:tc>
        <w:tc>
          <w:tcPr>
            <w:tcW w:type="dxa" w:w="1400"/>
            <w:tcBorders>
              <w:bottom w:val="single" w:sz="4" w:space="0" w:color="000000"/>
            </w:tcBorders>
          </w:tcPr>
          <w:p>
            <w:pPr>
              <w:jc w:val="center"/>
            </w:pPr>
            <w:r/>
            <w:r>
              <w:rPr>
                <w:rFonts w:ascii="仿宋_GB2312" w:hAnsi="仿宋_GB2312" w:eastAsia="仿宋_GB2312"/>
                <w:b/>
                <w:sz w:val="24"/>
              </w:rPr>
              <w:t>核销金额</w:t>
            </w:r>
          </w:p>
        </w:tc>
        <w:tc>
          <w:tcPr>
            <w:tcW w:type="dxa" w:w="1400"/>
            <w:tcBorders>
              <w:bottom w:val="single" w:sz="4" w:space="0" w:color="000000"/>
            </w:tcBorders>
          </w:tcPr>
          <w:p>
            <w:pPr>
              <w:jc w:val="center"/>
            </w:pPr>
            <w:r/>
            <w:r>
              <w:rPr>
                <w:rFonts w:ascii="仿宋_GB2312" w:hAnsi="仿宋_GB2312" w:eastAsia="仿宋_GB2312"/>
                <w:b/>
                <w:sz w:val="24"/>
              </w:rPr>
              <w:t>核销原因</w:t>
            </w:r>
          </w:p>
        </w:tc>
        <w:tc>
          <w:tcPr>
            <w:tcW w:type="dxa" w:w="1400"/>
            <w:tcBorders>
              <w:bottom w:val="single" w:sz="4" w:space="0" w:color="000000"/>
            </w:tcBorders>
          </w:tcPr>
          <w:p>
            <w:pPr>
              <w:jc w:val="center"/>
            </w:pPr>
            <w:r/>
            <w:r>
              <w:rPr>
                <w:rFonts w:ascii="仿宋_GB2312" w:hAnsi="仿宋_GB2312" w:eastAsia="仿宋_GB2312"/>
                <w:b/>
                <w:sz w:val="24"/>
              </w:rPr>
              <w:t>履行的核销&lt;br/&gt;程序</w:t>
            </w:r>
          </w:p>
        </w:tc>
        <w:tc>
          <w:tcPr>
            <w:tcW w:type="dxa" w:w="1400"/>
            <w:tcBorders>
              <w:bottom w:val="single" w:sz="4" w:space="0" w:color="000000"/>
            </w:tcBorders>
          </w:tcPr>
          <w:p>
            <w:pPr>
              <w:jc w:val="center"/>
            </w:pPr>
            <w:r/>
            <w:r>
              <w:rPr>
                <w:rFonts w:ascii="仿宋_GB2312" w:hAnsi="仿宋_GB2312" w:eastAsia="仿宋_GB2312"/>
                <w:b/>
                <w:sz w:val="24"/>
              </w:rPr>
              <w:t>是否因关联&lt;br/&gt;交易产生</w:t>
            </w:r>
          </w:p>
        </w:tc>
      </w:tr>
      <w:tr>
        <w:trPr>
          <w:trHeight w:val="397" w:hRule="exact"/>
          <w:cantSplit/>
        </w:trPr>
        <w:tc>
          <w:tcPr>
            <w:tcW w:type="dxa" w:w="1400"/>
          </w:tcPr>
          <w:p>
            <w:r/>
            <w:r>
              <w:rPr>
                <w:rFonts w:ascii="仿宋_GB2312" w:hAnsi="仿宋_GB2312" w:eastAsia="仿宋_GB2312"/>
                <w:b w:val="0"/>
                <w:sz w:val="24"/>
              </w:rPr>
              <w:t>合计</w:t>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c>
          <w:tcPr>
            <w:tcW w:type="dxa" w:w="14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债务人名称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债务人名称</w:t>
            </w:r>
          </w:p>
        </w:tc>
        <w:tc>
          <w:tcPr>
            <w:tcW w:type="dxa" w:w="2100"/>
            <w:tcBorders>
              <w:bottom w:val="single" w:sz="4" w:space="0" w:color="000000"/>
            </w:tcBorders>
          </w:tcPr>
          <w:p>
            <w:pPr>
              <w:jc w:val="center"/>
            </w:pPr>
            <w:r/>
            <w:r>
              <w:rPr>
                <w:rFonts w:ascii="仿宋_GB2312" w:hAnsi="仿宋_GB2312" w:eastAsia="仿宋_GB2312"/>
                <w:b/>
                <w:sz w:val="24"/>
              </w:rPr>
              <w:t>账面余额</w:t>
            </w:r>
          </w:p>
        </w:tc>
        <w:tc>
          <w:tcPr>
            <w:tcW w:type="dxa" w:w="2100"/>
            <w:tcBorders>
              <w:bottom w:val="single" w:sz="4" w:space="0" w:color="000000"/>
            </w:tcBorders>
          </w:tcPr>
          <w:p>
            <w:pPr>
              <w:jc w:val="center"/>
            </w:pPr>
            <w:r/>
            <w:r>
              <w:rPr>
                <w:rFonts w:ascii="仿宋_GB2312" w:hAnsi="仿宋_GB2312" w:eastAsia="仿宋_GB2312"/>
                <w:b/>
                <w:sz w:val="24"/>
              </w:rPr>
              <w:t>占应收账款合计的比例（%）</w:t>
            </w:r>
          </w:p>
        </w:tc>
        <w:tc>
          <w:tcPr>
            <w:tcW w:type="dxa" w:w="2100"/>
            <w:tcBorders>
              <w:bottom w:val="single" w:sz="4" w:space="0" w:color="000000"/>
            </w:tcBorders>
          </w:tcPr>
          <w:p>
            <w:pPr>
              <w:jc w:val="center"/>
            </w:pPr>
            <w:r/>
            <w:r>
              <w:rPr>
                <w:rFonts w:ascii="仿宋_GB2312" w:hAnsi="仿宋_GB2312" w:eastAsia="仿宋_GB2312"/>
                <w:b/>
                <w:sz w:val="24"/>
              </w:rPr>
              <w:t>坏账准备</w:t>
            </w:r>
          </w:p>
        </w:tc>
      </w:tr>
      <w:tr>
        <w:trPr>
          <w:trHeight w:val="397" w:hRule="exact"/>
          <w:cantSplit/>
        </w:trPr>
        <w:tc>
          <w:tcPr>
            <w:tcW w:type="dxa" w:w="2100"/>
          </w:tcPr>
          <w:p>
            <w:r/>
            <w:r>
              <w:rPr>
                <w:rFonts w:ascii="仿宋_GB2312" w:hAnsi="仿宋_GB2312" w:eastAsia="仿宋_GB2312"/>
                <w:b w:val="0"/>
                <w:sz w:val="24"/>
              </w:rPr>
              <w:t>合计</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债务人名称</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债务人名称</w:t>
            </w:r>
          </w:p>
        </w:tc>
        <w:tc>
          <w:tcPr>
            <w:tcW w:type="dxa" w:w="2801"/>
            <w:tcBorders>
              <w:bottom w:val="single" w:sz="4" w:space="0" w:color="000000"/>
            </w:tcBorders>
          </w:tcPr>
          <w:p>
            <w:pPr>
              <w:jc w:val="center"/>
            </w:pPr>
            <w:r/>
            <w:r>
              <w:rPr>
                <w:rFonts w:ascii="仿宋_GB2312" w:hAnsi="仿宋_GB2312" w:eastAsia="仿宋_GB2312"/>
                <w:b/>
                <w:sz w:val="24"/>
              </w:rPr>
              <w:t>终止确认金额</w:t>
            </w:r>
          </w:p>
        </w:tc>
        <w:tc>
          <w:tcPr>
            <w:tcW w:type="dxa" w:w="2801"/>
            <w:tcBorders>
              <w:bottom w:val="single" w:sz="4" w:space="0" w:color="000000"/>
            </w:tcBorders>
          </w:tcPr>
          <w:p>
            <w:pPr>
              <w:jc w:val="center"/>
            </w:pPr>
            <w:r/>
            <w:r>
              <w:rPr>
                <w:rFonts w:ascii="仿宋_GB2312" w:hAnsi="仿宋_GB2312" w:eastAsia="仿宋_GB2312"/>
                <w:b/>
                <w:sz w:val="24"/>
              </w:rPr>
              <w:t>与终止确认相关的利得或损失（损失以“-”填列）</w:t>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133、投资收益</w:t>
      </w:r>
      <w:bookmarkStart w:id="49915" w:name="note_section_十二、投资收益"/>
      <w:bookmarkEnd w:id="49915"/>
    </w:p>
    <w:p>
      <w:pPr>
        <w:spacing w:before="0" w:after="240" w:line="240" w:lineRule="auto"/>
      </w:pPr>
      <w:r>
        <w:rPr>
          <w:rFonts w:ascii="仿宋_GB2312" w:hAnsi="仿宋_GB2312" w:eastAsia="仿宋_GB2312"/>
          <w:b w:val="0"/>
          <w:sz w:val="24"/>
        </w:rPr>
        <w:t>注：若投资收益汇回有重大限制的，应予以说明。若不存在此类重大限制，也应做出说明。</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产生投资收益的来源</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成本法核算的长期股权投资收益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权益法核算的长期股权投资收益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处置长期股权投资产生的投资收益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处置划分为持有待售资产的长期股权投资产生的投资收益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交易性金融资产持有期间取得的投资收益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处置交易性金融资产取得的投资收益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债权投资持有期间的利息收益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其他债权投资持有期间的利息收益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债权投资处置收益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其他债权投资处置收益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其他非流动金融资产在持有期间的投资收益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处置其他非流动金融资产取得的投资收益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取得控制权时，股权按公允价值重新计量产生的利得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丧失控制权后，剩余股权按公允价值重新计量产生的利得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持有其他权益工具投资期间取得的股利收入</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现金流量套期的无效部分的已实现收益（损失）</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债务重组产生的投资收益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处置衍生金融资产（或负债）产生的投资收益</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134、现金流量表补充资料</w:t>
      </w:r>
      <w:bookmarkStart w:id="86681" w:name="note_section_十二、现金流量表补充资"/>
      <w:bookmarkEnd w:id="86681"/>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1.将净利润调节为经营活动现金流量：</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净利润</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加：资产减值损失</w:t>
            </w:r>
          </w:p>
        </w:tc>
        <w:tc>
          <w:tcPr>
            <w:tcW w:type="dxa" w:w="2801"/>
          </w:tcPr>
          <w:p>
            <w:pPr>
              <w:jc w:val="right"/>
            </w:pPr>
            <w:r/>
            <w:r>
              <w:rPr>
                <w:rFonts w:ascii="Arial Narrow" w:hAnsi="Arial Narrow" w:eastAsia="仿宋_GB2312" w:cs="Arial Narrow"/>
                <w:sz w:val="24"/>
              </w:rPr>
              <w:t>707,472.50</w:t>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信用减值损失</w:t>
            </w:r>
          </w:p>
        </w:tc>
        <w:tc>
          <w:tcPr>
            <w:tcW w:type="dxa" w:w="2801"/>
          </w:tcPr>
          <w:p>
            <w:pPr>
              <w:jc w:val="right"/>
            </w:pPr>
            <w:r/>
            <w:r>
              <w:rPr>
                <w:rFonts w:ascii="Arial Narrow" w:hAnsi="Arial Narrow" w:eastAsia="仿宋_GB2312" w:cs="Arial Narrow"/>
                <w:sz w:val="24"/>
              </w:rPr>
              <w:t>707,472.50</w:t>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固定资产折旧、油气资产折耗、生产性生物资产折旧（不适用的项目，可删除）</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使用权资产折旧</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无形资产摊销</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长期待摊费用摊销</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处置固定资产、无形资产和其他长期资产的损失（收益以“－”号填列）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固定资产报废损失（收益以“－”号填列）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公允价值变动损失（收益以“－”号填列）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财务费用（收益以“－”号填列）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投资损失（收益以“－”号填列）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递延所得税资产减少（增加以“－”号填列）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递延所得税负债增加（减少以“－”号填列）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存货的减少（增加以“－”号填列）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经营性应收项目的减少（增加以“－”号填列）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经营性应付项目的增加（减少以“－”号填列）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经营活动产生的现金流量净额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2.不涉及现金收支的重大投资和筹资活动：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债务转为资本</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一年内到期的可转换公司债券</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新增使用权资产</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3.现金及现金等价物净变动情况：</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现金的期末余额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减：现金的期初余额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加：现金等价物的期末余额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减：现金等价物的期初余额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现金及现金等价物净增加额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135、营业收入与营业成本</w:t>
      </w:r>
      <w:bookmarkStart w:id="94472" w:name="note_section_十二、营业收入与营业成本"/>
      <w:bookmarkEnd w:id="94472"/>
    </w:p>
    <w:p>
      <w:pPr>
        <w:spacing w:before="0" w:after="240" w:line="240" w:lineRule="auto"/>
      </w:pPr>
      <w:r>
        <w:rPr>
          <w:rFonts w:ascii="仿宋_GB2312" w:hAnsi="仿宋_GB2312" w:eastAsia="仿宋_GB2312"/>
          <w:b w:val="0"/>
          <w:sz w:val="24"/>
        </w:rPr>
        <w:t>营业收入、营业成本</w:t>
        <w:br/>
        <w:br/>
        <w:t>1.处置投资性房地产（无论采用公允价值模式计量还是成本模式计量）的收入，在“其他业务收入”列示，相应结转成本至“其他业务成本”；</w:t>
        <w:br/>
        <w:br/>
        <w:t>2.单项的投资性房地产的处置，无论是直接出售还是先划分为持有待售资产再出售，处置损益均计入“其他业务收入/成本”，不计入“资产处置损益”；</w:t>
        <w:br/>
        <w:br/>
        <w:t>按行业（或产品类型）划分</w:t>
        <w:br/>
        <w:br/>
        <w:t>营业收入、营业成本按地区划分</w:t>
        <w:br/>
        <w:br/>
        <w:t>营业收入、营业成本按商品转让时间划分</w:t>
        <w:br/>
        <w:br/>
        <w:t>履约义务相关信息</w:t>
        <w:br/>
        <w:br/>
        <w:t>分摊至剩余履约义务的交易价格</w:t>
        <w:br/>
        <w:br/>
        <w:t>重大合同变更【或重大交易价格调整】</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项目</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项目</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主营业务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其他业务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主要产品类型（或行业）</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主要产品类型（或行业）</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主要产品类型（或行业）</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主营业务：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消费品</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汽车</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能源</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其他业务：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销售材料</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租赁收入</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合计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主要经营地区</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主要经营地区</w:t>
            </w:r>
          </w:p>
        </w:tc>
        <w:tc>
          <w:tcPr>
            <w:tcW w:type="dxa" w:w="2801"/>
            <w:tcBorders>
              <w:bottom w:val="single" w:sz="4" w:space="0" w:color="000000"/>
            </w:tcBorders>
          </w:tcPr>
          <w:p>
            <w:pPr>
              <w:jc w:val="center"/>
            </w:pPr>
            <w:r/>
            <w:r>
              <w:rPr>
                <w:rFonts w:ascii="仿宋_GB2312" w:hAnsi="仿宋_GB2312" w:eastAsia="仿宋_GB2312"/>
                <w:b/>
                <w:sz w:val="24"/>
              </w:rPr>
              <w:t>本期发生额</w:t>
            </w:r>
          </w:p>
        </w:tc>
        <w:tc>
          <w:tcPr>
            <w:tcW w:type="dxa" w:w="2801"/>
            <w:tcBorders>
              <w:bottom w:val="single" w:sz="4" w:space="0" w:color="000000"/>
            </w:tcBorders>
          </w:tcPr>
          <w:p>
            <w:pPr>
              <w:jc w:val="center"/>
            </w:pPr>
            <w:r/>
            <w:r>
              <w:rPr>
                <w:rFonts w:ascii="仿宋_GB2312" w:hAnsi="仿宋_GB2312" w:eastAsia="仿宋_GB2312"/>
                <w:b/>
                <w:sz w:val="24"/>
              </w:rPr>
              <w:t>上期发生额</w:t>
            </w:r>
          </w:p>
        </w:tc>
      </w:tr>
      <w:tr>
        <w:trPr>
          <w:trHeight w:val="397" w:hRule="exact"/>
          <w:cantSplit/>
        </w:trPr>
        <w:tc>
          <w:tcPr>
            <w:tcW w:type="dxa" w:w="2801"/>
          </w:tcPr>
          <w:p>
            <w:r/>
            <w:r>
              <w:rPr>
                <w:rFonts w:ascii="仿宋_GB2312" w:hAnsi="仿宋_GB2312" w:eastAsia="仿宋_GB2312"/>
                <w:b w:val="0"/>
                <w:sz w:val="24"/>
              </w:rPr>
              <w:t>主要经营地区</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东北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华北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西北</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合同分类/报告分部</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4201"/>
        <w:gridCol w:w="4201"/>
      </w:tblGrid>
      <w:tr>
        <w:trPr>
          <w:trHeight w:val="397" w:hRule="exact"/>
          <w:cantSplit/>
        </w:trPr>
        <w:tc>
          <w:tcPr>
            <w:tcW w:type="dxa" w:w="4201"/>
            <w:tcBorders>
              <w:bottom w:val="single" w:sz="4" w:space="0" w:color="000000"/>
            </w:tcBorders>
          </w:tcPr>
          <w:p>
            <w:pPr>
              <w:jc w:val="center"/>
            </w:pPr>
            <w:r/>
            <w:r>
              <w:rPr>
                <w:rFonts w:ascii="仿宋_GB2312" w:hAnsi="仿宋_GB2312" w:eastAsia="仿宋_GB2312"/>
                <w:b/>
                <w:sz w:val="24"/>
              </w:rPr>
              <w:t>合同分类/报告分部</w:t>
            </w:r>
          </w:p>
        </w:tc>
        <w:tc>
          <w:tcPr>
            <w:tcW w:type="dxa" w:w="4201"/>
            <w:tcBorders>
              <w:bottom w:val="single" w:sz="4" w:space="0" w:color="000000"/>
            </w:tcBorders>
          </w:tcPr>
          <w:p>
            <w:pPr>
              <w:jc w:val="center"/>
            </w:pPr>
            <w:r/>
            <w:r>
              <w:rPr>
                <w:rFonts w:ascii="仿宋_GB2312" w:hAnsi="仿宋_GB2312" w:eastAsia="仿宋_GB2312"/>
                <w:b/>
                <w:sz w:val="24"/>
              </w:rPr>
              <w:t>本期发生额</w:t>
            </w:r>
          </w:p>
        </w:tc>
      </w:tr>
      <w:tr>
        <w:trPr>
          <w:trHeight w:val="397" w:hRule="exact"/>
          <w:cantSplit/>
        </w:trPr>
        <w:tc>
          <w:tcPr>
            <w:tcW w:type="dxa" w:w="4201"/>
          </w:tcPr>
          <w:p>
            <w:r/>
            <w:r>
              <w:rPr>
                <w:rFonts w:ascii="仿宋_GB2312" w:hAnsi="仿宋_GB2312" w:eastAsia="仿宋_GB2312"/>
                <w:b w:val="0"/>
                <w:sz w:val="24"/>
              </w:rPr>
              <w:t>合同分类/报告分部</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合同分类/报告分部</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主营业务</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其中：在某一时点确认</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在某一时段确认</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租赁收入</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其他业务</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其中：在某一时点确认</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在某一时段确认</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租赁收入</w:t>
            </w:r>
          </w:p>
        </w:tc>
        <w:tc>
          <w:tcPr>
            <w:tcW w:type="dxa" w:w="4201"/>
          </w:tcPr>
          <w:p>
            <w:pPr>
              <w:jc w:val="right"/>
            </w:pPr>
            <w:r/>
            <w:r>
              <w:rPr>
                <w:rFonts w:ascii="仿宋_GB2312" w:hAnsi="仿宋_GB2312" w:eastAsia="仿宋_GB2312"/>
                <w:b w:val="0"/>
                <w:sz w:val="24"/>
              </w:rPr>
            </w:r>
          </w:p>
        </w:tc>
      </w:tr>
      <w:tr>
        <w:trPr>
          <w:trHeight w:val="397" w:hRule="exact"/>
          <w:cantSplit/>
        </w:trPr>
        <w:tc>
          <w:tcPr>
            <w:tcW w:type="dxa" w:w="4201"/>
          </w:tcPr>
          <w:p>
            <w:r/>
            <w:r>
              <w:rPr>
                <w:rFonts w:ascii="仿宋_GB2312" w:hAnsi="仿宋_GB2312" w:eastAsia="仿宋_GB2312"/>
                <w:b w:val="0"/>
                <w:sz w:val="24"/>
              </w:rPr>
              <w:t>合计</w:t>
            </w:r>
          </w:p>
        </w:tc>
        <w:tc>
          <w:tcPr>
            <w:tcW w:type="dxa" w:w="4201"/>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年  度</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年度</w:t>
            </w:r>
          </w:p>
        </w:tc>
        <w:tc>
          <w:tcPr>
            <w:tcW w:type="dxa" w:w="2100"/>
            <w:tcBorders>
              <w:bottom w:val="single" w:sz="4" w:space="0" w:color="000000"/>
            </w:tcBorders>
          </w:tcPr>
          <w:p>
            <w:pPr>
              <w:jc w:val="center"/>
            </w:pPr>
            <w:r/>
            <w:r>
              <w:rPr>
                <w:rFonts w:ascii="仿宋_GB2312" w:hAnsi="仿宋_GB2312" w:eastAsia="仿宋_GB2312"/>
                <w:b/>
                <w:sz w:val="24"/>
              </w:rPr>
              <w:t>2025年</w:t>
            </w:r>
          </w:p>
        </w:tc>
        <w:tc>
          <w:tcPr>
            <w:tcW w:type="dxa" w:w="2100"/>
            <w:tcBorders>
              <w:bottom w:val="single" w:sz="4" w:space="0" w:color="000000"/>
            </w:tcBorders>
          </w:tcPr>
          <w:p>
            <w:pPr>
              <w:jc w:val="center"/>
            </w:pPr>
            <w:r/>
            <w:r>
              <w:rPr>
                <w:rFonts w:ascii="仿宋_GB2312" w:hAnsi="仿宋_GB2312" w:eastAsia="仿宋_GB2312"/>
                <w:b/>
                <w:sz w:val="24"/>
              </w:rPr>
              <w:t>2026年</w:t>
            </w:r>
          </w:p>
        </w:tc>
        <w:tc>
          <w:tcPr>
            <w:tcW w:type="dxa" w:w="2100"/>
            <w:tcBorders>
              <w:bottom w:val="single" w:sz="4" w:space="0" w:color="000000"/>
            </w:tcBorders>
          </w:tcPr>
          <w:p>
            <w:pPr>
              <w:jc w:val="center"/>
            </w:pPr>
            <w:r/>
            <w:r>
              <w:rPr>
                <w:rFonts w:ascii="仿宋_GB2312" w:hAnsi="仿宋_GB2312" w:eastAsia="仿宋_GB2312"/>
                <w:b/>
                <w:sz w:val="24"/>
              </w:rPr>
              <w:t>合计</w:t>
            </w:r>
          </w:p>
        </w:tc>
      </w:tr>
      <w:tr>
        <w:trPr>
          <w:trHeight w:val="397" w:hRule="exact"/>
          <w:cantSplit/>
        </w:trPr>
        <w:tc>
          <w:tcPr>
            <w:tcW w:type="dxa" w:w="2100"/>
          </w:tcPr>
          <w:p>
            <w:r/>
            <w:r>
              <w:rPr>
                <w:rFonts w:ascii="仿宋_GB2312" w:hAnsi="仿宋_GB2312" w:eastAsia="仿宋_GB2312"/>
                <w:b w:val="0"/>
                <w:sz w:val="24"/>
              </w:rPr>
              <w:t>xx合同预计将确认的收入</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136、长期股权投资</w:t>
      </w:r>
      <w:bookmarkStart w:id="49898" w:name="note_section_十二、长期股权投资"/>
      <w:bookmarkEnd w:id="49898"/>
    </w:p>
    <w:p>
      <w:pPr>
        <w:spacing w:before="0" w:after="240" w:line="240" w:lineRule="auto"/>
      </w:pPr>
      <w:r>
        <w:rPr>
          <w:rFonts w:ascii="仿宋_GB2312" w:hAnsi="仿宋_GB2312" w:eastAsia="仿宋_GB2312"/>
          <w:b w:val="0"/>
          <w:sz w:val="24"/>
        </w:rPr>
        <w:t>### 对子公司投资</w:t>
        <w:br/>
        <w:br/>
        <w:t>### 对联营、合营企业投资</w:t>
      </w:r>
    </w:p>
    <w:p>
      <w:pPr>
        <w:spacing w:before="120" w:after="240" w:line="240" w:lineRule="auto"/>
      </w:pPr>
      <w:r>
        <w:rPr>
          <w:rFonts w:ascii="仿宋_GB2312" w:hAnsi="仿宋_GB2312" w:eastAsia="仿宋_GB2312"/>
          <w:b/>
          <w:sz w:val="24"/>
        </w:rPr>
        <w:t>项  目</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项目</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680"/>
          </w:tcPr>
          <w:p>
            <w:r/>
            <w:r>
              <w:rPr>
                <w:rFonts w:ascii="仿宋_GB2312" w:hAnsi="仿宋_GB2312" w:eastAsia="仿宋_GB2312"/>
                <w:b w:val="0"/>
                <w:sz w:val="24"/>
              </w:rPr>
              <w:t>对子公司投资</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对合营企业投资</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对联营企业投资</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小计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减：长期股权投资减值准备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被投资单位</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200"/>
        <w:gridCol w:w="1200"/>
        <w:gridCol w:w="1200"/>
        <w:gridCol w:w="1200"/>
        <w:gridCol w:w="1200"/>
        <w:gridCol w:w="1200"/>
        <w:gridCol w:w="1200"/>
      </w:tblGrid>
      <w:tr>
        <w:trPr>
          <w:trHeight w:val="397" w:hRule="exact"/>
          <w:cantSplit/>
        </w:trPr>
        <w:tc>
          <w:tcPr>
            <w:tcW w:type="dxa" w:w="1200"/>
            <w:tcBorders>
              <w:bottom w:val="single" w:sz="4" w:space="0" w:color="000000"/>
            </w:tcBorders>
          </w:tcPr>
          <w:p>
            <w:pPr>
              <w:jc w:val="center"/>
            </w:pPr>
            <w:r/>
            <w:r>
              <w:rPr>
                <w:rFonts w:ascii="仿宋_GB2312" w:hAnsi="仿宋_GB2312" w:eastAsia="仿宋_GB2312"/>
                <w:b/>
                <w:sz w:val="24"/>
              </w:rPr>
              <w:t>被投资单位</w:t>
            </w:r>
          </w:p>
        </w:tc>
        <w:tc>
          <w:tcPr>
            <w:tcW w:type="dxa" w:w="1200"/>
            <w:tcBorders>
              <w:bottom w:val="single" w:sz="4" w:space="0" w:color="000000"/>
            </w:tcBorders>
          </w:tcPr>
          <w:p>
            <w:pPr>
              <w:jc w:val="center"/>
            </w:pPr>
            <w:r/>
            <w:r>
              <w:rPr>
                <w:rFonts w:ascii="仿宋_GB2312" w:hAnsi="仿宋_GB2312" w:eastAsia="仿宋_GB2312"/>
                <w:b/>
                <w:sz w:val="24"/>
              </w:rPr>
              <w:t>期初余额</w:t>
            </w:r>
          </w:p>
        </w:tc>
        <w:tc>
          <w:tcPr>
            <w:tcW w:type="dxa" w:w="1200"/>
            <w:tcBorders>
              <w:bottom w:val="single" w:sz="4" w:space="0" w:color="000000"/>
            </w:tcBorders>
          </w:tcPr>
          <w:p>
            <w:pPr>
              <w:jc w:val="center"/>
            </w:pPr>
            <w:r/>
            <w:r>
              <w:rPr>
                <w:rFonts w:ascii="仿宋_GB2312" w:hAnsi="仿宋_GB2312" w:eastAsia="仿宋_GB2312"/>
                <w:b/>
                <w:sz w:val="24"/>
              </w:rPr>
              <w:t>本期增加</w:t>
            </w:r>
          </w:p>
        </w:tc>
        <w:tc>
          <w:tcPr>
            <w:tcW w:type="dxa" w:w="1200"/>
            <w:tcBorders>
              <w:bottom w:val="single" w:sz="4" w:space="0" w:color="000000"/>
            </w:tcBorders>
          </w:tcPr>
          <w:p>
            <w:pPr>
              <w:jc w:val="center"/>
            </w:pPr>
            <w:r/>
            <w:r>
              <w:rPr>
                <w:rFonts w:ascii="仿宋_GB2312" w:hAnsi="仿宋_GB2312" w:eastAsia="仿宋_GB2312"/>
                <w:b/>
                <w:sz w:val="24"/>
              </w:rPr>
              <w:t>本期减少</w:t>
            </w:r>
          </w:p>
        </w:tc>
        <w:tc>
          <w:tcPr>
            <w:tcW w:type="dxa" w:w="1200"/>
            <w:tcBorders>
              <w:bottom w:val="single" w:sz="4" w:space="0" w:color="000000"/>
            </w:tcBorders>
          </w:tcPr>
          <w:p>
            <w:pPr>
              <w:jc w:val="center"/>
            </w:pPr>
            <w:r/>
            <w:r>
              <w:rPr>
                <w:rFonts w:ascii="仿宋_GB2312" w:hAnsi="仿宋_GB2312" w:eastAsia="仿宋_GB2312"/>
                <w:b/>
                <w:sz w:val="24"/>
              </w:rPr>
              <w:t>期末余额</w:t>
            </w:r>
          </w:p>
        </w:tc>
        <w:tc>
          <w:tcPr>
            <w:tcW w:type="dxa" w:w="1200"/>
            <w:tcBorders>
              <w:bottom w:val="single" w:sz="4" w:space="0" w:color="000000"/>
            </w:tcBorders>
          </w:tcPr>
          <w:p>
            <w:pPr>
              <w:jc w:val="center"/>
            </w:pPr>
            <w:r/>
            <w:r>
              <w:rPr>
                <w:rFonts w:ascii="仿宋_GB2312" w:hAnsi="仿宋_GB2312" w:eastAsia="仿宋_GB2312"/>
                <w:b/>
                <w:sz w:val="24"/>
              </w:rPr>
              <w:t>本期计提减值准备</w:t>
            </w:r>
          </w:p>
        </w:tc>
        <w:tc>
          <w:tcPr>
            <w:tcW w:type="dxa" w:w="1200"/>
            <w:tcBorders>
              <w:bottom w:val="single" w:sz="4" w:space="0" w:color="000000"/>
            </w:tcBorders>
          </w:tcPr>
          <w:p>
            <w:pPr>
              <w:jc w:val="center"/>
            </w:pPr>
            <w:r/>
            <w:r>
              <w:rPr>
                <w:rFonts w:ascii="仿宋_GB2312" w:hAnsi="仿宋_GB2312" w:eastAsia="仿宋_GB2312"/>
                <w:b/>
                <w:sz w:val="24"/>
              </w:rPr>
              <w:t>减值准备&lt;br/&gt;期末余额</w:t>
            </w:r>
          </w:p>
        </w:tc>
      </w:tr>
      <w:tr>
        <w:trPr>
          <w:trHeight w:val="397" w:hRule="exact"/>
          <w:cantSplit/>
        </w:trPr>
        <w:tc>
          <w:tcPr>
            <w:tcW w:type="dxa" w:w="1200"/>
          </w:tcPr>
          <w:p>
            <w:r/>
            <w:r>
              <w:rPr>
                <w:rFonts w:ascii="仿宋_GB2312" w:hAnsi="仿宋_GB2312" w:eastAsia="仿宋_GB2312"/>
                <w:b w:val="0"/>
                <w:sz w:val="24"/>
              </w:rPr>
              <w:t>合计</w:t>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被投资单位</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被投资单位</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本期增减变动</w:t>
            </w:r>
          </w:p>
        </w:tc>
        <w:tc>
          <w:tcPr>
            <w:tcW w:type="dxa" w:w="1680"/>
            <w:tcBorders>
              <w:bottom w:val="single" w:sz="4" w:space="0" w:color="000000"/>
            </w:tcBorders>
          </w:tcPr>
          <w:p>
            <w:pPr>
              <w:jc w:val="center"/>
            </w:pPr>
            <w:r/>
            <w:r>
              <w:rPr>
                <w:rFonts w:ascii="仿宋_GB2312" w:hAnsi="仿宋_GB2312" w:eastAsia="仿宋_GB2312"/>
                <w:b/>
                <w:sz w:val="24"/>
              </w:rPr>
              <w:t>期末余额</w:t>
            </w:r>
          </w:p>
        </w:tc>
        <w:tc>
          <w:tcPr>
            <w:tcW w:type="dxa" w:w="1680"/>
            <w:tcBorders>
              <w:bottom w:val="single" w:sz="4" w:space="0" w:color="000000"/>
            </w:tcBorders>
          </w:tcPr>
          <w:p>
            <w:pPr>
              <w:jc w:val="center"/>
            </w:pPr>
            <w:r/>
            <w:r>
              <w:rPr>
                <w:rFonts w:ascii="仿宋_GB2312" w:hAnsi="仿宋_GB2312" w:eastAsia="仿宋_GB2312"/>
                <w:b/>
                <w:sz w:val="24"/>
              </w:rPr>
              <w:t>减值准备期末余额</w:t>
            </w:r>
          </w:p>
        </w:tc>
      </w:tr>
      <w:tr>
        <w:trPr>
          <w:trHeight w:val="397" w:hRule="exact"/>
          <w:cantSplit/>
        </w:trPr>
        <w:tc>
          <w:tcPr>
            <w:tcW w:type="dxa" w:w="1680"/>
          </w:tcPr>
          <w:p>
            <w:r/>
            <w:r>
              <w:rPr>
                <w:rFonts w:ascii="仿宋_GB2312" w:hAnsi="仿宋_GB2312" w:eastAsia="仿宋_GB2312"/>
                <w:b w:val="0"/>
                <w:sz w:val="24"/>
              </w:rPr>
              <w:t>被投资单位</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一、合营企业</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二、联营企业</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137、财务报表之批准</w:t>
      </w:r>
      <w:bookmarkStart w:id="6287" w:name="note_section_十四、1"/>
      <w:bookmarkEnd w:id="6287"/>
    </w:p>
    <w:p>
      <w:pPr>
        <w:spacing w:before="0" w:after="240" w:line="240" w:lineRule="auto"/>
      </w:pPr>
      <w:r>
        <w:rPr>
          <w:rFonts w:ascii="仿宋_GB2312" w:hAnsi="仿宋_GB2312" w:eastAsia="仿宋_GB2312"/>
          <w:b w:val="0"/>
          <w:sz w:val="24"/>
        </w:rPr>
        <w:t>（一）或有负债（不包括极小可能导致经济利益流出企业的或有负债）。</w:t>
        <w:br/>
        <w:br/>
        <w:t>1.或有负债的种类及其形成原因，包括已贴现商业承兑汇票、未决诉讼、未决仲裁、对外提供担保等形成的或有负债。</w:t>
        <w:br/>
        <w:br/>
        <w:t>2.经济利益流出不确定性的说明。</w:t>
        <w:br/>
        <w:br/>
        <w:t>3.或有负债预计产生的财务影响，以及获得补偿的可能性；无法预计的，应当说明原因。</w:t>
        <w:br/>
        <w:br/>
        <w:t>（二）企业通常不应当披露或有资产。但或有资产很可能会给企业带来经济利益的，应当披露其形成的原因、预计产生的财务影响等。】</w:t>
      </w:r>
    </w:p>
    <w:p>
      <w:pPr>
        <w:spacing w:before="120" w:after="240" w:line="240" w:lineRule="auto"/>
      </w:pPr>
      <w:r>
        <w:rPr>
          <w:rFonts w:ascii="仿宋_GB2312" w:hAnsi="仿宋_GB2312" w:eastAsia="仿宋_GB2312"/>
          <w:b/>
          <w:sz w:val="24"/>
        </w:rPr>
        <w:t>138、企业合并</w:t>
      </w:r>
      <w:bookmarkStart w:id="76340" w:name="note_section_四、企业合并"/>
      <w:bookmarkEnd w:id="76340"/>
    </w:p>
    <w:p>
      <w:pPr>
        <w:spacing w:before="0" w:after="240" w:line="240" w:lineRule="auto"/>
      </w:pPr>
      <w:r>
        <w:rPr>
          <w:rFonts w:ascii="仿宋_GB2312" w:hAnsi="仿宋_GB2312" w:eastAsia="仿宋_GB2312"/>
          <w:b w:val="0"/>
          <w:sz w:val="24"/>
        </w:rPr>
        <w:t>## 本期纳入合并报表范围的子公司基本情况</w:t>
        <w:br/>
        <w:br/>
        <w:t>（企业应当按下列格式披露纳入报表合并范围的全部子公司主要情况；大型企业集团合并报表范围可以披露到二级子公司，集团所属重要子公司不分级次全部披露）</w:t>
        <w:br/>
        <w:br/>
        <w:t>（注：企业类型：1.境内非金融子企业，2.境内金融子企业，3.境外子企业，4.事业单位，5.基建单位；</w:t>
        <w:br/>
        <w:br/>
        <w:t>取得方式：1.投资设立，2.同一控制下的企业合并，3.非同一控制下的企业合并，4.其他）</w:t>
        <w:br/>
        <w:br/>
        <w:t>（注：子公司的持股比例不同于表决权比例的，应说明表决权比例及差异原因。）</w:t>
        <w:br/>
        <w:br/>
        <w:t>（注：级次为在整个中央企业集团内的法人级次）</w:t>
        <w:br/>
        <w:br/>
        <w:t>## 母公司拥有被投资单位表决权不足半数但能对被投资单位形成控制的原因</w:t>
        <w:br/>
        <w:br/>
        <w:t>## 母公司直接或通过其他子公司间接拥有被投资单位半数以上的表决权但未能对其形成控制的原因</w:t>
        <w:br/>
        <w:br/>
        <w:t>## 重要非全资子公司情况</w:t>
        <w:br/>
        <w:br/>
        <w:t>### 少数股东</w:t>
        <w:br/>
        <w:br/>
        <w:t>### 主要财务信息</w:t>
        <w:br/>
        <w:br/>
        <w:t>【提示：上述财务数据以合并日子公司可辨认资产和负债的公允价值为基础进行调整；被划分为持有待售资产的，不需要披露该子公司的上述财务信息。】</w:t>
        <w:br/>
        <w:br/>
        <w:t>## 子公司与母公司会计期间不一致的，母公司编制合并财务报表的处理方法</w:t>
        <w:br/>
        <w:br/>
        <w:t>## 本期不再纳入合并范围的原子公司</w:t>
        <w:br/>
        <w:br/>
        <w:t>### 原子公司的基本情况</w:t>
        <w:br/>
        <w:br/>
        <w:t>### 本期出售的子公司出售日的财务状况</w:t>
        <w:br/>
        <w:br/>
        <w:t>（说明出售日的确定方法）</w:t>
        <w:br/>
        <w:br/>
        <w:t>### 本期出售的子公司处置日的经营成果</w:t>
        <w:br/>
        <w:br/>
        <w:t>【提示：本期因处置部分股权投资或其他原因丧失了对原有子公司控制权的，对于处置后的剩余股权，还应按照《企业会计准则解释第4号》的规定，在附注中披露处置后的剩余股权在丧失控制权日的公允价值、按照公允价值重新计量产生的相关利得或损失的金额，具体披露格式请参考本所“股份公司年审报告模板”】</w:t>
        <w:br/>
        <w:br/>
        <w:t>## 本期新纳入合并范围的主体</w:t>
        <w:br/>
        <w:br/>
        <w:t>【提示：说明本年新纳入合并范围的子公司、特殊目的主体、通过受托经营或承租等方式形成控制权的经营实体名称及其年末净资产、本年净利润。】</w:t>
        <w:br/>
        <w:br/>
        <w:t>## 本期发生的同一控制下企业合并情况</w:t>
        <w:br/>
        <w:br/>
        <w:t>（说明合并日的确定依据、支付的对价及被合并方的账面净资产、并披露被合并方自合并当年期初至合并日的收入、净利润、现金流量等情况。）</w:t>
        <w:br/>
        <w:br/>
        <w:t>## 本期发生的非同一控制下企业合并情况</w:t>
        <w:br/>
        <w:br/>
        <w:t>（注：说明企业合并中取得的被购买方的权益比例；购买日的确定依据；或有对价的安排、购买日确认的或有对价的金额及其确定方法和依据，购买日后或有对价的变动及原因，被购买方未达到业绩承诺的，应说明该事项对相关商誉减值测试的影响。分步实现企业合并且在本期取得控制权的交易，应分别说明前期和本期取得股权的时点、成本、比例及方式等。）</w:t>
        <w:br/>
        <w:br/>
        <w:t>## 本期发生的吸收合并</w:t>
        <w:br/>
        <w:br/>
        <w:t>（应分别同一控制下和非同一控制下的吸收合并，披露并入的主要资产、负债项目及其金额。）</w:t>
        <w:br/>
        <w:br/>
        <w:t>## 子公司使用企业集团资产和清偿企业集团债务的重大限制</w:t>
        <w:br/>
        <w:br/>
        <w:t>（1）说明限制内容，包括对母公司或子公司与集团内其他主体相互转移现金或其他资产的限制，以及对集团内主体之间发放股利或进行利润分配、发放或收回贷款或垫款等的限制；</w:t>
        <w:br/>
        <w:br/>
        <w:t>（2）子公司少数股东享有保护性权利，并且该保护性权利对使用集团资产或清偿集团负债的能力存在重大限制的，披露限制的性质和程度；</w:t>
        <w:br/>
        <w:br/>
        <w:t>（3）限制涉及的资产和负债在合并财务报表中的金额。</w:t>
        <w:br/>
        <w:br/>
        <w:t>## 纳入合并财务报表范围的结构化主体的相关信息</w:t>
        <w:br/>
        <w:br/>
        <w:t>应披露与结构化主体相关的风险信息，向结构化主体提供财务支持或其他支持，包括帮助结构化主体取得财务支持：</w:t>
        <w:br/>
        <w:br/>
        <w:t>（1）有合同约定的，披露财务支持的合同条款包括可能导致企业承担损失的事项或情况；</w:t>
        <w:br/>
        <w:br/>
        <w:t>（2）在没有合同约定的情况下，披露所提供支持的类型、金额及原因，包括帮助该结构化主体获得财务支持的情况。其中，本期对以前未纳入合并财务报表范围的结构化主体提供了财务支持或其他支持并且该支持导致控制了该结构化主体的，披露决定提供支持的相关因素；</w:t>
        <w:br/>
        <w:br/>
        <w:t>（3）存在提供支持意图的，披露该意图，包括帮助该结构化主体获得财务支持的意图。</w:t>
        <w:br/>
        <w:br/>
        <w:t>## 母公司在子公司的所有者权益份额发生变化的情况</w:t>
        <w:br/>
        <w:br/>
        <w:t>在子公司所有者权益份额发生变化的情况</w:t>
        <w:br/>
        <w:br/>
        <w:t>本公司原持有【A公司】90%股权，2023年10月本公司与甲公司签订股权转让协议，约定于2024年12月向甲公司转让A公司20%股权，该股权处置交易未导致本公司丧失对【A公司】的控制权。截至2025年6月30日，股权转让协议已履行完毕，取得交易对价为2600万元，该项交易导致少数股东权益增加2400万元，资本公积增加200万元。</w:t>
        <w:br/>
        <w:br/>
        <w:t>### 交易对于少数股东权益及归属于母公司所有者权益的影响：</w:t>
        <w:br/>
        <w:br/>
        <w:t>## 子公司向母公司转移资金的能力受到严格限制的情况</w:t>
      </w:r>
    </w:p>
    <w:p>
      <w:pPr>
        <w:spacing w:before="120" w:after="240" w:line="240" w:lineRule="auto"/>
      </w:pPr>
      <w:r>
        <w:rPr>
          <w:rFonts w:ascii="仿宋_GB2312" w:hAnsi="仿宋_GB2312" w:eastAsia="仿宋_GB2312"/>
          <w:b/>
          <w:sz w:val="24"/>
        </w:rPr>
        <w:t>139、优先股、永续债等其他金融工具</w:t>
      </w:r>
      <w:bookmarkStart w:id="2713" w:name="note_section_四、优先股、永续债等"/>
      <w:bookmarkEnd w:id="2713"/>
    </w:p>
    <w:p>
      <w:pPr>
        <w:spacing w:before="0" w:after="240" w:line="240" w:lineRule="auto"/>
      </w:pPr>
      <w:r>
        <w:rPr>
          <w:rFonts w:ascii="仿宋_GB2312" w:hAnsi="仿宋_GB2312" w:eastAsia="仿宋_GB2312"/>
          <w:b w:val="0"/>
          <w:sz w:val="24"/>
        </w:rPr>
        <w:t>本公司发行的金融工具按照金融工具准则进行初始确认和计量；其后，于每个资产负债表日计提利息或分派股利，按照相关具体企业会计准则进行处理。即以所发行金融工具的分类为基础，确定该工具利息支出或股利分配等的会计处理。对于归类为权益工具的金融工具，其利息支出或股利分配都作为本公司的利润分配，其回购、注销等作为权益的变动处理；对于归类为金融负债的金融工具，其利息支出或股利分配原则上按照借款费用进行处理，其回购或赎回产生的利得或损失等计入当期损益。</w:t>
        <w:br/>
        <w:br/>
        <w:t>本公司发行金融工具，其发生的手续费、佣金等交易费用，如分类为债务工具且以摊余成本计量的，计入所发行工具的初始计量金额；如分类为权益工具的，从权益中扣除。</w:t>
      </w:r>
    </w:p>
    <w:p>
      <w:pPr>
        <w:spacing w:before="120" w:after="240" w:line="240" w:lineRule="auto"/>
      </w:pPr>
      <w:r>
        <w:rPr>
          <w:rFonts w:ascii="仿宋_GB2312" w:hAnsi="仿宋_GB2312" w:eastAsia="仿宋_GB2312"/>
          <w:b/>
          <w:sz w:val="24"/>
        </w:rPr>
        <w:t>140、会计期间</w:t>
      </w:r>
      <w:bookmarkStart w:id="41998" w:name="note_section_四、会计期间"/>
      <w:bookmarkEnd w:id="41998"/>
    </w:p>
    <w:p>
      <w:pPr>
        <w:spacing w:before="0" w:after="240" w:line="240" w:lineRule="auto"/>
      </w:pPr>
      <w:r>
        <w:rPr>
          <w:rFonts w:ascii="仿宋_GB2312" w:hAnsi="仿宋_GB2312" w:eastAsia="仿宋_GB2312"/>
          <w:b w:val="0"/>
          <w:sz w:val="24"/>
        </w:rPr>
        <w:t>本公司会计期间采用公历年度，即每年自1月1日起至12月31日止。</w:t>
        <w:br/>
        <w:br/>
        <w:t>（企业设立不足一个会计年度的，应说明其会计报表实际编制期间；子公司如采用的会计期间与我国会计制度规定不符的，需说明是否进行调整）</w:t>
      </w:r>
    </w:p>
    <w:p>
      <w:pPr>
        <w:spacing w:before="120" w:after="240" w:line="240" w:lineRule="auto"/>
      </w:pPr>
      <w:r>
        <w:rPr>
          <w:rFonts w:ascii="仿宋_GB2312" w:hAnsi="仿宋_GB2312" w:eastAsia="仿宋_GB2312"/>
          <w:b/>
          <w:sz w:val="24"/>
        </w:rPr>
        <w:t>141、使用权资产</w:t>
      </w:r>
      <w:bookmarkStart w:id="78123" w:name="note_section_四、使用权资产"/>
      <w:bookmarkEnd w:id="78123"/>
    </w:p>
    <w:p>
      <w:pPr>
        <w:spacing w:before="0" w:after="240" w:line="240" w:lineRule="auto"/>
      </w:pPr>
      <w:r>
        <w:rPr>
          <w:rFonts w:ascii="仿宋_GB2312" w:hAnsi="仿宋_GB2312" w:eastAsia="仿宋_GB2312"/>
          <w:b w:val="0"/>
          <w:sz w:val="24"/>
        </w:rPr>
        <w:t>使用权资产确认条件</w:t>
        <w:br/>
        <w:br/>
        <w:t>本公司使用权资产是指本公司作为承租人可在租赁期内使用租赁资产的权利。</w:t>
        <w:br/>
        <w:br/>
        <w:t>在租赁期开始日，使用权资产按照成本进行初始计量。该成本包括：租赁负债的初始计量金额；在租赁期开始日或之前支付的租赁付款额，存在租赁激励的，扣除已享受的租赁激励相</w:t>
        <w:br/>
        <w:br/>
        <w:t>使用权资产的折旧方法</w:t>
        <w:br/>
        <w:br/>
        <w:t>使用权资产的减值测试方法、减值准备计提方法见附注四、23。</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  目</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680"/>
          </w:tcPr>
          <w:p>
            <w:r/>
            <w:r>
              <w:rPr>
                <w:rFonts w:ascii="仿宋_GB2312" w:hAnsi="仿宋_GB2312" w:eastAsia="仿宋_GB2312"/>
                <w:b w:val="0"/>
                <w:sz w:val="24"/>
              </w:rPr>
              <w:t>一、账面原值合计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其中：土地</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房屋、建筑物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机器、运输、办公设备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二、累计折旧合计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其中：土地</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房屋、建筑物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机器、运输、办公设备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三、使用权资产账面净值合计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其中：土地</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房屋、建筑物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机器、运输、办公设备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四、减值准备合计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其中：土地</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房屋、建筑物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机器、运输、办公设备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五、使用权资产账面价值合计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其中：土地</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房屋、建筑物</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机器、运输、办公设备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其他</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142、借款费用</w:t>
      </w:r>
      <w:bookmarkStart w:id="63648" w:name="note_section_四、借款费用"/>
      <w:bookmarkEnd w:id="63648"/>
    </w:p>
    <w:p>
      <w:pPr>
        <w:spacing w:before="0" w:after="240" w:line="240" w:lineRule="auto"/>
      </w:pPr>
      <w:r>
        <w:rPr>
          <w:rFonts w:ascii="仿宋_GB2312" w:hAnsi="仿宋_GB2312" w:eastAsia="仿宋_GB2312"/>
          <w:b w:val="0"/>
          <w:sz w:val="24"/>
        </w:rPr>
        <w:t>（说明借款费用资本化与费用化的原则、条件，资本化金额的确定方法。）</w:t>
        <w:br/>
        <w:br/>
        <w:t>借款费用资本化的确认原则</w:t>
        <w:br/>
        <w:br/>
        <w:t>本公司发生的借款费用，可直接归属于符合资本化条件的资产的购建或者生产的，予以资本化，计入相关资产成本；其他借款费用，在发生时根据其发生额确认为费用，计入当期损益</w:t>
        <w:br/>
        <w:br/>
        <w:t>借款费用资本化期间</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  目</w:t>
            </w:r>
          </w:p>
        </w:tc>
        <w:tc>
          <w:tcPr>
            <w:tcW w:type="dxa" w:w="2801"/>
            <w:tcBorders>
              <w:bottom w:val="single" w:sz="4" w:space="0" w:color="000000"/>
            </w:tcBorders>
          </w:tcPr>
          <w:p>
            <w:pPr>
              <w:jc w:val="center"/>
            </w:pPr>
            <w:r/>
            <w:r>
              <w:rPr>
                <w:rFonts w:ascii="仿宋_GB2312" w:hAnsi="仿宋_GB2312" w:eastAsia="仿宋_GB2312"/>
                <w:b/>
                <w:sz w:val="24"/>
              </w:rPr>
              <w:t>当期资本化的借款费用金额</w:t>
            </w:r>
          </w:p>
        </w:tc>
        <w:tc>
          <w:tcPr>
            <w:tcW w:type="dxa" w:w="2801"/>
            <w:tcBorders>
              <w:bottom w:val="single" w:sz="4" w:space="0" w:color="000000"/>
            </w:tcBorders>
          </w:tcPr>
          <w:p>
            <w:pPr>
              <w:jc w:val="center"/>
            </w:pPr>
            <w:r/>
            <w:r>
              <w:rPr>
                <w:rFonts w:ascii="仿宋_GB2312" w:hAnsi="仿宋_GB2312" w:eastAsia="仿宋_GB2312"/>
                <w:b/>
                <w:sz w:val="24"/>
              </w:rPr>
              <w:t>资本化率</w:t>
            </w:r>
          </w:p>
        </w:tc>
      </w:tr>
      <w:tr>
        <w:trPr>
          <w:trHeight w:val="397" w:hRule="exact"/>
          <w:cantSplit/>
        </w:trPr>
        <w:tc>
          <w:tcPr>
            <w:tcW w:type="dxa" w:w="2801"/>
          </w:tcPr>
          <w:p>
            <w:r/>
            <w:r>
              <w:rPr>
                <w:rFonts w:ascii="仿宋_GB2312" w:hAnsi="仿宋_GB2312" w:eastAsia="仿宋_GB2312"/>
                <w:b w:val="0"/>
                <w:sz w:val="24"/>
              </w:rPr>
              <w:t>一、存货</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  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二、在建工程</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  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三、无形资产</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  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四、其他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1.</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小  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合  计</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bl>
    <w:p/>
    <w:p>
      <w:pPr>
        <w:spacing w:before="120" w:after="240" w:line="240" w:lineRule="auto"/>
      </w:pPr>
      <w:r>
        <w:rPr>
          <w:rFonts w:ascii="仿宋_GB2312" w:hAnsi="仿宋_GB2312" w:eastAsia="仿宋_GB2312"/>
          <w:b/>
          <w:sz w:val="24"/>
        </w:rPr>
        <w:t>143、公允价值计量</w:t>
      </w:r>
      <w:bookmarkStart w:id="12280" w:name="note_section_四、公允价值计量"/>
      <w:bookmarkEnd w:id="12280"/>
    </w:p>
    <w:p>
      <w:pPr>
        <w:spacing w:before="0" w:after="240" w:line="240" w:lineRule="auto"/>
      </w:pPr>
      <w:r>
        <w:rPr>
          <w:rFonts w:ascii="仿宋_GB2312" w:hAnsi="仿宋_GB2312" w:eastAsia="仿宋_GB2312"/>
          <w:b w:val="0"/>
          <w:sz w:val="24"/>
        </w:rPr>
        <w:t>（说明公允价值计量的资产和负债范围、可选择的估值技术及会计处理方法等。）</w:t>
        <w:br/>
        <w:br/>
        <w:t>公允价值是指市场参与者在计量日发生的有序交易中，出售一项资产所能收到或者转移一项负债所需支付的价格。</w:t>
        <w:br/>
        <w:br/>
        <w:t>本公司以公允价值计量相关资产或负债，包括：以公允价值计量且其变动计入当期损益的金融资产、投资性房地产、生物资产、以公允价值计量且其变动计入当期损益的金融负债。假定出售资产或者转移负债的有序交易在相关资产或负债的主要市场进行；不存在主要市场的，本公司假定该交易在相关资产或负债的最有利市场进行。主要市场（或最有利市场）是本公司在计量日能够进入的交易市场。本公司采用市场参与者在对该资产或负债定价时为实现其经济利益最大化所使用的假设。</w:t>
        <w:br/>
        <w:br/>
        <w:t>存在活跃市场的金融资产或金融负债，本公司采用活跃市场中的报价确定其公允价值。金融工具不存在活跃市场的，本公司采用估值技术确定其公允价值。所使用的估值模型主要为现金流量折现模型和市场可比公司模型等。估值技术的输入值主要包括无风险利率、基准利率、汇率、信用点差、流动性溢价、缺乏流动性折价等。</w:t>
        <w:br/>
        <w:br/>
        <w:t>以公允价值计量非金融资产的，考虑市场参与者将该资产用于最佳用途产生经济利益的能力，或者将该资产出售给能够用于最佳用途的其他市场参与者产生经济利益的能力。</w:t>
        <w:br/>
        <w:br/>
        <w:t>本公司采用在当前情况下适用并且有足够可利用数据和其他信息支持的估值技术，优先使用相关可观察输入值，只有在可观察输入值无法取得或取得不切实可行的情况下，才使用不可观察输入值。</w:t>
        <w:br/>
        <w:br/>
        <w:t>在财务报表中以公允价值计量或披露的资产和负债，根据对公允价值计量整体而言具有重要意义的最低层次输入值，确定所属的公允价值层次：第一层次输入值，是在计量日能够取得的相同资产或负债在活跃市场上未经调整的报价；第二层次输入值，是除第一层次输入值外相关资产或负债直接或间接可观察的输入值；第三层次输入值，是相关资产或负债的不可观察输入值。</w:t>
        <w:br/>
        <w:br/>
        <w:t>每个资产负债表日，本公司对在财务报表中确认的持续以公允价值计量的资产和负债进行重新评估，以确定是否在公允价值计量层次之间发生转换。</w:t>
      </w:r>
    </w:p>
    <w:p>
      <w:pPr>
        <w:spacing w:before="120" w:after="240" w:line="240" w:lineRule="auto"/>
      </w:pPr>
      <w:r>
        <w:rPr>
          <w:rFonts w:ascii="仿宋_GB2312" w:hAnsi="仿宋_GB2312" w:eastAsia="仿宋_GB2312"/>
          <w:b/>
          <w:sz w:val="24"/>
        </w:rPr>
        <w:t>144、合同成本</w:t>
      </w:r>
      <w:bookmarkStart w:id="62605" w:name="note_section_四、合同成本"/>
      <w:bookmarkEnd w:id="62605"/>
    </w:p>
    <w:p>
      <w:pPr>
        <w:spacing w:before="0" w:after="240" w:line="240" w:lineRule="auto"/>
      </w:pPr>
      <w:r>
        <w:rPr>
          <w:rFonts w:ascii="仿宋_GB2312" w:hAnsi="仿宋_GB2312" w:eastAsia="仿宋_GB2312"/>
          <w:b w:val="0"/>
          <w:sz w:val="24"/>
        </w:rPr>
        <w:t>【与合同成本有关的资产金额确定的方法、摊销方法和减值测试方法。】</w:t>
        <w:br/>
        <w:br/>
        <w:t>合同成本包括为取得合同发生的增量成本及合同履约成本。</w:t>
        <w:br/>
        <w:br/>
        <w:t>为取得合同发生的增量成本是指本公司不取得合同就不会发生的成本（如销售佣金等）。该成本预期能够收回的，本公司将其作为合同取得成本确认为一项资产。本公司为取得合同发生的、除预期能够收回的增量成本之外的其他支出于发生时计入当期损益。</w:t>
        <w:br/>
        <w:br/>
        <w:t>为履行合同发生的成本，不属于存货等其他企业会计准则规范范围且同时满足下列条件的，本公司将其作为合同履约成本确认为一项资产：</w:t>
        <w:br/>
        <w:br/>
        <w:t>①该成本与一份当前或预期取得的合同直接相关，包括直接人工、直接材料、制造费用 （或类似费用）、明确由客户承担的成本以及仅因该合同而发生的其他成本；</w:t>
        <w:br/>
        <w:br/>
        <w:t>②该成本增加了本公司未来用于履行履约义务的资源；</w:t>
        <w:br/>
        <w:br/>
        <w:t>③该成本预期能够收回。</w:t>
        <w:br/>
        <w:br/>
        <w:t>合同取得成本确认的资产和合同履约成本确认的资产（以下简称“与合同成本有关的资产”）采用与该资产相关的商品或服务收入确认相同的基础进行摊销，计入当期损益。 [摊销期限不超过一年则在发生时计入当期损益。]</w:t>
        <w:br/>
        <w:br/>
        <w:t>当与合同成本有关的资产的账面价值高于下列两项的差额时，本公司对超出部分计提减值准备，并确认为资产减值损失：</w:t>
        <w:br/>
        <w:br/>
        <w:t>①本公司因转让与该资产相关的商品或服务预期能够取得的剩余对价；</w:t>
        <w:br/>
        <w:br/>
        <w:t>②为转让该相关商品或服务估计将要发生的成本。</w:t>
        <w:br/>
        <w:br/>
        <w:t>确认为资产的合同履约成本，初始确认时摊销期限不超过一年或一个正常营业周期，在“存货”项目中列示，初始确认时摊销期限超过一年或一个正常营业周期，在“其他非流动资产”项目中列示。</w:t>
        <w:br/>
        <w:br/>
        <w:t>确认为资产的合同取得成本，初始确认时摊销期限不超过一年或一个正常营业周期，在“其他流动资产”项目中列示，初始确认时摊销期限超过一年或一个正常营业周期，在“其他非流动资产”项目中列示。</w:t>
      </w:r>
    </w:p>
    <w:p>
      <w:pPr>
        <w:spacing w:before="120" w:after="240" w:line="240" w:lineRule="auto"/>
      </w:pPr>
      <w:r>
        <w:rPr>
          <w:rFonts w:ascii="仿宋_GB2312" w:hAnsi="仿宋_GB2312" w:eastAsia="仿宋_GB2312"/>
          <w:b/>
          <w:sz w:val="24"/>
        </w:rPr>
        <w:t>145、合并财务报表编制方法</w:t>
      </w:r>
      <w:bookmarkStart w:id="39129" w:name="note_section_四、合并财务报表编制"/>
      <w:bookmarkEnd w:id="39129"/>
    </w:p>
    <w:p>
      <w:pPr>
        <w:spacing w:before="0" w:after="240" w:line="240" w:lineRule="auto"/>
      </w:pPr>
      <w:r>
        <w:rPr>
          <w:rFonts w:ascii="仿宋_GB2312" w:hAnsi="仿宋_GB2312" w:eastAsia="仿宋_GB2312"/>
          <w:b w:val="0"/>
          <w:sz w:val="24"/>
        </w:rPr>
        <w:t>（说明合并会计报表的编制方法，即合并范围的确定原则、合并报表编制的原则、程序及方法。）</w:t>
        <w:br/>
        <w:br/>
        <w:t>合并财务报表的合并范围包括本公司及全部子公司。</w:t>
        <w:br/>
        <w:br/>
        <w:t>合并财务报表的合并范围以控制为基础予以确定。</w:t>
        <w:br/>
        <w:br/>
        <w:t>本公司合并财务报表以本公司和子公司的财务报表为基础，根据其他有关资料，由本公司编制。在编制合并财务报表时，本公司和子公司的会计政策和会计期间要求保持一致，公司间的重大交易和往来余额予以抵销。</w:t>
        <w:br/>
        <w:br/>
        <w:t>在报告期内因同一控制下企业合并增加的子公司以及业务，视同该子公司以及业务自同受最终控制方控制之日起纳入本公司的合并范围，将其自同受最终控制方控制之日起的经营成果和现金流量纳入合并利润表和合并现金流量表中。</w:t>
        <w:br/>
        <w:br/>
        <w:t>子公司的股东权益中不属于本公司所拥有的部分作为少数股东权益在合并资产负债表中股东权益项下单独列示。子公司当期净损益中属于少数股东权益的份额，在合并利润表中净利润项目下以“少数股东损益”项目列示。少数股东分担的子公司的亏损超过了少数股东在该子公司期初所有者权益中所享有的份额，其余额仍冲减少数股东权益。</w:t>
        <w:br/>
        <w:br/>
        <w:t>对于购买子公司少数股权或因处置部分股权投资但没有丧失对该子公司控制权的交易，作为权益性交易核算，调整归属于母公司所有者权益和少数股东权益的账面价值以反映其在子公司中相关权益的变化。少数股东权益的调整额与支付/收到对价的公允价值之间的差额调整资本公积，资本公积不足冲减的，调整留存收益。</w:t>
        <w:br/>
        <w:br/>
        <w:t>因处置部分股权投资或其他原因丧失了对原有子公司控制权的，剩余股权按照其在丧失控制权日的公允价值进行重新计量；处置股权取得的对价与剩余股权公允价值之和，减去按原持股比例计算应享有原子公司自购买日开始持续计算的净资产的份额之间的差额，计入丧失控制权当期的投资收益，同时冲减商誉；与原有子公司股权投资相关的其他综合收益，在丧失控制权时转为当期投资收益。</w:t>
        <w:br/>
        <w:br/>
        <w:t>与原有子公司的股权投资相关的其他综合收益在丧失控制权时转入当期损益，由于被投资方重新计量设定收益计划净负债或净资产变动而产生的其他综合收益除外。</w:t>
        <w:br/>
        <w:br/>
        <w:t>处置对子公司股权投资直至丧失控制权的各项交易属于一揽子交易的，在丧失控制权之前每一次处置价款与处置投资对应的享有该子公司净资产份额的差额，在合并财务报表中确认为其他综合收益，在丧失控制权时一并转入丧失控制权当期的损益。</w:t>
      </w:r>
    </w:p>
    <w:p>
      <w:pPr>
        <w:spacing w:before="120" w:after="240" w:line="240" w:lineRule="auto"/>
      </w:pPr>
      <w:r>
        <w:rPr>
          <w:rFonts w:ascii="仿宋_GB2312" w:hAnsi="仿宋_GB2312" w:eastAsia="仿宋_GB2312"/>
          <w:b/>
          <w:sz w:val="24"/>
        </w:rPr>
        <w:t>146、合营安排的分类及共同经营的会计处理方法</w:t>
      </w:r>
      <w:bookmarkStart w:id="86045" w:name="note_section_四、合营安排的分类及"/>
      <w:bookmarkEnd w:id="86045"/>
    </w:p>
    <w:p>
      <w:pPr>
        <w:spacing w:before="0" w:after="240" w:line="240" w:lineRule="auto"/>
      </w:pPr>
      <w:r>
        <w:rPr>
          <w:rFonts w:ascii="仿宋_GB2312" w:hAnsi="仿宋_GB2312" w:eastAsia="仿宋_GB2312"/>
          <w:b w:val="0"/>
          <w:sz w:val="24"/>
        </w:rPr>
        <w:t>合营安排，是指一项由两个或两个以上的参与方共同控制的安排。本公司合营安排分为共同经营和合营企业。</w:t>
        <w:br/>
        <w:br/>
        <w:t>### 共同经营</w:t>
        <w:br/>
        <w:br/>
        <w:t>共同经营是指本公司享有该安排相关资产且承担该安排相关负债的合营安排。</w:t>
        <w:br/>
        <w:br/>
        <w:t>本公司确认与共同经营中利益份额相关的下列项目，并按照相关企业会计准则的规定进行会计处理：</w:t>
        <w:br/>
        <w:br/>
        <w:t>A、确认单独所持有的资产，以及按其份额确认共同持有的资产；</w:t>
        <w:br/>
        <w:br/>
        <w:t>B、确认单独所承担的负债，以及按其份额确认共同承担的负债；</w:t>
        <w:br/>
        <w:br/>
        <w:t>C、确认出售其享有的共同经营产出份额所产生的收入；</w:t>
        <w:br/>
        <w:br/>
        <w:t>D、按其份额确认共同经营因出售产出所产生的收入；</w:t>
        <w:br/>
        <w:br/>
        <w:t>E、确认单独所发生的费用，以及按其份额确认共同经营发生的费用。</w:t>
        <w:br/>
        <w:br/>
        <w:t>### 合营企业</w:t>
        <w:br/>
        <w:br/>
        <w:t>合营企业是指本公司仅对该安排的净资产享有权利的合营安排。</w:t>
        <w:br/>
        <w:br/>
        <w:t>本公司按照长期股权投资有关权益法核算的规定对合营企业的投资进行会计处理。</w:t>
        <w:br/>
        <w:br/>
        <w:t>【通过单独主体达成合营安排的，说明确定该合营安排是共同经营还是合营企业的判断和假设】</w:t>
      </w:r>
    </w:p>
    <w:p>
      <w:pPr>
        <w:spacing w:before="120" w:after="240" w:line="240" w:lineRule="auto"/>
      </w:pPr>
      <w:r>
        <w:rPr>
          <w:rFonts w:ascii="仿宋_GB2312" w:hAnsi="仿宋_GB2312" w:eastAsia="仿宋_GB2312"/>
          <w:b/>
          <w:sz w:val="24"/>
        </w:rPr>
        <w:t>147、固定资产</w:t>
      </w:r>
      <w:bookmarkStart w:id="64360" w:name="note_section_四、固定资产"/>
      <w:bookmarkEnd w:id="64360"/>
    </w:p>
    <w:p>
      <w:pPr>
        <w:spacing w:before="0" w:after="240" w:line="240" w:lineRule="auto"/>
      </w:pPr>
      <w:r>
        <w:rPr>
          <w:rFonts w:ascii="仿宋_GB2312" w:hAnsi="仿宋_GB2312" w:eastAsia="仿宋_GB2312"/>
          <w:b w:val="0"/>
          <w:sz w:val="24"/>
        </w:rPr>
        <w:t>（说明固定资产的确认条件、分类、计价方法和折旧方法，固定资产后续支出的会计处理方法，各类固定资产的折旧年限、估计净残值率和年折旧率；固定资产减值准备的确认标准、</w:t>
        <w:br/>
        <w:br/>
        <w:t>固定资产的确认条件</w:t>
        <w:br/>
        <w:br/>
        <w:t>本公司固定资产是指为生产商品、提供劳务、出租或经营管理而持有的，使用寿命超过一个会计年度的有形资产。</w:t>
        <w:br/>
        <w:br/>
        <w:t>固定资产分类及折旧政策</w:t>
        <w:br/>
        <w:br/>
        <w:t>固定资产的减值测试方法、减值准备计提方法见附注四、23。</w:t>
        <w:br/>
        <w:br/>
        <w:t>每年年度终了，本公司对固定资产的使用寿命、预计净残值和折旧方法进行复核。</w:t>
        <w:br/>
        <w:br/>
        <w:t>大修理费用</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固定资产类别</w:t>
            </w:r>
          </w:p>
        </w:tc>
        <w:tc>
          <w:tcPr>
            <w:tcW w:type="dxa" w:w="2100"/>
            <w:tcBorders>
              <w:bottom w:val="single" w:sz="4" w:space="0" w:color="000000"/>
            </w:tcBorders>
          </w:tcPr>
          <w:p>
            <w:pPr>
              <w:jc w:val="center"/>
            </w:pPr>
            <w:r/>
            <w:r>
              <w:rPr>
                <w:rFonts w:ascii="仿宋_GB2312" w:hAnsi="仿宋_GB2312" w:eastAsia="仿宋_GB2312"/>
                <w:b/>
                <w:sz w:val="24"/>
              </w:rPr>
              <w:t>使用年限</w:t>
            </w:r>
          </w:p>
        </w:tc>
        <w:tc>
          <w:tcPr>
            <w:tcW w:type="dxa" w:w="2100"/>
            <w:tcBorders>
              <w:bottom w:val="single" w:sz="4" w:space="0" w:color="000000"/>
            </w:tcBorders>
          </w:tcPr>
          <w:p>
            <w:pPr>
              <w:jc w:val="center"/>
            </w:pPr>
            <w:r/>
            <w:r>
              <w:rPr>
                <w:rFonts w:ascii="仿宋_GB2312" w:hAnsi="仿宋_GB2312" w:eastAsia="仿宋_GB2312"/>
                <w:b/>
                <w:sz w:val="24"/>
              </w:rPr>
              <w:t>残值率%</w:t>
            </w:r>
          </w:p>
        </w:tc>
        <w:tc>
          <w:tcPr>
            <w:tcW w:type="dxa" w:w="2100"/>
            <w:tcBorders>
              <w:bottom w:val="single" w:sz="4" w:space="0" w:color="000000"/>
            </w:tcBorders>
          </w:tcPr>
          <w:p>
            <w:pPr>
              <w:jc w:val="center"/>
            </w:pPr>
            <w:r/>
            <w:r>
              <w:rPr>
                <w:rFonts w:ascii="仿宋_GB2312" w:hAnsi="仿宋_GB2312" w:eastAsia="仿宋_GB2312"/>
                <w:b/>
                <w:sz w:val="24"/>
              </w:rPr>
              <w:t>年折旧率%</w:t>
            </w:r>
          </w:p>
        </w:tc>
      </w:tr>
      <w:tr>
        <w:trPr>
          <w:trHeight w:val="397" w:hRule="exact"/>
          <w:cantSplit/>
        </w:trPr>
        <w:tc>
          <w:tcPr>
            <w:tcW w:type="dxa" w:w="2100"/>
          </w:tcPr>
          <w:p>
            <w:r/>
            <w:r>
              <w:rPr>
                <w:rFonts w:ascii="仿宋_GB2312" w:hAnsi="仿宋_GB2312" w:eastAsia="仿宋_GB2312"/>
                <w:b w:val="0"/>
                <w:sz w:val="24"/>
              </w:rPr>
              <w:t>房屋、建筑物</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机器设备</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运输工具</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电子设备</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办公设备</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酒店业家具</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其他</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148、在建工程</w:t>
      </w:r>
      <w:bookmarkStart w:id="41841" w:name="note_section_四、在建工程"/>
      <w:bookmarkEnd w:id="41841"/>
    </w:p>
    <w:p>
      <w:pPr>
        <w:spacing w:before="0" w:after="240" w:line="240" w:lineRule="auto"/>
      </w:pPr>
      <w:r>
        <w:rPr>
          <w:rFonts w:ascii="仿宋_GB2312" w:hAnsi="仿宋_GB2312" w:eastAsia="仿宋_GB2312"/>
          <w:b w:val="0"/>
          <w:sz w:val="24"/>
        </w:rPr>
        <w:t>（说明在建工程的初始计量和在建工程结转为固定资产的标准，在建工程减值准备的确认标准、计提方法。）</w:t>
        <w:br/>
        <w:br/>
        <w:t>本公司在建工程成本按实际工程支出确定，包括在建期间发生的各项必要工程支出、工程达到预定可使用状态前的应予资本化的借款费用以及其他相关费用等。</w:t>
        <w:br/>
        <w:br/>
        <w:t>在建工程在达到预定可使用状态时转入固定资产。</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  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项  目</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在建工程</w:t>
            </w:r>
          </w:p>
        </w:tc>
        <w:tc>
          <w:tcPr>
            <w:tcW w:type="dxa" w:w="2801"/>
          </w:tcPr>
          <w:p>
            <w:pPr>
              <w:jc w:val="right"/>
            </w:pPr>
            <w:r/>
            <w:r>
              <w:rPr>
                <w:rFonts w:ascii="Arial Narrow" w:hAnsi="Arial Narrow" w:eastAsia="仿宋_GB2312" w:cs="Arial Narrow"/>
                <w:sz w:val="24"/>
              </w:rPr>
              <w:t>7,964,602.00</w:t>
            </w:r>
          </w:p>
        </w:tc>
        <w:tc>
          <w:tcPr>
            <w:tcW w:type="dxa" w:w="2801"/>
          </w:tcPr>
          <w:p>
            <w:pPr>
              <w:jc w:val="right"/>
            </w:pPr>
            <w:r/>
            <w:r>
              <w:rPr>
                <w:rFonts w:ascii="Arial Narrow" w:hAnsi="Arial Narrow" w:eastAsia="仿宋_GB2312" w:cs="Arial Narrow"/>
                <w:sz w:val="24"/>
              </w:rPr>
              <w:t>26,414,959.78</w:t>
            </w:r>
          </w:p>
        </w:tc>
      </w:tr>
      <w:tr>
        <w:trPr>
          <w:trHeight w:val="397" w:hRule="exact"/>
          <w:cantSplit/>
        </w:trPr>
        <w:tc>
          <w:tcPr>
            <w:tcW w:type="dxa" w:w="2801"/>
          </w:tcPr>
          <w:p>
            <w:r/>
            <w:r>
              <w:rPr>
                <w:rFonts w:ascii="仿宋_GB2312" w:hAnsi="仿宋_GB2312" w:eastAsia="仿宋_GB2312"/>
                <w:b w:val="0"/>
                <w:sz w:val="24"/>
              </w:rPr>
              <w:t>工程物资</w:t>
            </w:r>
          </w:p>
        </w:tc>
        <w:tc>
          <w:tcPr>
            <w:tcW w:type="dxa" w:w="2801"/>
          </w:tcPr>
          <w:p>
            <w:pPr>
              <w:jc w:val="right"/>
            </w:pPr>
            <w:r/>
            <w:r>
              <w:rPr>
                <w:rFonts w:ascii="Arial Narrow" w:hAnsi="Arial Narrow" w:eastAsia="仿宋_GB2312" w:cs="Arial Narrow"/>
                <w:sz w:val="24"/>
              </w:rPr>
            </w:r>
          </w:p>
        </w:tc>
        <w:tc>
          <w:tcPr>
            <w:tcW w:type="dxa" w:w="2801"/>
          </w:tcPr>
          <w:p>
            <w:pPr>
              <w:jc w:val="right"/>
            </w:pPr>
            <w:r/>
            <w:r>
              <w:rPr>
                <w:rFonts w:ascii="Arial Narrow" w:hAnsi="Arial Narrow" w:eastAsia="仿宋_GB2312" w:cs="Arial Narrow"/>
                <w:sz w:val="24"/>
              </w:rPr>
            </w:r>
          </w:p>
        </w:tc>
      </w:tr>
      <w:tr>
        <w:trPr>
          <w:trHeight w:val="397" w:hRule="exact"/>
          <w:cantSplit/>
        </w:trPr>
        <w:tc>
          <w:tcPr>
            <w:tcW w:type="dxa" w:w="2801"/>
          </w:tcPr>
          <w:p>
            <w:r/>
            <w:r>
              <w:rPr>
                <w:rFonts w:ascii="仿宋_GB2312" w:hAnsi="仿宋_GB2312" w:eastAsia="仿宋_GB2312"/>
                <w:b w:val="0"/>
                <w:sz w:val="24"/>
              </w:rPr>
              <w:t>合  计</w:t>
            </w:r>
          </w:p>
        </w:tc>
        <w:tc>
          <w:tcPr>
            <w:tcW w:type="dxa" w:w="2801"/>
          </w:tcPr>
          <w:p>
            <w:pPr>
              <w:jc w:val="right"/>
            </w:pPr>
            <w:r/>
            <w:r>
              <w:rPr>
                <w:rFonts w:ascii="Arial Narrow" w:hAnsi="Arial Narrow" w:eastAsia="仿宋_GB2312" w:cs="Arial Narrow"/>
                <w:sz w:val="24"/>
              </w:rPr>
              <w:t>7,964,602.00</w:t>
            </w:r>
          </w:p>
        </w:tc>
        <w:tc>
          <w:tcPr>
            <w:tcW w:type="dxa" w:w="2801"/>
          </w:tcPr>
          <w:p>
            <w:pPr>
              <w:jc w:val="right"/>
            </w:pPr>
            <w:r/>
            <w:r>
              <w:rPr>
                <w:rFonts w:ascii="Arial Narrow" w:hAnsi="Arial Narrow" w:eastAsia="仿宋_GB2312" w:cs="Arial Narrow"/>
                <w:sz w:val="24"/>
              </w:rPr>
              <w:t>26,414,959.78</w:t>
            </w:r>
          </w:p>
        </w:tc>
      </w:tr>
    </w:tbl>
    <w:p/>
    <w:p>
      <w:pPr>
        <w:spacing w:before="120" w:after="240" w:line="240" w:lineRule="auto"/>
      </w:pPr>
      <w:r>
        <w:rPr>
          <w:rFonts w:ascii="仿宋_GB2312" w:hAnsi="仿宋_GB2312" w:eastAsia="仿宋_GB2312"/>
          <w:b/>
          <w:sz w:val="24"/>
        </w:rPr>
        <w:t>149、外币业务和外币报表折算</w:t>
      </w:r>
      <w:bookmarkStart w:id="7531" w:name="note_section_四、外币业务和外币报"/>
      <w:bookmarkEnd w:id="7531"/>
    </w:p>
    <w:p>
      <w:pPr>
        <w:spacing w:before="0" w:after="240" w:line="240" w:lineRule="auto"/>
      </w:pPr>
      <w:r>
        <w:rPr>
          <w:rFonts w:ascii="仿宋_GB2312" w:hAnsi="仿宋_GB2312" w:eastAsia="仿宋_GB2312"/>
          <w:b w:val="0"/>
          <w:sz w:val="24"/>
        </w:rPr>
        <w:t>（说明发生外币交易时折算汇率的确定、在资产负债表日外币项目采用的折算方法、汇兑损益的处理方法、外币报表折算的会计处理方法。）</w:t>
        <w:br/>
        <w:br/>
        <w:t>外币业务</w:t>
        <w:br/>
        <w:br/>
        <w:t>本公司发生外币业务，按交易发生日的即期汇率（或采用按照系统合理的方法确定的、与交易发生日即期汇率近似的汇率折算）折算为记账本位币金额。</w:t>
        <w:br/>
        <w:br/>
        <w:t>外币财务报表的折算</w:t>
      </w:r>
    </w:p>
    <w:p>
      <w:pPr>
        <w:spacing w:before="120" w:after="240" w:line="240" w:lineRule="auto"/>
      </w:pPr>
      <w:r>
        <w:rPr>
          <w:rFonts w:ascii="仿宋_GB2312" w:hAnsi="仿宋_GB2312" w:eastAsia="仿宋_GB2312"/>
          <w:b/>
          <w:sz w:val="24"/>
        </w:rPr>
        <w:t>150、套期会计</w:t>
      </w:r>
      <w:bookmarkStart w:id="59577" w:name="note_section_四、套期会计"/>
      <w:bookmarkEnd w:id="59577"/>
    </w:p>
    <w:p>
      <w:pPr>
        <w:spacing w:before="0" w:after="240" w:line="240" w:lineRule="auto"/>
      </w:pPr>
      <w:r>
        <w:rPr>
          <w:rFonts w:ascii="仿宋_GB2312" w:hAnsi="仿宋_GB2312" w:eastAsia="仿宋_GB2312"/>
          <w:b w:val="0"/>
          <w:sz w:val="24"/>
        </w:rPr>
        <w:t>（说明套期工具的会计处理方法。）</w:t>
        <w:br/>
        <w:br/>
        <w:t>在初始指定套期关系时，本公司正式指定套期工具和被套期项目，并有正式的书面文件记录套期关系、风险管理策略和风险管理目标。其内容记录包括载明套期工具、被套期项目、被套期风险的性质以及套期有效性评估方法。</w:t>
        <w:br/>
        <w:br/>
        <w:t>本公司持续地对套期有效性进行评价，判断该套期在套期关系被指定的会计期间内是否满足运用套期会计对于有效性的要求。如果不满足，则终止运用套期关系。运用套期会计，应当符合下列套期有效性的要求：</w:t>
        <w:br/>
        <w:br/>
        <w:t>①被套期项目和套期工具之间存在经济关系。</w:t>
        <w:br/>
        <w:br/>
        <w:t>②被套期项目和套期工具经济关系产生的价值变动中，信用风险的影响不占主导地位。</w:t>
        <w:br/>
        <w:br/>
        <w:t>③套期关系的套期比率，应当等于企业实际套期的被套期项目数量与对其进行套期的套期工具实际数量之比，但不应当反映被套期项目和套期工具相对权重的失衡，这种失衡会导致套期无效，并可能产生与套期会计目标不一致的会计结果。</w:t>
        <w:br/>
        <w:br/>
        <w:t>本公司发生下列情形之一的，终止运用套期会计：</w:t>
        <w:br/>
        <w:br/>
        <w:t>①因风险管理目标发生变化，导致套期关系不再满足风险管理目标。</w:t>
        <w:br/>
        <w:br/>
        <w:t>②套期工具已到期、被出售、合同终止或已行使。</w:t>
        <w:br/>
        <w:br/>
        <w:t>③被套期项目与套期工具之间不再存在经济关系，或者被套期项目和套期工具经济关系产生的价值变动中，信用风险的影响开始占主导地位。</w:t>
        <w:br/>
        <w:br/>
        <w:t>④套期关系不再满足运用套期会计方法的其他条件。</w:t>
      </w:r>
    </w:p>
    <w:p>
      <w:pPr>
        <w:spacing w:before="120" w:after="240" w:line="240" w:lineRule="auto"/>
      </w:pPr>
      <w:r>
        <w:rPr>
          <w:rFonts w:ascii="仿宋_GB2312" w:hAnsi="仿宋_GB2312" w:eastAsia="仿宋_GB2312"/>
          <w:b/>
          <w:sz w:val="24"/>
        </w:rPr>
        <w:t>151、存货</w:t>
      </w:r>
      <w:bookmarkStart w:id="31663" w:name="note_section_四、存货"/>
      <w:bookmarkEnd w:id="31663"/>
    </w:p>
    <w:p>
      <w:pPr>
        <w:spacing w:before="0" w:after="240" w:line="240" w:lineRule="auto"/>
      </w:pPr>
      <w:r>
        <w:rPr>
          <w:rFonts w:ascii="仿宋_GB2312" w:hAnsi="仿宋_GB2312" w:eastAsia="仿宋_GB2312"/>
          <w:b w:val="0"/>
          <w:sz w:val="24"/>
        </w:rPr>
        <w:t>（说明存货的分类、取得和发出的计价方法，存货的盘存制度以及周转材料（包括低值易耗品和包装物等）的摊销方法，存货跌价准备的确认标准和计提方法、可变现净值的确定依据</w:t>
        <w:br/>
        <w:br/>
        <w:t>存货的分类</w:t>
        <w:br/>
        <w:br/>
        <w:t>本公司存货分为[根据企业的实际分类]原材料、委托加工物资、自制半成品及在产品、低值易耗品、包装物、库存商品、发出商品、开发成本、开发产品、数据资源等。（注意：此</w:t>
        <w:br/>
        <w:br/>
        <w:t>存货发出的计价及摊销</w:t>
        <w:br/>
        <w:br/>
        <w:t>存货跌价准备计提方法</w:t>
        <w:br/>
        <w:br/>
        <w:t>存货可变现净值的确认方法</w:t>
      </w:r>
    </w:p>
    <w:p>
      <w:pPr>
        <w:spacing w:before="120" w:after="240" w:line="240" w:lineRule="auto"/>
      </w:pPr>
      <w:r>
        <w:rPr>
          <w:rFonts w:ascii="仿宋_GB2312" w:hAnsi="仿宋_GB2312" w:eastAsia="仿宋_GB2312"/>
          <w:b/>
          <w:sz w:val="24"/>
        </w:rPr>
        <w:t>152、安全生产费用及维简费</w:t>
      </w:r>
      <w:bookmarkStart w:id="74037" w:name="note_section_四、安全生产费用及维"/>
      <w:bookmarkEnd w:id="74037"/>
    </w:p>
    <w:p>
      <w:pPr>
        <w:spacing w:before="0" w:after="240" w:line="240" w:lineRule="auto"/>
      </w:pPr>
      <w:r>
        <w:rPr>
          <w:rFonts w:ascii="仿宋_GB2312" w:hAnsi="仿宋_GB2312" w:eastAsia="仿宋_GB2312"/>
          <w:b w:val="0"/>
          <w:sz w:val="24"/>
        </w:rPr>
        <w:t>本公司根据有关规定，按（具体标准）提取安全生产费用，按（具体标准）提取维简费。</w:t>
        <w:br/>
        <w:br/>
        <w:t>安全生产费用及维简费于提取时计入相关产品的成本或当期损益，同时计入“专项储备”科目。</w:t>
        <w:br/>
        <w:br/>
        <w:t>提取的安全生产费及维简费按规定范围使用时，属于费用性支出的，直接冲减专项储备；形成固定资产的，先通过“在建工程”科目归集所发生的支出，待安全项目完工达到预定可使用状态时确认为固定资产；同时，按照形成固定资产的成本冲减专项储备，并确认相同金额的累计折旧。该固定资产在以后期间不再计提折旧。</w:t>
        <w:br/>
        <w:br/>
        <w:t>（企业提取其他具有类似性质的费用，如煤矿转产发展资金、矿山环境恢复治理保证金等，比照上述表述进行披露。）</w:t>
        <w:br/>
        <w:br/>
        <w:t>【提示-适用法规包括：</w:t>
        <w:br/>
        <w:br/>
        <w:t>（1）2022年11月21日之后，财资［2022］136号文，同时财企［2012］16号文废止；</w:t>
        <w:br/>
        <w:br/>
        <w:t>（2）2012年2月14日之后，财企［2012］16号文（已废止），财建［2004］119号文；</w:t>
        <w:br/>
        <w:br/>
        <w:t>（3）2012年2月14日之前，财建［2004］119号文，财建［2005］168号文，财建［2006］180号，财企［2006］478号；</w:t>
        <w:br/>
        <w:br/>
        <w:t>（4）证监会会计部对《会计问题征询函——煤炭企业维简费的会计处理》的复函-2009.1.12；</w:t>
        <w:br/>
        <w:br/>
        <w:t>（5）证监会会计部对《关于辖区煤炭行业上市公司有关财务核算问题的请示函》的复函［会计部函[2009]46号］-2009.2.16】</w:t>
      </w:r>
    </w:p>
    <w:p>
      <w:pPr>
        <w:spacing w:before="120" w:after="240" w:line="240" w:lineRule="auto"/>
      </w:pPr>
      <w:r>
        <w:rPr>
          <w:rFonts w:ascii="仿宋_GB2312" w:hAnsi="仿宋_GB2312" w:eastAsia="仿宋_GB2312"/>
          <w:b/>
          <w:sz w:val="24"/>
        </w:rPr>
        <w:t>153、应付债券</w:t>
      </w:r>
      <w:bookmarkStart w:id="42264" w:name="note_section_四、应付债券"/>
      <w:bookmarkEnd w:id="42264"/>
    </w:p>
    <w:p>
      <w:pPr>
        <w:spacing w:before="0" w:after="240" w:line="240" w:lineRule="auto"/>
      </w:pPr>
      <w:r>
        <w:rPr>
          <w:rFonts w:ascii="仿宋_GB2312" w:hAnsi="仿宋_GB2312" w:eastAsia="仿宋_GB2312"/>
          <w:b w:val="0"/>
          <w:sz w:val="24"/>
        </w:rPr>
        <w:t>（说明应付债券的计价及债券溢价或折价的摊销方法。）</w:t>
        <w:br/>
        <w:br/>
        <w:t>本公司对外发行的债券按照公允价值扣除交易成本后的金额进行初始计量，并在债券存续期间采用实际利率法按摊余成本进行后续计量。</w:t>
        <w:br/>
        <w:br/>
        <w:t>利息费用除在符合借款费用资本化条件时予以资本化外，直接计入当期损益。</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  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小  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减：一年内到期的应付债券</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  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154、投资性房地产</w:t>
      </w:r>
      <w:bookmarkStart w:id="8142" w:name="note_section_四、投资性房地产"/>
      <w:bookmarkEnd w:id="8142"/>
    </w:p>
    <w:p>
      <w:pPr>
        <w:spacing w:before="0" w:after="240" w:line="240" w:lineRule="auto"/>
      </w:pPr>
      <w:r>
        <w:rPr>
          <w:rFonts w:ascii="仿宋_GB2312" w:hAnsi="仿宋_GB2312" w:eastAsia="仿宋_GB2312"/>
          <w:b w:val="0"/>
          <w:sz w:val="24"/>
        </w:rPr>
        <w:t>（采用成本模式的，披露投资性房地产的折旧或摊销方法以及减值准备计提依据。）</w:t>
        <w:br/>
        <w:br/>
        <w:t>投资性房地产是指为赚取租金或资本增值，或两者兼有而持有的房地产。本公司投资性房地产包括已出租的土地使用权、持有并准备增值后转让的土地使用权、已出租的建筑物。</w:t>
        <w:br/>
        <w:br/>
        <w:t>本公司投资性房地产按照取得时的成本进行初始计量，并按照固定资产或无形资产的有关规定，按期计提折旧或摊销。</w:t>
      </w:r>
    </w:p>
    <w:p>
      <w:pPr>
        <w:spacing w:before="120" w:after="240" w:line="240" w:lineRule="auto"/>
      </w:pPr>
      <w:r>
        <w:rPr>
          <w:rFonts w:ascii="仿宋_GB2312" w:hAnsi="仿宋_GB2312" w:eastAsia="仿宋_GB2312"/>
          <w:b/>
          <w:sz w:val="24"/>
        </w:rPr>
        <w:t>155、持有待售及终止经营</w:t>
      </w:r>
      <w:bookmarkStart w:id="90246" w:name="note_section_四、持有待售及终止经"/>
      <w:bookmarkEnd w:id="90246"/>
    </w:p>
    <w:p>
      <w:pPr>
        <w:spacing w:before="0" w:after="240" w:line="240" w:lineRule="auto"/>
      </w:pPr>
      <w:r>
        <w:rPr>
          <w:rFonts w:ascii="仿宋_GB2312" w:hAnsi="仿宋_GB2312" w:eastAsia="仿宋_GB2312"/>
          <w:b w:val="0"/>
          <w:sz w:val="24"/>
        </w:rPr>
        <w:t>（说明划分为持有待售的依据及会计处理方法，终止经营的认定标准和列报方法。）</w:t>
        <w:br/>
        <w:br/>
        <w:t>持有待售的非流动资产或处置组的分类与计量</w:t>
        <w:br/>
        <w:br/>
        <w:t>本公司主要通过出售（包括具有商业实质的非货币性资产交换）而非持续使用一项非流动资产或处置组收回其账面价值时，该非流动资产或处置组被划分为持有待售类别。</w:t>
        <w:br/>
        <w:br/>
        <w:t>终止经营</w:t>
        <w:br/>
        <w:br/>
        <w:t>列报</w:t>
      </w:r>
    </w:p>
    <w:p>
      <w:pPr>
        <w:spacing w:before="120" w:after="240" w:line="240" w:lineRule="auto"/>
      </w:pPr>
      <w:r>
        <w:rPr>
          <w:rFonts w:ascii="仿宋_GB2312" w:hAnsi="仿宋_GB2312" w:eastAsia="仿宋_GB2312"/>
          <w:b/>
          <w:sz w:val="24"/>
        </w:rPr>
        <w:t>156、收入的确认原则</w:t>
      </w:r>
      <w:bookmarkStart w:id="39496" w:name="note_section_四、收入的确认原则"/>
      <w:bookmarkEnd w:id="39496"/>
    </w:p>
    <w:p>
      <w:pPr>
        <w:spacing w:before="0" w:after="240" w:line="240" w:lineRule="auto"/>
      </w:pPr>
      <w:r>
        <w:rPr>
          <w:rFonts w:ascii="仿宋_GB2312" w:hAnsi="仿宋_GB2312" w:eastAsia="仿宋_GB2312"/>
          <w:b w:val="0"/>
          <w:sz w:val="24"/>
        </w:rPr>
        <w:t>（说明收入的确认原则和计量方法）</w:t>
        <w:br/>
        <w:br/>
        <w:t>### 一般原则</w:t>
        <w:br/>
        <w:br/>
        <w:t>本公司在履行了合同中的履约义务，即在客户取得相关商品或服务的控制权时确认收入。</w:t>
        <w:br/>
        <w:br/>
        <w:t>合同中包含两项或多项履约义务的，本公司在合同开始日，按照各单项履约义务所承诺商品或服务的单独售价的相对比例，将交易价格分摊至各单项履约义务，按照分摊至各单项履约义务的交易价格计量收入。</w:t>
        <w:br/>
        <w:br/>
        <w:t>满足下列条件之一时，本公司属于在某一时段内履行履约义务；否则，属于在某一时点履行履约义务：</w:t>
        <w:br/>
        <w:br/>
        <w:t>①客户在本公司履约的同时即取得并消耗本公司履约所带来的经济利益。</w:t>
        <w:br/>
        <w:br/>
        <w:t>②客户能够控制本公司履约过程中在建的商品。</w:t>
        <w:br/>
        <w:br/>
        <w:t>③本公司履约过程中所产出的商品具有不可替代用途，且本公司在整个合同期间内有权就累计至今已完成的履约部分收取款项。</w:t>
        <w:br/>
        <w:br/>
        <w:t>对于在某一时段内履行的履约义务，本公司在该段时间内按照履约进度确认收入。履约进度不能合理确定时，本公司已经发生的成本预计能够得到补偿的，按照已经发生的成本金额确认收入，直到履约进度能够合理确定为止。</w:t>
        <w:br/>
        <w:br/>
        <w:t>对于在某一时点履行的履约义务，本公司在客户取得相关商品或服务控制权时点确认收入。在判断客户是否已取得商品或服务控制权时，本公司会考虑下列迹象：</w:t>
        <w:br/>
        <w:br/>
        <w:t>①本公司就该商品或服务享有现时收款权利，即客户就该商品负有现时付款义务。</w:t>
        <w:br/>
        <w:br/>
        <w:t>②本公司已将该商品的法定所有权转移给客户，即客户已拥有该商品的法定所有权。</w:t>
        <w:br/>
        <w:br/>
        <w:t>③本公司已将该商品的实物转移给客户，即客户已实物占有该商品。</w:t>
        <w:br/>
        <w:br/>
        <w:t>④本公司已将该商品所有权上的主要风险和报酬转移给客户，即客户已取得该商品所有权上的主要风险和报酬。</w:t>
        <w:br/>
        <w:br/>
        <w:t>⑤客户已接受该商品或服务。</w:t>
        <w:br/>
        <w:br/>
        <w:t>⑥其他表明客户已取得商品控制权的迹象。</w:t>
        <w:br/>
        <w:br/>
        <w:t>本公司已向客户转让商品或服务而有权收取对价的权利（且该权利取决于时间流逝之外的其他因素）作为合同资产，合同资产以预期信用损失为基础计提减值（参见附注四、9、（6））。本公司拥有的、无条件（仅取决于时间流逝）向客户收取对价的权利作为应收款项列示。本公司已收或应收客户对价而应向客户转让商品或服务的义务作为合同负债。</w:t>
        <w:br/>
        <w:br/>
        <w:t>同一合同下的合同资产和合同负债以净额列示，净额为借方余额的，根据其流动性在“合同资产”或“其他非流动资产”项目中列示；净额为贷方余额的，根据其流动性在“合同负债”或“其他非流动负债”项目中列示。</w:t>
        <w:br/>
        <w:br/>
        <w:t>### 具体方法</w:t>
        <w:br/>
        <w:br/>
        <w:t>本公司【XX业务】收入确认的具体方法如下：</w:t>
        <w:br/>
        <w:br/>
        <w:t>[XX商品</w:t>
        <w:br/>
        <w:br/>
        <w:t>当XX商品运送至客户且客户已接受该商品时，客户取得XX商品的控制权，本公司确认收入。</w:t>
        <w:br/>
        <w:br/>
        <w:t>对于附有销售退回条款的XX商品的销售，收入确认以累计已确认收入极可能不会发生重大转回的金额为限。本公司按照预期退还金额确认负债，同时按照预期将退回商品转让时的账面价值，扣除收回该商品预计发生的成本（包括退回商品的价值减损）后的余额，确认为一项资产。]</w:t>
        <w:br/>
        <w:br/>
        <w:t>[XX服务合同</w:t>
        <w:br/>
        <w:br/>
        <w:t>本公司在提供XX服务的过程中确认收入。对于合同中包含两项或多项履约义务的，本公司在合同开始日即按照各单项服务的单独售价的相对比例将交易价格分摊至各项服务。各项服务的单独售价依据本公司单独销售各项服务的价格得出。]</w:t>
        <w:br/>
        <w:br/>
        <w:t>【例如影视业务，分别说明制作、发行、放映收入的具体确认方法；又如系统集成业务，说明风险报酬转移的具体时点（初验或终验）】</w:t>
        <w:br/>
        <w:br/>
        <w:t>【例如，销售商品，自营销售和通过代理商销售的收入确认时点】</w:t>
      </w:r>
    </w:p>
    <w:p>
      <w:pPr>
        <w:spacing w:before="120" w:after="240" w:line="240" w:lineRule="auto"/>
      </w:pPr>
      <w:r>
        <w:rPr>
          <w:rFonts w:ascii="仿宋_GB2312" w:hAnsi="仿宋_GB2312" w:eastAsia="仿宋_GB2312"/>
          <w:b/>
          <w:sz w:val="24"/>
        </w:rPr>
        <w:t>157、政府补助</w:t>
      </w:r>
      <w:bookmarkStart w:id="83479" w:name="note_section_四、政府补助"/>
      <w:bookmarkEnd w:id="83479"/>
    </w:p>
    <w:p>
      <w:pPr>
        <w:spacing w:before="0" w:after="240" w:line="240" w:lineRule="auto"/>
      </w:pPr>
      <w:r>
        <w:rPr>
          <w:rFonts w:ascii="仿宋_GB2312" w:hAnsi="仿宋_GB2312" w:eastAsia="仿宋_GB2312"/>
          <w:b w:val="0"/>
          <w:sz w:val="24"/>
        </w:rPr>
        <w:t>（说明政府补助的分类、取得政府补助的初始计量、后续计量及终止确认、政府补助的返还的会计处理方法。）</w:t>
        <w:br/>
        <w:br/>
        <w:t>政府补助在满足政府补助所附条件并能够收到时确认。</w:t>
        <w:br/>
        <w:br/>
        <w:t>对于货币性资产的政府补助，按照收到或应收的金额计量。对于非货币性资产的政府补助，按照公允价值计量；公允价值不能够可靠取得的，按照名义金额1元计量。</w:t>
        <w:br/>
        <w:br/>
        <w:t>与资产相关的政府补助，是指本公司取得的、用于购建或以其他方式形成长期资产的政府补助；除此之外，作为与收益相关的政府补助。</w:t>
        <w:br/>
        <w:br/>
        <w:t>对于政府文件未明确规定补助对象的，能够形成长期资产的，与资产价值相对应的政府补助部分作为与资产相关的政府补助，其余部分作为与收益相关的政府补助；难以区分的，将政府补助整体作为与收益相关的政府补助。</w:t>
        <w:br/>
        <w:br/>
        <w:t>与资产相关的政府补助，冲减相关资产的账面价值，或者确认为递延收益在相关资产使用期限内按照合理、系统的方法分期计入损益。与收益相关的政府补助，用于补偿已发生的相关成本费用或损失的，计入当期损益或冲减相关成本；用于补偿以后期间的相关成本费用或损失的，则计入递延收益，于相关成本费用或损失确认期间计入当期损益或冲减相关成本。按照名义金额计量的政府补助，直接计入当期损益。本公司对相同或类似的政府补助业务，采用一致的方法处理。</w:t>
        <w:br/>
        <w:br/>
        <w:t>与日常活动相关的政府补助，按照经济业务实质，计入其他收益或冲减相关成本费用。与日常活动无关的政府补助，计入营业外收支。</w:t>
        <w:br/>
        <w:br/>
        <w:t>已确认的政府补助需要返还时，初始确认时冲减相关资产账面价值的，调整资产账面价值；存在相关递延收益余额的，冲减相关递延收益账面余额，超出部分计入当期损益；属于其他情况的，直接计入当期损益。</w:t>
        <w:br/>
        <w:br/>
        <w:t>如存在政策性优惠贷款贴息，会计政策披露如下【企业应在下述两种方法中作出选择】：</w:t>
        <w:br/>
        <w:br/>
        <w:t>方法一</w:t>
        <w:br/>
        <w:br/>
        <w:t>取得的政策性优惠贷款贴息，如果财政将贴息资金拨付给贷款银行，以实际收到的借款金额作为借款的入账价值，按照借款本金和政策性优惠利率计算借款费用。如果财政将贴息资金直接拨付给本公司，贴息冲减借款费用。</w:t>
        <w:br/>
        <w:br/>
        <w:t>方法二</w:t>
        <w:br/>
        <w:br/>
        <w:t>取得的政策性优惠贷款贴息，如果财政将贴息资金拨付给贷款银行，以借款的公允价值作为借款的入账价值并按照实际利率法计算借款费用，实际收到的金额与借款公允价值之间的差额确认为递延收益，在借款存续期内采用实际利率法摊销，冲减借款费用。如果财政将贴息资金直接拨付给本公司，贴息冲减借款费用。</w:t>
      </w:r>
    </w:p>
    <w:p>
      <w:pPr>
        <w:spacing w:before="120" w:after="240" w:line="240" w:lineRule="auto"/>
      </w:pPr>
      <w:r>
        <w:rPr>
          <w:rFonts w:ascii="仿宋_GB2312" w:hAnsi="仿宋_GB2312" w:eastAsia="仿宋_GB2312"/>
          <w:b/>
          <w:sz w:val="24"/>
        </w:rPr>
        <w:t>158、无形资产</w:t>
      </w:r>
      <w:bookmarkStart w:id="37569" w:name="note_section_四、无形资产"/>
      <w:bookmarkEnd w:id="37569"/>
    </w:p>
    <w:p>
      <w:pPr>
        <w:spacing w:before="0" w:after="240" w:line="240" w:lineRule="auto"/>
      </w:pPr>
      <w:r>
        <w:rPr>
          <w:rFonts w:ascii="仿宋_GB2312" w:hAnsi="仿宋_GB2312" w:eastAsia="仿宋_GB2312"/>
          <w:b w:val="0"/>
          <w:sz w:val="24"/>
        </w:rPr>
        <w:t>（说明无形资产的确认、计价方法、摊销方法、摊销年限，无形资产减值准备的确认标准、计提方法。）</w:t>
        <w:br/>
        <w:br/>
        <w:t>本公司无形资产包括【土地使用权、专利权】等。</w:t>
        <w:br/>
        <w:br/>
        <w:t>本公司无形资产按照成本进行初始计量，并于取得无形资产时分析判断其使用寿命。使用寿命为有限的，自无形资产可供使用时起，采用能反映与该资产有关的经济利益的预期实现方</w:t>
        <w:br/>
        <w:br/>
        <w:t>使用寿命有限的无形资产摊销方法如下：</w:t>
        <w:br/>
        <w:br/>
        <w:t>本公司无形资产均为使用寿命有限的土地使用权，采用直线法摊销，使用年限如下：</w:t>
      </w:r>
    </w:p>
    <w:p>
      <w:pPr>
        <w:spacing w:before="120" w:after="240" w:line="240" w:lineRule="auto"/>
      </w:pPr>
      <w:r>
        <w:rPr>
          <w:rFonts w:ascii="仿宋_GB2312" w:hAnsi="仿宋_GB2312" w:eastAsia="仿宋_GB2312"/>
          <w:b/>
          <w:sz w:val="24"/>
        </w:rPr>
        <w:t>类别</w:t>
      </w:r>
    </w:p>
    <w:p>
      <w:pPr>
        <w:spacing w:before="120" w:after="240" w:line="240" w:lineRule="auto"/>
      </w:pPr>
      <w:r>
        <w:rPr>
          <w:rFonts w:ascii="仿宋_GB2312" w:hAnsi="仿宋_GB2312" w:eastAsia="仿宋_GB2312"/>
          <w:b/>
          <w:sz w:val="24"/>
        </w:rPr>
        <w:t>地块类别</w:t>
      </w:r>
    </w:p>
    <w:p>
      <w:pPr>
        <w:spacing w:before="120" w:after="240" w:line="240" w:lineRule="auto"/>
      </w:pPr>
      <w:r>
        <w:rPr>
          <w:rFonts w:ascii="仿宋_GB2312" w:hAnsi="仿宋_GB2312" w:eastAsia="仿宋_GB2312"/>
          <w:b/>
          <w:sz w:val="24"/>
        </w:rPr>
        <w:t>159、油气资产</w:t>
      </w:r>
      <w:bookmarkStart w:id="34157" w:name="note_section_四、油气资产"/>
      <w:bookmarkEnd w:id="34157"/>
    </w:p>
    <w:p>
      <w:pPr>
        <w:spacing w:before="0" w:after="240" w:line="240" w:lineRule="auto"/>
      </w:pPr>
      <w:r>
        <w:rPr>
          <w:rFonts w:ascii="仿宋_GB2312" w:hAnsi="仿宋_GB2312" w:eastAsia="仿宋_GB2312"/>
          <w:b w:val="0"/>
          <w:sz w:val="24"/>
        </w:rPr>
        <w:t>（说明各类油气资产相关支出的资本化标准，各类油气资产的折耗或摊销方法，采矿许可证等执照费用的会计处理方法以及油气储量估计的判断依据等。）</w:t>
        <w:br/>
        <w:br/>
        <w:t>油气资产的分类、确认与计价</w:t>
        <w:br/>
        <w:br/>
        <w:t>本公司油气资产包括井及相关设施、探明矿区权益、未探明矿区权益。与该油气资产有关的经济利益很可能流入企业，并且该油气资产的成本能够可靠地计量时，油气资产予以确认，</w:t>
        <w:br/>
        <w:br/>
        <w:t>油气资产折耗政策</w:t>
        <w:br/>
        <w:br/>
        <w:t>油气资产减值准备</w:t>
        <w:br/>
        <w:br/>
        <w:t>油气资产弃置费</w:t>
      </w:r>
    </w:p>
    <w:p>
      <w:pPr>
        <w:spacing w:before="120" w:after="240" w:line="240" w:lineRule="auto"/>
      </w:pPr>
      <w:r>
        <w:rPr>
          <w:rFonts w:ascii="仿宋_GB2312" w:hAnsi="仿宋_GB2312" w:eastAsia="仿宋_GB2312"/>
          <w:b/>
          <w:sz w:val="24"/>
        </w:rPr>
        <w:t>160、现金及现金等价物</w:t>
      </w:r>
      <w:bookmarkStart w:id="70294" w:name="note_section_四、现金及现金等价物"/>
      <w:bookmarkEnd w:id="70294"/>
    </w:p>
    <w:p>
      <w:pPr>
        <w:spacing w:before="0" w:after="240" w:line="240" w:lineRule="auto"/>
      </w:pPr>
      <w:r>
        <w:rPr>
          <w:rFonts w:ascii="仿宋_GB2312" w:hAnsi="仿宋_GB2312" w:eastAsia="仿宋_GB2312"/>
          <w:b w:val="0"/>
          <w:sz w:val="24"/>
        </w:rPr>
        <w:t>现金是指库存现金以及可以随时用于支付的存款。现金等价物，是指本公司持有的期限短、流动性强、易于转换为已知金额现金、价值变动风险很小的投资。</w:t>
      </w:r>
    </w:p>
    <w:p>
      <w:pPr>
        <w:spacing w:before="120" w:after="240" w:line="240" w:lineRule="auto"/>
      </w:pPr>
      <w:r>
        <w:rPr>
          <w:rFonts w:ascii="仿宋_GB2312" w:hAnsi="仿宋_GB2312" w:eastAsia="仿宋_GB2312"/>
          <w:b/>
          <w:sz w:val="24"/>
        </w:rPr>
        <w:t>161、生物资产</w:t>
      </w:r>
      <w:bookmarkStart w:id="95681" w:name="note_section_四、生物资产"/>
      <w:bookmarkEnd w:id="95681"/>
    </w:p>
    <w:p>
      <w:pPr>
        <w:spacing w:before="0" w:after="240" w:line="240" w:lineRule="auto"/>
      </w:pPr>
      <w:r>
        <w:rPr>
          <w:rFonts w:ascii="仿宋_GB2312" w:hAnsi="仿宋_GB2312" w:eastAsia="仿宋_GB2312"/>
          <w:b w:val="0"/>
          <w:sz w:val="24"/>
        </w:rPr>
        <w:t>（说明各类生产性生物资产的使用寿命和预计净残值及其确定依据、折旧方法。）</w:t>
        <w:br/>
        <w:br/>
        <w:t>生物资产的确定标准</w:t>
        <w:br/>
        <w:br/>
        <w:t>生物资产，是指有生命的动物和植物构成的资产。生物资产同时满足下列条件的，予以确认：</w:t>
        <w:br/>
        <w:br/>
        <w:t>生物资产的分类</w:t>
        <w:br/>
        <w:br/>
        <w:t>生物资产减值的处理</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100"/>
        <w:gridCol w:w="2100"/>
        <w:gridCol w:w="2100"/>
        <w:gridCol w:w="2100"/>
      </w:tblGrid>
      <w:tr>
        <w:trPr>
          <w:trHeight w:val="397" w:hRule="exact"/>
          <w:cantSplit/>
        </w:trPr>
        <w:tc>
          <w:tcPr>
            <w:tcW w:type="dxa" w:w="2100"/>
            <w:tcBorders>
              <w:bottom w:val="single" w:sz="4" w:space="0" w:color="000000"/>
            </w:tcBorders>
          </w:tcPr>
          <w:p>
            <w:pPr>
              <w:jc w:val="center"/>
            </w:pPr>
            <w:r/>
            <w:r>
              <w:rPr>
                <w:rFonts w:ascii="仿宋_GB2312" w:hAnsi="仿宋_GB2312" w:eastAsia="仿宋_GB2312"/>
                <w:b/>
                <w:sz w:val="24"/>
              </w:rPr>
              <w:t>生产性生物资产类别</w:t>
            </w:r>
          </w:p>
        </w:tc>
        <w:tc>
          <w:tcPr>
            <w:tcW w:type="dxa" w:w="2100"/>
            <w:tcBorders>
              <w:bottom w:val="single" w:sz="4" w:space="0" w:color="000000"/>
            </w:tcBorders>
          </w:tcPr>
          <w:p>
            <w:pPr>
              <w:jc w:val="center"/>
            </w:pPr>
            <w:r/>
            <w:r>
              <w:rPr>
                <w:rFonts w:ascii="仿宋_GB2312" w:hAnsi="仿宋_GB2312" w:eastAsia="仿宋_GB2312"/>
                <w:b/>
                <w:sz w:val="24"/>
              </w:rPr>
              <w:t>使用年限（年）</w:t>
            </w:r>
          </w:p>
        </w:tc>
        <w:tc>
          <w:tcPr>
            <w:tcW w:type="dxa" w:w="2100"/>
            <w:tcBorders>
              <w:bottom w:val="single" w:sz="4" w:space="0" w:color="000000"/>
            </w:tcBorders>
          </w:tcPr>
          <w:p>
            <w:pPr>
              <w:jc w:val="center"/>
            </w:pPr>
            <w:r/>
            <w:r>
              <w:rPr>
                <w:rFonts w:ascii="仿宋_GB2312" w:hAnsi="仿宋_GB2312" w:eastAsia="仿宋_GB2312"/>
                <w:b/>
                <w:sz w:val="24"/>
              </w:rPr>
              <w:t>残值率%</w:t>
            </w:r>
          </w:p>
        </w:tc>
        <w:tc>
          <w:tcPr>
            <w:tcW w:type="dxa" w:w="2100"/>
            <w:tcBorders>
              <w:bottom w:val="single" w:sz="4" w:space="0" w:color="000000"/>
            </w:tcBorders>
          </w:tcPr>
          <w:p>
            <w:pPr>
              <w:jc w:val="center"/>
            </w:pPr>
            <w:r/>
            <w:r>
              <w:rPr>
                <w:rFonts w:ascii="仿宋_GB2312" w:hAnsi="仿宋_GB2312" w:eastAsia="仿宋_GB2312"/>
                <w:b/>
                <w:sz w:val="24"/>
              </w:rPr>
              <w:t>年折旧率%</w:t>
            </w:r>
          </w:p>
        </w:tc>
      </w:tr>
      <w:tr>
        <w:trPr>
          <w:trHeight w:val="397" w:hRule="exact"/>
          <w:cantSplit/>
        </w:trPr>
        <w:tc>
          <w:tcPr>
            <w:tcW w:type="dxa" w:w="2100"/>
          </w:tcPr>
          <w:p>
            <w:r/>
            <w:r>
              <w:rPr>
                <w:rFonts w:ascii="仿宋_GB2312" w:hAnsi="仿宋_GB2312" w:eastAsia="仿宋_GB2312"/>
                <w:b w:val="0"/>
                <w:sz w:val="24"/>
              </w:rPr>
              <w:t>种植业</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①</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畜牧养殖业</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①</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林业</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①</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水产业</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①</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r>
        <w:trPr>
          <w:trHeight w:val="397" w:hRule="exact"/>
          <w:cantSplit/>
        </w:trPr>
        <w:tc>
          <w:tcPr>
            <w:tcW w:type="dxa" w:w="2100"/>
          </w:tcPr>
          <w:p>
            <w:r/>
            <w:r>
              <w:rPr>
                <w:rFonts w:ascii="仿宋_GB2312" w:hAnsi="仿宋_GB2312" w:eastAsia="仿宋_GB2312"/>
                <w:b w:val="0"/>
                <w:sz w:val="24"/>
              </w:rPr>
              <w:t>……</w:t>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c>
          <w:tcPr>
            <w:tcW w:type="dxa" w:w="21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162、研究开发支出</w:t>
      </w:r>
      <w:bookmarkStart w:id="30829" w:name="note_section_四、研究开发支出"/>
      <w:bookmarkEnd w:id="30829"/>
    </w:p>
    <w:p>
      <w:pPr>
        <w:spacing w:before="0" w:after="240" w:line="240" w:lineRule="auto"/>
      </w:pPr>
      <w:r>
        <w:rPr>
          <w:rFonts w:ascii="仿宋_GB2312" w:hAnsi="仿宋_GB2312" w:eastAsia="仿宋_GB2312"/>
          <w:b w:val="0"/>
          <w:sz w:val="24"/>
        </w:rPr>
        <w:t>（说明研究开发项目研究阶段支出和开发阶段支出的划分标准，开发阶段支出符合资本化的确认条件以及与研发相关的无形资产确认、计量的具体会计政策。）</w:t>
        <w:br/>
        <w:br/>
        <w:t>本公司将内部研究开发项目的支出，区分为研究阶段支出和开发阶段支出。</w:t>
        <w:br/>
        <w:br/>
        <w:t>研究阶段的支出，于发生时计入当期损益。</w:t>
        <w:br/>
        <w:br/>
        <w:t>开发阶段的支出，同时满足下列条件的，才能予以资本化，即：完成该无形资产以使其能够使用或出售在技术上具有可行性；具有完成该无形资产并使用或出售的意图；无形资产产生经济利益的方式，包括能够证明运用该无形资产生产的产品存在市场或无形资产自身存在市场，无形资产将在内部使用的，能够证明其有用性；有足够的技术、财务资源和其他资源支持，以完成该无形资产的开发，并有能力使用或出售该无形资产；归属于该无形资产开发阶段的支出能够可靠地计量。不满足上述条件的开发支出计入当期损益。</w:t>
        <w:br/>
        <w:br/>
        <w:t>本公司相应项目在满足上述条件，通过技术可行性及经济可行性研究，形成项目立项后，进入开发阶段。</w:t>
        <w:br/>
        <w:br/>
        <w:t>已资本化的开发阶段的支出在资产负债表上列示为开发支出，自该项目达到预定用途之日转为无形资产。</w:t>
      </w:r>
    </w:p>
    <w:p>
      <w:pPr>
        <w:spacing w:before="120" w:after="240" w:line="240" w:lineRule="auto"/>
      </w:pPr>
      <w:r>
        <w:rPr>
          <w:rFonts w:ascii="仿宋_GB2312" w:hAnsi="仿宋_GB2312" w:eastAsia="仿宋_GB2312"/>
          <w:b/>
          <w:sz w:val="24"/>
        </w:rPr>
        <w:t>163、租赁</w:t>
      </w:r>
      <w:bookmarkStart w:id="3939" w:name="note_section_四、租赁"/>
      <w:bookmarkEnd w:id="3939"/>
    </w:p>
    <w:p>
      <w:pPr>
        <w:spacing w:before="0" w:after="240" w:line="240" w:lineRule="auto"/>
      </w:pPr>
      <w:r>
        <w:rPr>
          <w:rFonts w:ascii="仿宋_GB2312" w:hAnsi="仿宋_GB2312" w:eastAsia="仿宋_GB2312"/>
          <w:b w:val="0"/>
          <w:sz w:val="24"/>
        </w:rPr>
        <w:t>（说明租赁的分类、经营租赁会计处理方法、融资租赁的判断标准和会计处理方法。）</w:t>
        <w:br/>
        <w:br/>
        <w:t>租赁的识别</w:t>
        <w:br/>
        <w:br/>
        <w:t>在合同开始日，本公司作为承租人或出租人评估合同中的客户是否有权获得在使用期间内因使用已识别资产所产生的几乎全部经济利益，并有权在该使用期间主导已识别资产的使用。</w:t>
        <w:br/>
        <w:br/>
        <w:t>本公司作为承租人</w:t>
        <w:br/>
        <w:br/>
        <w:t>本公司作为出租人</w:t>
        <w:br/>
        <w:br/>
        <w:t>转租赁</w:t>
        <w:br/>
        <w:br/>
        <w:t>售后租回</w:t>
      </w:r>
    </w:p>
    <w:p>
      <w:pPr>
        <w:spacing w:before="120" w:after="240" w:line="240" w:lineRule="auto"/>
      </w:pPr>
      <w:r>
        <w:rPr>
          <w:rFonts w:ascii="仿宋_GB2312" w:hAnsi="仿宋_GB2312" w:eastAsia="仿宋_GB2312"/>
          <w:b/>
          <w:sz w:val="24"/>
        </w:rPr>
        <w:t>164、职工薪酬</w:t>
      </w:r>
      <w:bookmarkStart w:id="46382" w:name="note_section_四、职工薪酬"/>
      <w:bookmarkEnd w:id="46382"/>
    </w:p>
    <w:p>
      <w:pPr>
        <w:spacing w:before="0" w:after="240" w:line="240" w:lineRule="auto"/>
      </w:pPr>
      <w:r>
        <w:rPr>
          <w:rFonts w:ascii="仿宋_GB2312" w:hAnsi="仿宋_GB2312" w:eastAsia="仿宋_GB2312"/>
          <w:b w:val="0"/>
          <w:sz w:val="24"/>
        </w:rPr>
        <w:t>（说明职工薪酬的内容，短期薪酬、设定提存计划、设定受益计划等各类职工薪酬的确认原则、标准与计量方法以及会计处理方法）</w:t>
        <w:br/>
        <w:br/>
        <w:t>职工薪酬的范围</w:t>
        <w:br/>
        <w:br/>
        <w:t>职工薪酬，是指企业为获得职工提供的服务或解除劳动关系而给予的各种形式的报酬或补偿。职工薪酬包括短期薪酬、离职后福利、辞退福利和其他长期职工福利。企业提供给职工配</w:t>
        <w:br/>
        <w:br/>
        <w:t>短期薪酬</w:t>
        <w:br/>
        <w:br/>
        <w:t>离职后福利</w:t>
        <w:br/>
        <w:br/>
        <w:t>辞退福利</w:t>
        <w:br/>
        <w:br/>
        <w:t>其他长期福利</w:t>
      </w:r>
    </w:p>
    <w:p>
      <w:pPr>
        <w:spacing w:before="120" w:after="240" w:line="240" w:lineRule="auto"/>
      </w:pPr>
      <w:r>
        <w:rPr>
          <w:rFonts w:ascii="仿宋_GB2312" w:hAnsi="仿宋_GB2312" w:eastAsia="仿宋_GB2312"/>
          <w:b/>
          <w:sz w:val="24"/>
        </w:rPr>
        <w:t>165、股份支付</w:t>
      </w:r>
      <w:bookmarkStart w:id="89139" w:name="note_section_四、股份支付"/>
      <w:bookmarkEnd w:id="89139"/>
    </w:p>
    <w:p>
      <w:pPr>
        <w:spacing w:before="0" w:after="240" w:line="240" w:lineRule="auto"/>
      </w:pPr>
      <w:r>
        <w:rPr>
          <w:rFonts w:ascii="仿宋_GB2312" w:hAnsi="仿宋_GB2312" w:eastAsia="仿宋_GB2312"/>
          <w:b w:val="0"/>
          <w:sz w:val="24"/>
        </w:rPr>
        <w:t>（说明股份支付的类别，权益工具公允价值的确定方法，确认可行权权益工具最佳估计的依据及相关会计处理，实施、修改、终止股份支付计划的相关会计处理。）</w:t>
        <w:br/>
        <w:br/>
        <w:t>股份支付的种类</w:t>
        <w:br/>
        <w:br/>
        <w:t>本公司股份支付分为以权益结算的股份支付和以现金结算的股份支付。</w:t>
        <w:br/>
        <w:br/>
        <w:t>权益工具公允价值的确定方法</w:t>
        <w:br/>
        <w:br/>
        <w:t>确认可行权权益工具最佳估计的依据</w:t>
        <w:br/>
        <w:br/>
        <w:t>实施、修改、终止股份支付计划的相关会计处理</w:t>
      </w:r>
    </w:p>
    <w:p>
      <w:pPr>
        <w:spacing w:before="120" w:after="240" w:line="240" w:lineRule="auto"/>
      </w:pPr>
      <w:r>
        <w:rPr>
          <w:rFonts w:ascii="仿宋_GB2312" w:hAnsi="仿宋_GB2312" w:eastAsia="仿宋_GB2312"/>
          <w:b/>
          <w:sz w:val="24"/>
        </w:rPr>
        <w:t>166、记账基础和计价原则</w:t>
      </w:r>
      <w:bookmarkStart w:id="73330" w:name="note_section_四、记账基础和计价原"/>
      <w:bookmarkEnd w:id="73330"/>
    </w:p>
    <w:p>
      <w:pPr>
        <w:spacing w:before="0" w:after="240" w:line="240" w:lineRule="auto"/>
      </w:pPr>
      <w:r>
        <w:rPr>
          <w:rFonts w:ascii="仿宋_GB2312" w:hAnsi="仿宋_GB2312" w:eastAsia="仿宋_GB2312"/>
          <w:b w:val="0"/>
          <w:sz w:val="24"/>
        </w:rPr>
        <w:t>本公司会计核算以权责发生制为基础。除某些金融工具【和投资性房地产】外，本财务报表均以历史成本为计量基础。【持有待售的非流动资产，按公允价值减去预计费用后的金额，以及符合持有待售条件时的原账面价值，取两者孰低计价。】资产如果发生减值，则按照相关规定计提相应的减值准备。</w:t>
        <w:br/>
        <w:br/>
        <w:t>（如果子公司的计价原则与母公司不一致的，需单独披露。）</w:t>
      </w:r>
    </w:p>
    <w:p>
      <w:pPr>
        <w:spacing w:before="120" w:after="240" w:line="240" w:lineRule="auto"/>
      </w:pPr>
      <w:r>
        <w:rPr>
          <w:rFonts w:ascii="仿宋_GB2312" w:hAnsi="仿宋_GB2312" w:eastAsia="仿宋_GB2312"/>
          <w:b/>
          <w:sz w:val="24"/>
        </w:rPr>
        <w:t>167、记账本位币</w:t>
      </w:r>
      <w:bookmarkStart w:id="49944" w:name="note_section_四、记账本位币"/>
      <w:bookmarkEnd w:id="49944"/>
    </w:p>
    <w:p>
      <w:pPr>
        <w:spacing w:before="0" w:after="240" w:line="240" w:lineRule="auto"/>
      </w:pPr>
      <w:r>
        <w:rPr>
          <w:rFonts w:ascii="仿宋_GB2312" w:hAnsi="仿宋_GB2312" w:eastAsia="仿宋_GB2312"/>
          <w:b w:val="0"/>
          <w:sz w:val="24"/>
        </w:rPr>
        <w:t>本公司以人民币为记账本位币。（若记账本位币为人民币以外的其他货币的，说明选定记账本位币的考虑因素及折算成人民币时的折算方法。）</w:t>
        <w:br/>
        <w:br/>
        <w:t>（如果子公司的记账本位币与母公司不一致的，需详细说明）</w:t>
        <w:br/>
        <w:br/>
        <w:t>[或：本公司记账本位币为美元。本公司确定美元为记账本位币的原因是：（通常以“美元”进行商品和劳务的计价和结算；）（通常以“美元”进行商品和劳务所需人工、材料和其他费用的计价和结算；）（融资活动获得的货币以及保存从经营活动中收取款项所使用的货币主要为“美元”）]。</w:t>
        <w:br/>
        <w:br/>
        <w:t>（本公司下属子公司、合营企业及联营企业，根据其经营所处的主要经济环境自行决定其记账本位币，编制财务报表时折算为人民币。）</w:t>
      </w:r>
    </w:p>
    <w:p>
      <w:pPr>
        <w:spacing w:before="120" w:after="240" w:line="240" w:lineRule="auto"/>
      </w:pPr>
      <w:r>
        <w:rPr>
          <w:rFonts w:ascii="仿宋_GB2312" w:hAnsi="仿宋_GB2312" w:eastAsia="仿宋_GB2312"/>
          <w:b/>
          <w:sz w:val="24"/>
        </w:rPr>
        <w:t>168、资产减值</w:t>
      </w:r>
      <w:bookmarkStart w:id="82795" w:name="note_section_四、资产减值"/>
      <w:bookmarkEnd w:id="82795"/>
    </w:p>
    <w:p>
      <w:pPr>
        <w:spacing w:before="0" w:after="240" w:line="240" w:lineRule="auto"/>
      </w:pPr>
      <w:r>
        <w:rPr>
          <w:rFonts w:ascii="仿宋_GB2312" w:hAnsi="仿宋_GB2312" w:eastAsia="仿宋_GB2312"/>
          <w:b w:val="0"/>
          <w:sz w:val="24"/>
        </w:rPr>
        <w:t>本公司对（注：后面这些项目应当根据企业实际情况选择填写，若无则删除，如生产性生物资产）子公司、联营企业和合营企业的长期股权投资、采用成本模式进行后续计量的投资性房地产、固定资产、在建工程、采用成本模式计量的生产性生物资产、使用权资产、无形资产、商誉、探明石油天然气矿区权益和井及相关设施等（存货、按公允价值模式计量的投资性房地产、递延所得税资产、金融资产除外）的资产减值，按以下方法确定：</w:t>
        <w:br/>
        <w:br/>
        <w:t>本公司于资产负债表日判断资产是否存在可能发生减值的迹象，存在减值迹象的，本公司将估计其可收回金额，进行减值测试。对因企业合并所形成的商誉、使用寿命不确定的无形资产和尚未达到预定用途的无形资产无论是否存在减值迹象，每年都进行减值测试。</w:t>
        <w:br/>
        <w:br/>
        <w:t>可收回金额根据资产的公允价值减去处置费用后的净额与资产预计未来现金流量的现值两者之间较高者确定。本公司以单项资产为基础估计其可收回金额；难以对单项资产的可收回金额进行估计的，以该资产所属的资产组为基础确定资产组的可收回金额。资产组的认定，以资产组产生的主要现金流入是否独立于其他资产或者资产组的现金流入为依据。</w:t>
        <w:br/>
        <w:br/>
        <w:t>当资产或资产组的可收回金额低于其账面价值时，本公司将其账面价值减记至可收回金额，减记的金额计入当期损益，同时计提相应的资产减值准备。</w:t>
        <w:br/>
        <w:br/>
        <w:t>就商誉的减值测试而言，对于因企业合并形成的商誉的账面价值，自购买日起按照合理的方法分摊至相关的资产组；难以分摊至相关的资产组的，将其分摊至相关的资产组组合。相关的资产组或资产组组合，是能够从企业合并的协同效应中受益的资产组或者资产组组合，且不大于本公司确定的报告分部。</w:t>
        <w:br/>
        <w:br/>
        <w:t>减值测试时，如与商誉相关的资产组或者资产组组合存在减值迹象的，首先对不包含商誉的资产组或者资产组组合进行减值测试，计算可收回金额，确认相应的减值损失。然后对包含商誉的资产组或者资产组组合进行减值测试，比较其账面价值与可收回金额，如可收回金额低于账面价值的，确认商誉的减值损失。</w:t>
        <w:br/>
        <w:br/>
        <w:t>资产减值损失一经确认，在以后会计期间不再转回。</w:t>
      </w:r>
    </w:p>
    <w:p>
      <w:pPr>
        <w:spacing w:before="120" w:after="240" w:line="240" w:lineRule="auto"/>
      </w:pPr>
      <w:r>
        <w:rPr>
          <w:rFonts w:ascii="仿宋_GB2312" w:hAnsi="仿宋_GB2312" w:eastAsia="仿宋_GB2312"/>
          <w:b/>
          <w:sz w:val="24"/>
        </w:rPr>
        <w:t>169、资产证券化业务</w:t>
      </w:r>
      <w:bookmarkStart w:id="3315" w:name="note_section_四、资产证券化业务"/>
      <w:bookmarkEnd w:id="3315"/>
    </w:p>
    <w:p>
      <w:pPr>
        <w:spacing w:before="0" w:after="240" w:line="240" w:lineRule="auto"/>
      </w:pPr>
      <w:r>
        <w:rPr>
          <w:rFonts w:ascii="仿宋_GB2312" w:hAnsi="仿宋_GB2312" w:eastAsia="仿宋_GB2312"/>
          <w:b w:val="0"/>
          <w:sz w:val="24"/>
        </w:rPr>
        <w:t>（说明资产证券化的会计处理方法。）</w:t>
        <w:br/>
        <w:br/>
        <w:t>本公司将XX资产证券化（应收款项即“信托财产”），一般将这些资产出售给特定目的实体，然后再由该实体向投资者发行证券。证券化金融资产的权益以信用增级、次级债券或其他剩余权益 （保留权益）的形式保留。保留权益在本公司的资产负债表内以公允价值入账。证券化的利得或损失取决于所转移金融资产的账面价值，并在终止确认的金融资产与保留权益之间按它们于转让当日的相关公允价值进行分配。证券化的利得或损失记入当期损益。</w:t>
        <w:br/>
        <w:br/>
        <w:t>在应用证券化金融资产的政策时，本公司已考虑转移至另一实体的资产的风险和报酬转移程度，以及本公司对该实体行使控制权的程度：</w:t>
        <w:br/>
        <w:br/>
        <w:t>①当本公司已转移该金融资产所有权上几乎全部风险和报酬时，本公司将终止确认该金融资产；</w:t>
        <w:br/>
        <w:br/>
        <w:t>②当本公司保留该金融资产所有权上几乎全部风险和报酬时，本公司将继续确认该金融资产；</w:t>
        <w:br/>
        <w:br/>
        <w:t>③如本公司并未转移或保留该金融资产所有权上几乎全部风险和报酬，本公司将考虑对该金融资产是否存在控制。如果本公司并未保留控制权，本公司将终止确认该金融资产，并把在转移中产生或保留的权利及义务分别确认为资产或负债。如本公司保留控制权，则根据对金融资产的继续涉入程度确认金融资产。</w:t>
      </w:r>
    </w:p>
    <w:p>
      <w:pPr>
        <w:spacing w:before="120" w:after="240" w:line="240" w:lineRule="auto"/>
      </w:pPr>
      <w:r>
        <w:rPr>
          <w:rFonts w:ascii="仿宋_GB2312" w:hAnsi="仿宋_GB2312" w:eastAsia="仿宋_GB2312"/>
          <w:b/>
          <w:sz w:val="24"/>
        </w:rPr>
        <w:t>170、金融工具</w:t>
      </w:r>
      <w:bookmarkStart w:id="81262" w:name="note_section_四、金融工具"/>
      <w:bookmarkEnd w:id="81262"/>
    </w:p>
    <w:p>
      <w:pPr>
        <w:spacing w:before="0" w:after="240" w:line="240" w:lineRule="auto"/>
      </w:pPr>
      <w:r>
        <w:rPr>
          <w:rFonts w:ascii="仿宋_GB2312" w:hAnsi="仿宋_GB2312" w:eastAsia="仿宋_GB2312"/>
          <w:b w:val="0"/>
          <w:sz w:val="24"/>
        </w:rPr>
        <w:t>（说明金融工具的分类、确认依据（包括指定标准）和计量方法；金融资产减值测试方法、减值准备计提方法及核销原则；金融资产和金融负债的利得和损失的计量基础；金融资产转</w:t>
        <w:br/>
        <w:br/>
        <w:t>金融工具是指形成一方的金融资产，并形成其他方的金融负债或权益工具的合同。</w:t>
        <w:br/>
        <w:br/>
        <w:t>金融工具的确认和终止确认</w:t>
        <w:br/>
        <w:br/>
        <w:t>金融资产分类和计量</w:t>
        <w:br/>
        <w:br/>
        <w:t>金融负债分类和计量</w:t>
        <w:br/>
        <w:br/>
        <w:t>衍生金融工具及嵌入衍生工具</w:t>
        <w:br/>
        <w:br/>
        <w:t>金融工具的公允价值</w:t>
        <w:br/>
        <w:br/>
        <w:t>金融资产减值</w:t>
        <w:br/>
        <w:br/>
        <w:t>金融资产转移</w:t>
        <w:br/>
        <w:br/>
        <w:t>金融资产和金融负债的抵销</w:t>
      </w:r>
    </w:p>
    <w:p>
      <w:pPr>
        <w:spacing w:before="120" w:after="240" w:line="240" w:lineRule="auto"/>
      </w:pPr>
      <w:r>
        <w:rPr>
          <w:rFonts w:ascii="仿宋_GB2312" w:hAnsi="仿宋_GB2312" w:eastAsia="仿宋_GB2312"/>
          <w:b/>
          <w:sz w:val="24"/>
        </w:rPr>
        <w:t>171、长期待摊费用</w:t>
      </w:r>
      <w:bookmarkStart w:id="10964" w:name="note_section_四、长期待摊费用"/>
      <w:bookmarkEnd w:id="10964"/>
    </w:p>
    <w:p>
      <w:pPr>
        <w:spacing w:before="0" w:after="240" w:line="240" w:lineRule="auto"/>
      </w:pPr>
      <w:r>
        <w:rPr>
          <w:rFonts w:ascii="仿宋_GB2312" w:hAnsi="仿宋_GB2312" w:eastAsia="仿宋_GB2312"/>
          <w:b w:val="0"/>
          <w:sz w:val="24"/>
        </w:rPr>
        <w:t>（说明长期待摊费用的内容、摊销方法、摊销年限。）</w:t>
        <w:br/>
        <w:br/>
        <w:t>本公司长期待摊费用包括：使用权资产的改良支出……</w:t>
        <w:br/>
        <w:br/>
        <w:t>本公司发生的长期待摊费用按实际成本计价，并按预计受益期限平均摊销，对不能使以后会计期间受益的长期待摊费用项目，在确定时将该项目的摊余价值全部计入当期损益。</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200"/>
        <w:gridCol w:w="1200"/>
        <w:gridCol w:w="1200"/>
        <w:gridCol w:w="1200"/>
        <w:gridCol w:w="1200"/>
        <w:gridCol w:w="1200"/>
        <w:gridCol w:w="1200"/>
      </w:tblGrid>
      <w:tr>
        <w:trPr>
          <w:trHeight w:val="397" w:hRule="exact"/>
          <w:cantSplit/>
        </w:trPr>
        <w:tc>
          <w:tcPr>
            <w:tcW w:type="dxa" w:w="1200"/>
            <w:tcBorders>
              <w:bottom w:val="single" w:sz="4" w:space="0" w:color="000000"/>
            </w:tcBorders>
          </w:tcPr>
          <w:p>
            <w:pPr>
              <w:jc w:val="center"/>
            </w:pPr>
            <w:r/>
            <w:r>
              <w:rPr>
                <w:rFonts w:ascii="仿宋_GB2312" w:hAnsi="仿宋_GB2312" w:eastAsia="仿宋_GB2312"/>
                <w:b/>
                <w:sz w:val="24"/>
              </w:rPr>
              <w:t>项  目</w:t>
            </w:r>
          </w:p>
        </w:tc>
        <w:tc>
          <w:tcPr>
            <w:tcW w:type="dxa" w:w="1200"/>
            <w:tcBorders>
              <w:bottom w:val="single" w:sz="4" w:space="0" w:color="000000"/>
            </w:tcBorders>
          </w:tcPr>
          <w:p>
            <w:pPr>
              <w:jc w:val="center"/>
            </w:pPr>
            <w:r/>
            <w:r>
              <w:rPr>
                <w:rFonts w:ascii="仿宋_GB2312" w:hAnsi="仿宋_GB2312" w:eastAsia="仿宋_GB2312"/>
                <w:b/>
                <w:sz w:val="24"/>
              </w:rPr>
              <w:t>期初余额</w:t>
            </w:r>
          </w:p>
        </w:tc>
        <w:tc>
          <w:tcPr>
            <w:tcW w:type="dxa" w:w="1200"/>
            <w:tcBorders>
              <w:bottom w:val="single" w:sz="4" w:space="0" w:color="000000"/>
            </w:tcBorders>
          </w:tcPr>
          <w:p>
            <w:pPr>
              <w:jc w:val="center"/>
            </w:pPr>
            <w:r/>
            <w:r>
              <w:rPr>
                <w:rFonts w:ascii="仿宋_GB2312" w:hAnsi="仿宋_GB2312" w:eastAsia="仿宋_GB2312"/>
                <w:b/>
                <w:sz w:val="24"/>
              </w:rPr>
              <w:t>本期&lt;br/&gt;增加额</w:t>
            </w:r>
          </w:p>
        </w:tc>
        <w:tc>
          <w:tcPr>
            <w:tcW w:type="dxa" w:w="1200"/>
            <w:tcBorders>
              <w:bottom w:val="single" w:sz="4" w:space="0" w:color="000000"/>
            </w:tcBorders>
          </w:tcPr>
          <w:p>
            <w:pPr>
              <w:jc w:val="center"/>
            </w:pPr>
            <w:r/>
            <w:r>
              <w:rPr>
                <w:rFonts w:ascii="仿宋_GB2312" w:hAnsi="仿宋_GB2312" w:eastAsia="仿宋_GB2312"/>
                <w:b/>
                <w:sz w:val="24"/>
              </w:rPr>
              <w:t>本期&lt;br/&gt;摊销额</w:t>
            </w:r>
          </w:p>
        </w:tc>
        <w:tc>
          <w:tcPr>
            <w:tcW w:type="dxa" w:w="1200"/>
            <w:tcBorders>
              <w:bottom w:val="single" w:sz="4" w:space="0" w:color="000000"/>
            </w:tcBorders>
          </w:tcPr>
          <w:p>
            <w:pPr>
              <w:jc w:val="center"/>
            </w:pPr>
            <w:r/>
            <w:r>
              <w:rPr>
                <w:rFonts w:ascii="仿宋_GB2312" w:hAnsi="仿宋_GB2312" w:eastAsia="仿宋_GB2312"/>
                <w:b/>
                <w:sz w:val="24"/>
              </w:rPr>
              <w:t>其他&lt;br/&gt;减少额</w:t>
            </w:r>
          </w:p>
        </w:tc>
        <w:tc>
          <w:tcPr>
            <w:tcW w:type="dxa" w:w="1200"/>
            <w:tcBorders>
              <w:bottom w:val="single" w:sz="4" w:space="0" w:color="000000"/>
            </w:tcBorders>
          </w:tcPr>
          <w:p>
            <w:pPr>
              <w:jc w:val="center"/>
            </w:pPr>
            <w:r/>
            <w:r>
              <w:rPr>
                <w:rFonts w:ascii="仿宋_GB2312" w:hAnsi="仿宋_GB2312" w:eastAsia="仿宋_GB2312"/>
                <w:b/>
                <w:sz w:val="24"/>
              </w:rPr>
              <w:t>期末余额</w:t>
            </w:r>
          </w:p>
        </w:tc>
        <w:tc>
          <w:tcPr>
            <w:tcW w:type="dxa" w:w="1200"/>
            <w:tcBorders>
              <w:bottom w:val="single" w:sz="4" w:space="0" w:color="000000"/>
            </w:tcBorders>
          </w:tcPr>
          <w:p>
            <w:pPr>
              <w:jc w:val="center"/>
            </w:pPr>
            <w:r/>
            <w:r>
              <w:rPr>
                <w:rFonts w:ascii="仿宋_GB2312" w:hAnsi="仿宋_GB2312" w:eastAsia="仿宋_GB2312"/>
                <w:b/>
                <w:sz w:val="24"/>
              </w:rPr>
              <w:t>其他减少&lt;br/&gt;的原因</w:t>
            </w:r>
          </w:p>
        </w:tc>
      </w:tr>
      <w:tr>
        <w:trPr>
          <w:trHeight w:val="397" w:hRule="exact"/>
          <w:cantSplit/>
        </w:trPr>
        <w:tc>
          <w:tcPr>
            <w:tcW w:type="dxa" w:w="1200"/>
          </w:tcPr>
          <w:p>
            <w:r/>
            <w:r>
              <w:rPr>
                <w:rFonts w:ascii="仿宋_GB2312" w:hAnsi="仿宋_GB2312" w:eastAsia="仿宋_GB2312"/>
                <w:b w:val="0"/>
                <w:sz w:val="24"/>
              </w:rPr>
              <w:t>使用权资产改良及维护支出</w:t>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r>
      <w:tr>
        <w:trPr>
          <w:trHeight w:val="397" w:hRule="exact"/>
          <w:cantSplit/>
        </w:trPr>
        <w:tc>
          <w:tcPr>
            <w:tcW w:type="dxa" w:w="1200"/>
          </w:tcPr>
          <w:p>
            <w:r/>
            <w:r>
              <w:rPr>
                <w:rFonts w:ascii="仿宋_GB2312" w:hAnsi="仿宋_GB2312" w:eastAsia="仿宋_GB2312"/>
                <w:b w:val="0"/>
                <w:sz w:val="24"/>
              </w:rPr>
              <w:t>合  计</w:t>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c>
          <w:tcPr>
            <w:tcW w:type="dxa" w:w="120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172、长期股权投资</w:t>
      </w:r>
      <w:bookmarkStart w:id="65624" w:name="note_section_四、长期股权投资"/>
      <w:bookmarkEnd w:id="65624"/>
    </w:p>
    <w:p>
      <w:pPr>
        <w:spacing w:before="0" w:after="240" w:line="240" w:lineRule="auto"/>
      </w:pPr>
      <w:r>
        <w:rPr>
          <w:rFonts w:ascii="仿宋_GB2312" w:hAnsi="仿宋_GB2312" w:eastAsia="仿宋_GB2312"/>
          <w:b w:val="0"/>
          <w:sz w:val="24"/>
        </w:rPr>
        <w:t>本公司长期股权投资包括对被投资单位实施控制、重大影响的权益性投资，以及对合营企业的权益性投资。本公司能够对被投资单位施加重大影响的，为本公司的联营企业。</w:t>
        <w:br/>
        <w:br/>
        <w:t>（说明长期股权投资的投资成本确定、后续计量及损益确认方法，确定对被投资单位具有控制、共同控制、重大影响的重大判断和假设及其变更情况；长期股权投资的处置；长期股权</w:t>
        <w:br/>
        <w:br/>
        <w:t>投资成本确定</w:t>
        <w:br/>
        <w:br/>
        <w:t>后续计量及损益确认方法</w:t>
        <w:br/>
        <w:br/>
        <w:t>确定对被投资单位具有控制、共同控制、重大影响的依据</w:t>
        <w:br/>
        <w:br/>
        <w:t>长期股权投资的处置</w:t>
        <w:br/>
        <w:br/>
        <w:t>减值测试方法及减值准备计提方法</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1680"/>
        <w:gridCol w:w="1680"/>
        <w:gridCol w:w="1680"/>
        <w:gridCol w:w="1680"/>
        <w:gridCol w:w="1680"/>
      </w:tblGrid>
      <w:tr>
        <w:trPr>
          <w:trHeight w:val="397" w:hRule="exact"/>
          <w:cantSplit/>
        </w:trPr>
        <w:tc>
          <w:tcPr>
            <w:tcW w:type="dxa" w:w="1680"/>
            <w:tcBorders>
              <w:bottom w:val="single" w:sz="4" w:space="0" w:color="000000"/>
            </w:tcBorders>
          </w:tcPr>
          <w:p>
            <w:pPr>
              <w:jc w:val="center"/>
            </w:pPr>
            <w:r/>
            <w:r>
              <w:rPr>
                <w:rFonts w:ascii="仿宋_GB2312" w:hAnsi="仿宋_GB2312" w:eastAsia="仿宋_GB2312"/>
                <w:b/>
                <w:sz w:val="24"/>
              </w:rPr>
              <w:t>项  目</w:t>
            </w:r>
          </w:p>
        </w:tc>
        <w:tc>
          <w:tcPr>
            <w:tcW w:type="dxa" w:w="1680"/>
            <w:tcBorders>
              <w:bottom w:val="single" w:sz="4" w:space="0" w:color="000000"/>
            </w:tcBorders>
          </w:tcPr>
          <w:p>
            <w:pPr>
              <w:jc w:val="center"/>
            </w:pPr>
            <w:r/>
            <w:r>
              <w:rPr>
                <w:rFonts w:ascii="仿宋_GB2312" w:hAnsi="仿宋_GB2312" w:eastAsia="仿宋_GB2312"/>
                <w:b/>
                <w:sz w:val="24"/>
              </w:rPr>
              <w:t>期初余额</w:t>
            </w:r>
          </w:p>
        </w:tc>
        <w:tc>
          <w:tcPr>
            <w:tcW w:type="dxa" w:w="1680"/>
            <w:tcBorders>
              <w:bottom w:val="single" w:sz="4" w:space="0" w:color="000000"/>
            </w:tcBorders>
          </w:tcPr>
          <w:p>
            <w:pPr>
              <w:jc w:val="center"/>
            </w:pPr>
            <w:r/>
            <w:r>
              <w:rPr>
                <w:rFonts w:ascii="仿宋_GB2312" w:hAnsi="仿宋_GB2312" w:eastAsia="仿宋_GB2312"/>
                <w:b/>
                <w:sz w:val="24"/>
              </w:rPr>
              <w:t>本期增加</w:t>
            </w:r>
          </w:p>
        </w:tc>
        <w:tc>
          <w:tcPr>
            <w:tcW w:type="dxa" w:w="1680"/>
            <w:tcBorders>
              <w:bottom w:val="single" w:sz="4" w:space="0" w:color="000000"/>
            </w:tcBorders>
          </w:tcPr>
          <w:p>
            <w:pPr>
              <w:jc w:val="center"/>
            </w:pPr>
            <w:r/>
            <w:r>
              <w:rPr>
                <w:rFonts w:ascii="仿宋_GB2312" w:hAnsi="仿宋_GB2312" w:eastAsia="仿宋_GB2312"/>
                <w:b/>
                <w:sz w:val="24"/>
              </w:rPr>
              <w:t>本期减少</w:t>
            </w:r>
          </w:p>
        </w:tc>
        <w:tc>
          <w:tcPr>
            <w:tcW w:type="dxa" w:w="1680"/>
            <w:tcBorders>
              <w:bottom w:val="single" w:sz="4" w:space="0" w:color="000000"/>
            </w:tcBorders>
          </w:tcPr>
          <w:p>
            <w:pPr>
              <w:jc w:val="center"/>
            </w:pPr>
            <w:r/>
            <w:r>
              <w:rPr>
                <w:rFonts w:ascii="仿宋_GB2312" w:hAnsi="仿宋_GB2312" w:eastAsia="仿宋_GB2312"/>
                <w:b/>
                <w:sz w:val="24"/>
              </w:rPr>
              <w:t>期末余额</w:t>
            </w:r>
          </w:p>
        </w:tc>
      </w:tr>
      <w:tr>
        <w:trPr>
          <w:trHeight w:val="397" w:hRule="exact"/>
          <w:cantSplit/>
        </w:trPr>
        <w:tc>
          <w:tcPr>
            <w:tcW w:type="dxa" w:w="1680"/>
          </w:tcPr>
          <w:p>
            <w:r/>
            <w:r>
              <w:rPr>
                <w:rFonts w:ascii="仿宋_GB2312" w:hAnsi="仿宋_GB2312" w:eastAsia="仿宋_GB2312"/>
                <w:b w:val="0"/>
                <w:sz w:val="24"/>
              </w:rPr>
              <w:t>对子公司投资</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对合营企业投资</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对联营企业投资</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小  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减：长期股权投资减值准备</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r>
        <w:trPr>
          <w:trHeight w:val="397" w:hRule="exact"/>
          <w:cantSplit/>
        </w:trPr>
        <w:tc>
          <w:tcPr>
            <w:tcW w:type="dxa" w:w="1680"/>
          </w:tcPr>
          <w:p>
            <w:r/>
            <w:r>
              <w:rPr>
                <w:rFonts w:ascii="仿宋_GB2312" w:hAnsi="仿宋_GB2312" w:eastAsia="仿宋_GB2312"/>
                <w:b w:val="0"/>
                <w:sz w:val="24"/>
              </w:rPr>
              <w:t>合  计</w:t>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c>
          <w:tcPr>
            <w:tcW w:type="dxa" w:w="1680"/>
          </w:tcPr>
          <w:p>
            <w:pPr>
              <w:jc w:val="right"/>
            </w:pPr>
            <w:r/>
            <w:r>
              <w:rPr>
                <w:rFonts w:ascii="仿宋_GB2312" w:hAnsi="仿宋_GB2312" w:eastAsia="仿宋_GB2312"/>
                <w:b w:val="0"/>
                <w:sz w:val="24"/>
              </w:rPr>
            </w:r>
          </w:p>
        </w:tc>
      </w:tr>
    </w:tbl>
    <w:p/>
    <w:p>
      <w:pPr>
        <w:spacing w:before="120" w:after="240" w:line="240" w:lineRule="auto"/>
      </w:pPr>
      <w:r>
        <w:rPr>
          <w:rFonts w:ascii="仿宋_GB2312" w:hAnsi="仿宋_GB2312" w:eastAsia="仿宋_GB2312"/>
          <w:b/>
          <w:sz w:val="24"/>
        </w:rPr>
        <w:t>173、预计负债</w:t>
      </w:r>
      <w:bookmarkStart w:id="15010" w:name="note_section_四、预计负债"/>
      <w:bookmarkEnd w:id="15010"/>
    </w:p>
    <w:p>
      <w:pPr>
        <w:spacing w:before="0" w:after="240" w:line="240" w:lineRule="auto"/>
      </w:pPr>
      <w:r>
        <w:rPr>
          <w:rFonts w:ascii="仿宋_GB2312" w:hAnsi="仿宋_GB2312" w:eastAsia="仿宋_GB2312"/>
          <w:b w:val="0"/>
          <w:sz w:val="24"/>
        </w:rPr>
        <w:t>注：应逐项说明未决诉讼、待执行的亏损合同的形成原因和进展。</w:t>
        <w:br/>
        <w:br/>
        <w:t>（对于期限在一年或一个营业周期以内的预计负债，在“其他流动负债”项目列报，其他预计负债在非流动负债中的“预计负债”项目列报；将于一年内到期的“预计负债”应当重分类至“一年内到期的非流动负债”。</w:t>
        <w:br/>
        <w:br/>
        <w:t>《关于严格执行企业会计准则 切实做好企业2025年年报工作的通知》：企业应当正确划分流动负债和非流动负债，合理确定资产负债表中“预计负债”项目的列示金额。对于期限在一年或一个营业周期以上的保证类质量保证形成的预计负债，企业应当将预计未来一年或一个营业周期以内清偿的保证类质量保证形成的预计负债金额计入流动负债，并在资产负债表中“一年内到期的非流动负债”项目列示，其余计入非流动负债，并在资产负债表中“预计负债”项目列示；如果企业不能合理预计未来一年或一个营业周期以内清偿的保证类质量保证形成的预计负债金额，则全部计入流动负债，在资产负债表中“其他流动负债”项目列示。企业可以依照确定预计负债的历史数据和方法，合理估计预计清偿的金额和时间。）</w:t>
      </w:r>
    </w:p>
    <w:tbl>
      <w:tblPr>
        <w:tblW w:type="auto" w:w="0"/>
        <w:jc w:val="center"/>
        <w:tblLook w:firstColumn="1" w:firstRow="1" w:lastColumn="0" w:lastRow="0" w:noHBand="0" w:noVBand="1" w:val="04A0"/>
        <w:tblBorders>
          <w:top w:val="single" w:sz="8" w:space="0" w:color="000000"/>
          <w:bottom w:val="single" w:sz="8" w:space="0" w:color="000000"/>
          <w:left w:val="none" w:sz="0" w:space="0"/>
          <w:right w:val="none" w:sz="0" w:space="0"/>
          <w:insideV w:val="none" w:sz="0" w:space="0"/>
          <w:insideH w:val="none" w:sz="0" w:space="0"/>
        </w:tblBorders>
      </w:tblPr>
      <w:tblGrid>
        <w:gridCol w:w="2801"/>
        <w:gridCol w:w="2801"/>
        <w:gridCol w:w="2801"/>
      </w:tblGrid>
      <w:tr>
        <w:trPr>
          <w:trHeight w:val="397" w:hRule="exact"/>
          <w:cantSplit/>
        </w:trPr>
        <w:tc>
          <w:tcPr>
            <w:tcW w:type="dxa" w:w="2801"/>
            <w:tcBorders>
              <w:bottom w:val="single" w:sz="4" w:space="0" w:color="000000"/>
            </w:tcBorders>
          </w:tcPr>
          <w:p>
            <w:pPr>
              <w:jc w:val="center"/>
            </w:pPr>
            <w:r/>
            <w:r>
              <w:rPr>
                <w:rFonts w:ascii="仿宋_GB2312" w:hAnsi="仿宋_GB2312" w:eastAsia="仿宋_GB2312"/>
                <w:b/>
                <w:sz w:val="24"/>
              </w:rPr>
              <w:t>项  目</w:t>
            </w:r>
          </w:p>
        </w:tc>
        <w:tc>
          <w:tcPr>
            <w:tcW w:type="dxa" w:w="2801"/>
            <w:tcBorders>
              <w:bottom w:val="single" w:sz="4" w:space="0" w:color="000000"/>
            </w:tcBorders>
          </w:tcPr>
          <w:p>
            <w:pPr>
              <w:jc w:val="center"/>
            </w:pPr>
            <w:r/>
            <w:r>
              <w:rPr>
                <w:rFonts w:ascii="仿宋_GB2312" w:hAnsi="仿宋_GB2312" w:eastAsia="仿宋_GB2312"/>
                <w:b/>
                <w:sz w:val="24"/>
              </w:rPr>
              <w:t>期末余额</w:t>
            </w:r>
          </w:p>
        </w:tc>
        <w:tc>
          <w:tcPr>
            <w:tcW w:type="dxa" w:w="2801"/>
            <w:tcBorders>
              <w:bottom w:val="single" w:sz="4" w:space="0" w:color="000000"/>
            </w:tcBorders>
          </w:tcPr>
          <w:p>
            <w:pPr>
              <w:jc w:val="center"/>
            </w:pPr>
            <w:r/>
            <w:r>
              <w:rPr>
                <w:rFonts w:ascii="仿宋_GB2312" w:hAnsi="仿宋_GB2312" w:eastAsia="仿宋_GB2312"/>
                <w:b/>
                <w:sz w:val="24"/>
              </w:rPr>
              <w:t>期初余额</w:t>
            </w:r>
          </w:p>
        </w:tc>
      </w:tr>
      <w:tr>
        <w:trPr>
          <w:trHeight w:val="397" w:hRule="exact"/>
          <w:cantSplit/>
        </w:trPr>
        <w:tc>
          <w:tcPr>
            <w:tcW w:type="dxa" w:w="2801"/>
          </w:tcPr>
          <w:p>
            <w:r/>
            <w:r>
              <w:rPr>
                <w:rFonts w:ascii="仿宋_GB2312" w:hAnsi="仿宋_GB2312" w:eastAsia="仿宋_GB2312"/>
                <w:b w:val="0"/>
                <w:sz w:val="24"/>
              </w:rPr>
              <w:t>弃置费用</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对外提供担保</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未决诉讼</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产品质量保证</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重组义务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应付退货款</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待执行的亏损合同</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其他</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r>
        <w:trPr>
          <w:trHeight w:val="397" w:hRule="exact"/>
          <w:cantSplit/>
        </w:trPr>
        <w:tc>
          <w:tcPr>
            <w:tcW w:type="dxa" w:w="2801"/>
          </w:tcPr>
          <w:p>
            <w:r/>
            <w:r>
              <w:rPr>
                <w:rFonts w:ascii="仿宋_GB2312" w:hAnsi="仿宋_GB2312" w:eastAsia="仿宋_GB2312"/>
                <w:b w:val="0"/>
                <w:sz w:val="24"/>
              </w:rPr>
              <w:t>合  计</w:t>
            </w:r>
          </w:p>
        </w:tc>
        <w:tc>
          <w:tcPr>
            <w:tcW w:type="dxa" w:w="2801"/>
          </w:tcPr>
          <w:p>
            <w:pPr>
              <w:jc w:val="right"/>
            </w:pPr>
            <w:r/>
            <w:r>
              <w:rPr>
                <w:rFonts w:ascii="仿宋_GB2312" w:hAnsi="仿宋_GB2312" w:eastAsia="仿宋_GB2312"/>
                <w:b w:val="0"/>
                <w:sz w:val="24"/>
              </w:rPr>
            </w:r>
          </w:p>
        </w:tc>
        <w:tc>
          <w:tcPr>
            <w:tcW w:type="dxa" w:w="2801"/>
          </w:tcPr>
          <w:p>
            <w:pPr>
              <w:jc w:val="right"/>
            </w:pPr>
            <w:r/>
            <w:r>
              <w:rPr>
                <w:rFonts w:ascii="仿宋_GB2312" w:hAnsi="仿宋_GB2312" w:eastAsia="仿宋_GB2312"/>
                <w:b w:val="0"/>
                <w:sz w:val="24"/>
              </w:rPr>
            </w:r>
          </w:p>
        </w:tc>
      </w:tr>
    </w:tbl>
    <w:p/>
    <w:sectPr w:rsidR="00FC693F" w:rsidRPr="0006063C" w:rsidSect="00034616">
      <w:footerReference w:type="default" r:id="rId9"/>
      <w:pgSz w:w="11906" w:h="16838"/>
      <w:cols w:space="720"/>
      <w:docGrid w:linePitch="360"/>
      <w:pgMar w:top="1814" w:right="1803" w:bottom="1440" w:left="1701" w:header="737" w:footer="73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_GB2312" w:hAnsi="仿宋_GB2312"/>
        <w:sz w:val="18"/>
      </w:rPr>
      <w:t xml:space="preserve">第 </w:t>
    </w:r>
    <w:r>
      <w:fldChar w:fldCharType="begin"/>
    </w:r>
    <w:r>
      <w:instrText xml:space="preserve"> PAGE </w:instrText>
    </w:r>
    <w:r>
      <w:fldChar w:fldCharType="end"/>
    </w:r>
    <w:r>
      <w:rPr>
        <w:rFonts w:ascii="仿宋_GB2312" w:hAnsi="仿宋_GB2312"/>
        <w:sz w:val="18"/>
      </w:rPr>
      <w:t xml:space="preserve"> 页 共 </w:t>
    </w:r>
    <w:r>
      <w:fldChar w:fldCharType="begin"/>
    </w:r>
    <w:r>
      <w:instrText xml:space="preserve"> NUMPAGES </w:instrText>
    </w:r>
    <w:r>
      <w:fldChar w:fldCharType="end"/>
    </w:r>
    <w:r>
      <w:rPr>
        <w:rFonts w:ascii="仿宋_GB2312" w:hAnsi="仿宋_GB2312"/>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GTNoteHeading1">
    <w:name w:val="GT Note Heading 1"/>
    <w:basedOn w:val="Normal"/>
    <w:next w:val="GTNoteBody"/>
    <w:qFormat/>
    <w:pPr>
      <w:keepNext/>
      <w:spacing w:before="0" w:after="216" w:line="240" w:lineRule="auto"/>
      <w:ind w:leftChars="-200" w:left="0" w:firstLine="0"/>
      <w:jc w:val="left"/>
    </w:pPr>
    <w:rPr>
      <w:rFonts w:ascii="仿宋_GB2312" w:hAnsi="仿宋_GB2312" w:eastAsia="仿宋_GB2312" w:cs="仿宋_GB2312"/>
      <w:b/>
      <w:bCs/>
      <w:sz w:val="24"/>
      <w:szCs w:val="24"/>
    </w:rPr>
  </w:style>
  <w:style w:type="paragraph" w:styleId="GTNoteHeading2">
    <w:name w:val="GT Note Heading 2"/>
    <w:basedOn w:val="Normal"/>
    <w:next w:val="GTNoteBody"/>
    <w:qFormat/>
    <w:pPr>
      <w:keepNext/>
      <w:spacing w:before="0" w:after="216" w:line="240" w:lineRule="auto"/>
      <w:ind w:leftChars="-200" w:left="0" w:firstLine="0"/>
      <w:jc w:val="left"/>
    </w:pPr>
    <w:rPr>
      <w:rFonts w:ascii="仿宋_GB2312" w:hAnsi="仿宋_GB2312" w:eastAsia="仿宋_GB2312" w:cs="仿宋_GB2312"/>
      <w:b/>
      <w:bCs/>
      <w:sz w:val="24"/>
      <w:szCs w:val="24"/>
    </w:rPr>
  </w:style>
  <w:style w:type="paragraph" w:styleId="GTNoteHeading3">
    <w:name w:val="GT Note Heading 3"/>
    <w:basedOn w:val="Normal"/>
    <w:next w:val="GTNoteBody"/>
    <w:qFormat/>
    <w:pPr>
      <w:keepNext/>
      <w:spacing w:before="0" w:after="216" w:line="240" w:lineRule="auto"/>
      <w:ind w:leftChars="-200" w:left="0" w:firstLine="0"/>
      <w:jc w:val="left"/>
    </w:pPr>
    <w:rPr>
      <w:rFonts w:ascii="仿宋_GB2312" w:hAnsi="仿宋_GB2312" w:eastAsia="仿宋_GB2312" w:cs="仿宋_GB2312"/>
      <w:b/>
      <w:bCs/>
      <w:sz w:val="24"/>
      <w:szCs w:val="24"/>
    </w:rPr>
  </w:style>
  <w:style w:type="paragraph" w:styleId="GTNoteBody">
    <w:name w:val="GT Note Body"/>
    <w:basedOn w:val="Normal"/>
    <w:qFormat/>
    <w:pPr>
      <w:spacing w:before="0" w:after="216" w:line="240" w:lineRule="auto"/>
      <w:ind w:firstLine="0" w:firstLineChars="0"/>
      <w:jc w:val="both"/>
    </w:pPr>
    <w:rPr>
      <w:rFonts w:ascii="仿宋_GB2312" w:hAnsi="仿宋_GB2312" w:eastAsia="仿宋_GB2312" w:cs="仿宋_GB2312"/>
      <w:sz w:val="24"/>
      <w:szCs w:val="24"/>
    </w:rPr>
  </w:style>
  <w:style w:type="paragraph" w:styleId="GTNoteAfterTable">
    <w:name w:val="GT Note After Table"/>
    <w:basedOn w:val="GTNoteBody"/>
    <w:qFormat/>
    <w:pPr>
      <w:spacing w:before="120" w:after="216" w:line="240" w:lineRule="auto"/>
    </w:pPr>
    <w:rPr>
      <w:rFonts w:ascii="仿宋_GB2312" w:hAnsi="仿宋_GB2312" w:eastAsia="仿宋_GB2312" w:cs="仿宋_GB2312"/>
      <w:sz w:val="24"/>
      <w:szCs w:val="24"/>
    </w:rPr>
  </w:style>
  <w:style w:type="paragraph" w:styleId="GTNoteUnit">
    <w:name w:val="GT Note Unit"/>
    <w:basedOn w:val="GTNoteBody"/>
    <w:qFormat/>
    <w:pPr>
      <w:spacing w:before="0" w:after="60" w:line="240" w:lineRule="auto"/>
      <w:jc w:val="right"/>
    </w:pPr>
    <w:rPr>
      <w:rFonts w:ascii="仿宋_GB2312" w:hAnsi="仿宋_GB2312" w:eastAsia="仿宋_GB2312" w:cs="仿宋_GB2312"/>
      <w:sz w:val="24"/>
      <w:szCs w:val="24"/>
    </w:rPr>
  </w:style>
  <w:style w:type="character" w:styleId="GTNoteNumberRun" w:customStyle="1">
    <w:name w:val="GT Note Number Run"/>
    <w:qFormat/>
    <w:rPr>
      <w:rFonts w:ascii="Arial Narrow" w:hAnsi="Arial Narrow" w:eastAsia="仿宋_GB2312" w:cs="Arial Narrow"/>
      <w:sz w:val="24"/>
      <w:szCs w:val="24"/>
    </w:rPr>
  </w:style>
  <w:style w:type="table" w:styleId="GTNoteThreeLine" w:customStyle="1">
    <w:name w:val="GT Note Three Line"/>
    <w:basedOn w:val="TableNormal"/>
    <w:qFormat/>
    <w:tblPr>
      <w:tblBorders>
        <w:top w:val="single" w:sz="8" w:space="0" w:color="000000"/>
        <w:left w:val="nil"/>
        <w:bottom w:val="single" w:sz="8" w:space="0" w:color="000000"/>
        <w:right w:val="nil"/>
        <w:insideH w:val="nil"/>
        <w:insideV w:val="nil"/>
      </w:tblBorders>
    </w:tblPr>
    <w:trPr>
      <w:trHeight w:val="397" w:hRule="exact"/>
      <w:cantSplit/>
    </w:trPr>
    <w:tcPr>
      <w:vAlign w:val="center"/>
    </w:tcPr>
    <w:tblStylePr w:type="firstRow">
      <w:rPr>
        <w:rFonts w:ascii="仿宋_GB2312" w:hAnsi="仿宋_GB2312" w:eastAsia="仿宋_GB2312"/>
        <w:b/>
        <w:bCs/>
      </w:rPr>
      <w:tcPr>
        <w:tcBorders>
          <w:bottom w:val="single" w:sz="4" w:space="0" w:color="000000"/>
        </w:tcBorders>
        <w:vAlign w:val="center"/>
      </w:tcPr>
    </w:tblStylePr>
  </w:style>
  <w:style w:type="paragraph" w:styleId="GTNoteFormulaCell" w:customStyle="1">
    <w:name w:val="GT Note Formula Cell"/>
    <w:basedOn w:val="GTNoteBody"/>
    <w:qFormat/>
    <w:pPr>
      <w:spacing w:before="0" w:after="0" w:line="240" w:lineRule="auto"/>
      <w:shd w:val="clear" w:color="auto" w:fill="E6FFE6"/>
    </w:pPr>
    <w:rPr>
      <w:rFonts w:ascii="仿宋_GB2312" w:hAnsi="仿宋_GB2312" w:eastAsia="仿宋_GB2312"/>
      <w:sz w:val="24"/>
    </w:rPr>
  </w:style>
  <w:style w:type="paragraph" w:styleId="GTNoteManualCell" w:customStyle="1">
    <w:name w:val="GT Note Manual Cell"/>
    <w:basedOn w:val="GTNoteBody"/>
    <w:qFormat/>
    <w:pPr>
      <w:spacing w:before="0" w:after="0" w:line="240" w:lineRule="auto"/>
      <w:pBdr>
        <w:top w:val="single" w:sz="4" w:space="0" w:color="808080"/>
        <w:left w:val="single" w:sz="4" w:space="0" w:color="808080"/>
        <w:bottom w:val="single" w:sz="4" w:space="0" w:color="808080"/>
        <w:right w:val="single" w:sz="4" w:space="0" w:color="808080"/>
      </w:pBdr>
    </w:pPr>
    <w:rPr>
      <w:rFonts w:ascii="仿宋_GB2312" w:hAnsi="仿宋_GB2312" w:eastAsia="仿宋_GB2312"/>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