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F478B">
      <w:pPr>
        <w:jc w:val="center"/>
        <w:rPr>
          <w:rFonts w:ascii="Arial Narrow" w:hAnsi="Arial Narrow" w:eastAsia="仿宋_GB2312"/>
          <w:sz w:val="24"/>
          <w:szCs w:val="24"/>
          <w:lang w:eastAsia="zh-CN"/>
        </w:rPr>
      </w:pPr>
    </w:p>
    <w:p w14:paraId="1A798915">
      <w:pPr>
        <w:jc w:val="center"/>
        <w:rPr>
          <w:rFonts w:ascii="Arial Narrow" w:hAnsi="Arial Narrow" w:eastAsia="仿宋_GB2312"/>
          <w:sz w:val="24"/>
          <w:szCs w:val="24"/>
          <w:lang w:eastAsia="zh-CN"/>
        </w:rPr>
      </w:pPr>
    </w:p>
    <w:p w14:paraId="5BF72BA9">
      <w:pPr>
        <w:jc w:val="center"/>
        <w:rPr>
          <w:rFonts w:ascii="Arial Narrow" w:hAnsi="Arial Narrow" w:eastAsia="仿宋_GB2312"/>
          <w:sz w:val="24"/>
        </w:rPr>
      </w:pPr>
    </w:p>
    <w:p w14:paraId="0B9AA575">
      <w:pPr>
        <w:jc w:val="center"/>
        <w:rPr>
          <w:rFonts w:ascii="Arial Narrow" w:hAnsi="Arial Narrow" w:eastAsia="仿宋_GB2312"/>
          <w:sz w:val="24"/>
        </w:rPr>
      </w:pPr>
    </w:p>
    <w:p w14:paraId="3D0227AD">
      <w:pPr>
        <w:jc w:val="center"/>
        <w:rPr>
          <w:rFonts w:ascii="Arial Narrow" w:hAnsi="Arial Narrow" w:eastAsia="仿宋_GB2312"/>
          <w:sz w:val="24"/>
          <w:lang w:eastAsia="zh-CN"/>
        </w:rPr>
      </w:pPr>
    </w:p>
    <w:p w14:paraId="637AB334">
      <w:pPr>
        <w:jc w:val="center"/>
        <w:rPr>
          <w:rFonts w:ascii="Arial Narrow" w:hAnsi="Arial Narrow" w:eastAsia="仿宋_GB2312"/>
          <w:sz w:val="24"/>
          <w:lang w:eastAsia="zh-CN"/>
        </w:rPr>
      </w:pPr>
    </w:p>
    <w:p w14:paraId="0D2B0A12">
      <w:pPr>
        <w:spacing w:line="360" w:lineRule="auto"/>
        <w:jc w:val="center"/>
        <w:outlineLvl w:val="0"/>
        <w:rPr>
          <w:rFonts w:ascii="黑体" w:hAnsi="Arial Narrow" w:eastAsia="黑体"/>
          <w:b/>
          <w:sz w:val="48"/>
          <w:szCs w:val="48"/>
          <w:lang w:eastAsia="zh-CN"/>
        </w:rPr>
      </w:pPr>
      <w:r>
        <w:rPr>
          <w:rFonts w:hint="eastAsia" w:ascii="黑体" w:hAnsi="Arial Narrow" w:eastAsia="黑体"/>
          <w:b/>
          <w:color w:val="FF0000"/>
          <w:sz w:val="48"/>
          <w:szCs w:val="48"/>
          <w:lang w:eastAsia="zh-CN"/>
        </w:rPr>
        <w:t>ABC股份</w:t>
      </w:r>
      <w:r>
        <w:rPr>
          <w:rFonts w:hint="eastAsia" w:ascii="黑体" w:hAnsi="Arial Narrow" w:eastAsia="黑体"/>
          <w:b/>
          <w:sz w:val="48"/>
          <w:szCs w:val="48"/>
          <w:lang w:eastAsia="zh-CN"/>
        </w:rPr>
        <w:t>有限公司</w:t>
      </w:r>
    </w:p>
    <w:p w14:paraId="4B327705">
      <w:pPr>
        <w:spacing w:line="360" w:lineRule="auto"/>
        <w:jc w:val="center"/>
        <w:outlineLvl w:val="0"/>
        <w:rPr>
          <w:rFonts w:ascii="黑体" w:hAnsi="Arial Narrow" w:eastAsia="黑体"/>
          <w:b/>
          <w:color w:val="FF0000"/>
          <w:sz w:val="48"/>
          <w:szCs w:val="48"/>
          <w:lang w:eastAsia="zh-CN"/>
        </w:rPr>
      </w:pPr>
      <w:r>
        <w:rPr>
          <w:rFonts w:hint="eastAsia" w:ascii="黑体" w:hAnsi="Arial Narrow" w:eastAsia="黑体"/>
          <w:b/>
          <w:color w:val="FF0000"/>
          <w:sz w:val="48"/>
          <w:szCs w:val="48"/>
          <w:lang w:eastAsia="zh-CN"/>
        </w:rPr>
        <w:t>二〇二五</w:t>
      </w:r>
      <w:r>
        <w:rPr>
          <w:rFonts w:hint="eastAsia" w:ascii="黑体" w:hAnsi="Arial Narrow" w:eastAsia="黑体"/>
          <w:b/>
          <w:color w:val="000000" w:themeColor="text1"/>
          <w:sz w:val="48"/>
          <w:szCs w:val="48"/>
          <w:lang w:eastAsia="zh-CN"/>
          <w14:textFill>
            <w14:solidFill>
              <w14:schemeClr w14:val="tx1"/>
            </w14:solidFill>
          </w14:textFill>
        </w:rPr>
        <w:t>年度</w:t>
      </w:r>
    </w:p>
    <w:p w14:paraId="4B5800EC">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审计报告</w:t>
      </w:r>
    </w:p>
    <w:p w14:paraId="571B2850">
      <w:pPr>
        <w:jc w:val="center"/>
        <w:rPr>
          <w:rFonts w:ascii="Arial Narrow" w:hAnsi="Arial Narrow" w:eastAsia="仿宋_GB2312"/>
          <w:b/>
          <w:sz w:val="44"/>
          <w:szCs w:val="44"/>
          <w:lang w:eastAsia="zh-CN"/>
        </w:rPr>
      </w:pPr>
    </w:p>
    <w:p w14:paraId="0E846DCE">
      <w:pPr>
        <w:jc w:val="center"/>
        <w:rPr>
          <w:rFonts w:ascii="Arial Narrow" w:hAnsi="Arial Narrow" w:eastAsia="仿宋_GB2312"/>
          <w:b/>
          <w:sz w:val="44"/>
          <w:szCs w:val="44"/>
          <w:lang w:eastAsia="zh-CN"/>
        </w:rPr>
      </w:pPr>
    </w:p>
    <w:p w14:paraId="0374492B">
      <w:pPr>
        <w:jc w:val="center"/>
        <w:rPr>
          <w:rFonts w:ascii="Arial Narrow" w:hAnsi="Arial Narrow" w:eastAsia="仿宋_GB2312"/>
          <w:b/>
          <w:sz w:val="44"/>
          <w:szCs w:val="44"/>
          <w:lang w:eastAsia="zh-CN"/>
        </w:rPr>
      </w:pPr>
    </w:p>
    <w:p w14:paraId="1EC69493">
      <w:pPr>
        <w:jc w:val="center"/>
        <w:rPr>
          <w:rFonts w:ascii="Arial Narrow" w:hAnsi="Arial Narrow" w:eastAsia="仿宋_GB2312"/>
          <w:b/>
          <w:sz w:val="44"/>
          <w:szCs w:val="44"/>
          <w:lang w:eastAsia="zh-CN"/>
        </w:rPr>
      </w:pPr>
    </w:p>
    <w:p w14:paraId="35FF17CA">
      <w:pPr>
        <w:jc w:val="center"/>
        <w:rPr>
          <w:rFonts w:ascii="Arial Narrow" w:hAnsi="Arial Narrow" w:eastAsia="仿宋_GB2312"/>
          <w:b/>
          <w:sz w:val="44"/>
          <w:szCs w:val="44"/>
          <w:lang w:eastAsia="zh-CN"/>
        </w:rPr>
      </w:pPr>
    </w:p>
    <w:p w14:paraId="42414079">
      <w:pPr>
        <w:jc w:val="center"/>
        <w:rPr>
          <w:rFonts w:ascii="Arial Narrow" w:hAnsi="Arial Narrow" w:eastAsia="仿宋_GB2312"/>
          <w:b/>
          <w:sz w:val="44"/>
          <w:szCs w:val="44"/>
          <w:lang w:eastAsia="zh-CN"/>
        </w:rPr>
      </w:pPr>
    </w:p>
    <w:p w14:paraId="674EAAFE">
      <w:pPr>
        <w:jc w:val="center"/>
        <w:rPr>
          <w:rFonts w:ascii="Arial Narrow" w:hAnsi="Arial Narrow" w:eastAsia="仿宋_GB2312"/>
          <w:b/>
          <w:sz w:val="44"/>
          <w:szCs w:val="44"/>
          <w:lang w:eastAsia="zh-CN"/>
        </w:rPr>
      </w:pPr>
    </w:p>
    <w:p w14:paraId="54E73199">
      <w:pPr>
        <w:jc w:val="center"/>
        <w:rPr>
          <w:rFonts w:ascii="Arial Narrow" w:hAnsi="Arial Narrow" w:eastAsia="仿宋_GB2312"/>
          <w:b/>
          <w:sz w:val="44"/>
          <w:szCs w:val="44"/>
          <w:lang w:eastAsia="zh-CN"/>
        </w:rPr>
      </w:pPr>
    </w:p>
    <w:p w14:paraId="503E1408">
      <w:pPr>
        <w:jc w:val="center"/>
        <w:rPr>
          <w:rFonts w:ascii="Arial Narrow" w:hAnsi="Arial Narrow" w:eastAsia="仿宋_GB2312"/>
          <w:b/>
          <w:sz w:val="44"/>
          <w:szCs w:val="44"/>
          <w:lang w:eastAsia="zh-CN"/>
        </w:rPr>
      </w:pPr>
    </w:p>
    <w:p w14:paraId="2AE5B14D">
      <w:pPr>
        <w:jc w:val="center"/>
        <w:rPr>
          <w:rFonts w:ascii="Arial Narrow" w:hAnsi="Arial Narrow" w:eastAsia="仿宋_GB2312"/>
          <w:b/>
          <w:sz w:val="44"/>
          <w:szCs w:val="44"/>
          <w:lang w:eastAsia="zh-CN"/>
        </w:rPr>
      </w:pPr>
    </w:p>
    <w:p w14:paraId="68F859BF">
      <w:pPr>
        <w:jc w:val="center"/>
        <w:rPr>
          <w:rFonts w:ascii="Arial Narrow" w:hAnsi="Arial Narrow" w:eastAsia="仿宋_GB2312"/>
          <w:b/>
          <w:sz w:val="44"/>
          <w:szCs w:val="44"/>
          <w:lang w:eastAsia="zh-CN"/>
        </w:rPr>
      </w:pPr>
    </w:p>
    <w:p w14:paraId="2220E835">
      <w:pPr>
        <w:jc w:val="center"/>
        <w:rPr>
          <w:rFonts w:ascii="Arial Narrow" w:hAnsi="Arial Narrow" w:eastAsia="仿宋_GB2312"/>
          <w:b/>
          <w:sz w:val="44"/>
          <w:szCs w:val="44"/>
          <w:lang w:eastAsia="zh-CN"/>
        </w:rPr>
      </w:pPr>
    </w:p>
    <w:p w14:paraId="77142D1C">
      <w:pPr>
        <w:spacing w:line="2400" w:lineRule="auto"/>
        <w:jc w:val="center"/>
        <w:rPr>
          <w:rFonts w:ascii="Arial Narrow" w:hAnsi="Arial Narrow" w:eastAsia="仿宋_GB2312"/>
          <w:b/>
          <w:sz w:val="44"/>
          <w:szCs w:val="44"/>
          <w:lang w:eastAsia="zh-CN"/>
        </w:rPr>
        <w:sectPr>
          <w:headerReference r:id="rId3" w:type="default"/>
          <w:footerReference r:id="rId4" w:type="default"/>
          <w:type w:val="continuous"/>
          <w:pgSz w:w="11907" w:h="16840"/>
          <w:pgMar w:top="2835" w:right="1418" w:bottom="1418" w:left="1985" w:header="850" w:footer="850" w:gutter="0"/>
          <w:cols w:space="720" w:num="1"/>
          <w:docGrid w:linePitch="272" w:charSpace="0"/>
        </w:sectPr>
      </w:pPr>
      <w:r>
        <w:rPr>
          <w:rFonts w:hint="eastAsia" w:ascii="黑体" w:hAnsi="Arial Narrow" w:eastAsia="黑体"/>
          <w:b/>
          <w:color w:val="824BB0"/>
          <w:sz w:val="44"/>
          <w:szCs w:val="44"/>
          <w:lang w:eastAsia="zh-CN"/>
        </w:rPr>
        <w:t>致同会计师事务</w:t>
      </w:r>
      <w:bookmarkStart w:id="0" w:name="_GoBack"/>
      <w:bookmarkEnd w:id="0"/>
      <w:r>
        <w:rPr>
          <w:rFonts w:hint="eastAsia" w:ascii="黑体" w:hAnsi="Arial Narrow" w:eastAsia="黑体"/>
          <w:b/>
          <w:color w:val="824BB0"/>
          <w:sz w:val="44"/>
          <w:szCs w:val="44"/>
          <w:lang w:eastAsia="zh-CN"/>
        </w:rPr>
        <w:t>所（特殊普通合伙</w:t>
      </w:r>
    </w:p>
    <w:p w14:paraId="47FA079D">
      <w:pPr>
        <w:jc w:val="both"/>
        <w:rPr>
          <w:rFonts w:ascii="Arial Narrow" w:hAnsi="Arial Narrow" w:eastAsia="仿宋_GB2312"/>
          <w:sz w:val="24"/>
          <w:lang w:eastAsia="zh-CN"/>
        </w:rPr>
      </w:pPr>
    </w:p>
    <w:p w14:paraId="379A088D">
      <w:pPr>
        <w:jc w:val="center"/>
        <w:rPr>
          <w:rFonts w:ascii="Arial Narrow" w:hAnsi="Arial Narrow" w:eastAsia="仿宋_GB2312"/>
          <w:b/>
          <w:sz w:val="24"/>
          <w:szCs w:val="32"/>
          <w:lang w:eastAsia="zh-CN"/>
        </w:rPr>
      </w:pPr>
    </w:p>
    <w:p w14:paraId="6B3D8EAC">
      <w:pPr>
        <w:spacing w:before="1440" w:beforeLines="600" w:after="72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4"/>
        <w:tblW w:w="5000" w:type="pct"/>
        <w:tblInd w:w="0" w:type="dxa"/>
        <w:tblLayout w:type="autofit"/>
        <w:tblCellMar>
          <w:top w:w="0" w:type="dxa"/>
          <w:left w:w="108" w:type="dxa"/>
          <w:bottom w:w="0" w:type="dxa"/>
          <w:right w:w="108" w:type="dxa"/>
        </w:tblCellMar>
      </w:tblPr>
      <w:tblGrid>
        <w:gridCol w:w="7196"/>
        <w:gridCol w:w="1524"/>
      </w:tblGrid>
      <w:tr w14:paraId="2871B642">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4D053172">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rPr>
              <w:t>审计报告</w:t>
            </w:r>
          </w:p>
        </w:tc>
        <w:tc>
          <w:tcPr>
            <w:tcW w:w="1524" w:type="dxa"/>
            <w:tcBorders>
              <w:top w:val="nil"/>
              <w:left w:val="nil"/>
              <w:bottom w:val="nil"/>
              <w:right w:val="nil"/>
            </w:tcBorders>
            <w:shd w:val="clear" w:color="auto" w:fill="auto"/>
            <w:vAlign w:val="center"/>
          </w:tcPr>
          <w:p w14:paraId="4F79FCA0">
            <w:pPr>
              <w:rPr>
                <w:rFonts w:ascii="Arial Narrow" w:hAnsi="Arial Narrow" w:eastAsia="宋体" w:cs="宋体"/>
                <w:b/>
                <w:bCs/>
                <w:color w:val="000000"/>
                <w:sz w:val="24"/>
                <w:szCs w:val="24"/>
                <w:lang w:eastAsia="zh-CN"/>
              </w:rPr>
            </w:pPr>
            <w:r>
              <w:rPr>
                <w:rFonts w:hint="eastAsia" w:ascii="Arial Narrow" w:hAnsi="Arial Narrow" w:eastAsia="宋体" w:cs="宋体"/>
                <w:b/>
                <w:bCs/>
                <w:color w:val="000000"/>
                <w:sz w:val="24"/>
                <w:szCs w:val="24"/>
                <w:lang w:eastAsia="zh-CN"/>
              </w:rPr>
              <w:t>1-</w:t>
            </w:r>
            <w:r>
              <w:rPr>
                <w:rFonts w:ascii="Arial Narrow" w:hAnsi="Arial Narrow" w:eastAsia="宋体" w:cs="宋体"/>
                <w:b/>
                <w:bCs/>
                <w:color w:val="FF0000"/>
                <w:sz w:val="24"/>
                <w:szCs w:val="24"/>
                <w:lang w:eastAsia="zh-CN"/>
              </w:rPr>
              <w:t>X</w:t>
            </w:r>
          </w:p>
        </w:tc>
      </w:tr>
      <w:tr w14:paraId="2BD221A2">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45EDAB4C">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FF0000"/>
                <w:sz w:val="24"/>
                <w:szCs w:val="24"/>
                <w:lang w:eastAsia="zh-CN"/>
              </w:rPr>
              <w:t>合并及公司</w:t>
            </w:r>
            <w:r>
              <w:rPr>
                <w:rFonts w:hint="eastAsia" w:ascii="仿宋_GB2312" w:hAnsi="Arial Narrow" w:eastAsia="仿宋_GB2312" w:cs="宋体"/>
                <w:b/>
                <w:bCs/>
                <w:color w:val="000000"/>
                <w:sz w:val="24"/>
                <w:szCs w:val="24"/>
                <w:lang w:eastAsia="zh-CN"/>
              </w:rPr>
              <w:t>资产负债表</w:t>
            </w:r>
          </w:p>
        </w:tc>
        <w:tc>
          <w:tcPr>
            <w:tcW w:w="1524" w:type="dxa"/>
            <w:tcBorders>
              <w:top w:val="nil"/>
              <w:left w:val="nil"/>
              <w:bottom w:val="nil"/>
              <w:right w:val="nil"/>
            </w:tcBorders>
            <w:shd w:val="clear" w:color="auto" w:fill="auto"/>
            <w:vAlign w:val="center"/>
          </w:tcPr>
          <w:p w14:paraId="20D69A4A">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1-2</w:t>
            </w:r>
          </w:p>
        </w:tc>
      </w:tr>
      <w:tr w14:paraId="7E5FA7A3">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20FA9507">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FF0000"/>
                <w:sz w:val="24"/>
                <w:szCs w:val="24"/>
                <w:lang w:eastAsia="zh-CN"/>
              </w:rPr>
              <w:t>合并及公司</w:t>
            </w:r>
            <w:r>
              <w:rPr>
                <w:rFonts w:hint="eastAsia" w:ascii="仿宋_GB2312" w:hAnsi="Arial Narrow" w:eastAsia="仿宋_GB2312" w:cs="宋体"/>
                <w:b/>
                <w:bCs/>
                <w:color w:val="000000"/>
                <w:sz w:val="24"/>
                <w:szCs w:val="24"/>
                <w:lang w:eastAsia="zh-CN"/>
              </w:rPr>
              <w:t>利润表</w:t>
            </w:r>
          </w:p>
        </w:tc>
        <w:tc>
          <w:tcPr>
            <w:tcW w:w="1524" w:type="dxa"/>
            <w:tcBorders>
              <w:top w:val="nil"/>
              <w:left w:val="nil"/>
              <w:bottom w:val="nil"/>
              <w:right w:val="nil"/>
            </w:tcBorders>
            <w:shd w:val="clear" w:color="auto" w:fill="auto"/>
            <w:vAlign w:val="center"/>
          </w:tcPr>
          <w:p w14:paraId="667C8EF0">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3</w:t>
            </w:r>
          </w:p>
        </w:tc>
      </w:tr>
      <w:tr w14:paraId="1B8CB4A3">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1837D077">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FF0000"/>
                <w:sz w:val="24"/>
                <w:szCs w:val="24"/>
                <w:lang w:eastAsia="zh-CN"/>
              </w:rPr>
              <w:t>合并及公司</w:t>
            </w:r>
            <w:r>
              <w:rPr>
                <w:rFonts w:hint="eastAsia" w:ascii="仿宋_GB2312" w:hAnsi="Arial Narrow" w:eastAsia="仿宋_GB2312" w:cs="宋体"/>
                <w:b/>
                <w:bCs/>
                <w:color w:val="000000"/>
                <w:sz w:val="24"/>
                <w:szCs w:val="24"/>
                <w:lang w:eastAsia="zh-CN"/>
              </w:rPr>
              <w:t>现金流量表</w:t>
            </w:r>
          </w:p>
        </w:tc>
        <w:tc>
          <w:tcPr>
            <w:tcW w:w="1524" w:type="dxa"/>
            <w:tcBorders>
              <w:top w:val="nil"/>
              <w:left w:val="nil"/>
              <w:bottom w:val="nil"/>
              <w:right w:val="nil"/>
            </w:tcBorders>
            <w:shd w:val="clear" w:color="auto" w:fill="auto"/>
            <w:vAlign w:val="center"/>
          </w:tcPr>
          <w:p w14:paraId="617CB45C">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4</w:t>
            </w:r>
          </w:p>
        </w:tc>
      </w:tr>
      <w:tr w14:paraId="0034D64F">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3FEDAA58">
            <w:pPr>
              <w:rPr>
                <w:rFonts w:ascii="仿宋_GB2312" w:hAnsi="Arial Narrow" w:eastAsia="仿宋_GB2312" w:cs="宋体"/>
                <w:b/>
                <w:bCs/>
                <w:color w:val="FF0000"/>
                <w:sz w:val="24"/>
                <w:szCs w:val="24"/>
                <w:lang w:eastAsia="zh-CN"/>
              </w:rPr>
            </w:pPr>
            <w:r>
              <w:rPr>
                <w:rFonts w:hint="eastAsia" w:ascii="仿宋_GB2312" w:hAnsi="Arial Narrow" w:eastAsia="仿宋_GB2312" w:cs="宋体"/>
                <w:b/>
                <w:bCs/>
                <w:color w:val="FF0000"/>
                <w:sz w:val="24"/>
                <w:szCs w:val="24"/>
                <w:lang w:eastAsia="zh-CN"/>
              </w:rPr>
              <w:t>合并及公司</w:t>
            </w:r>
            <w:r>
              <w:rPr>
                <w:rFonts w:hint="eastAsia" w:ascii="仿宋_GB2312" w:hAnsi="Arial Narrow" w:eastAsia="仿宋_GB2312" w:cs="宋体"/>
                <w:b/>
                <w:bCs/>
                <w:color w:val="000000"/>
                <w:sz w:val="24"/>
                <w:szCs w:val="24"/>
                <w:lang w:eastAsia="zh-CN"/>
              </w:rPr>
              <w:t>股东权益变动表</w:t>
            </w:r>
          </w:p>
        </w:tc>
        <w:tc>
          <w:tcPr>
            <w:tcW w:w="1524" w:type="dxa"/>
            <w:tcBorders>
              <w:top w:val="nil"/>
              <w:left w:val="nil"/>
              <w:bottom w:val="nil"/>
              <w:right w:val="nil"/>
            </w:tcBorders>
            <w:shd w:val="clear" w:color="auto" w:fill="auto"/>
            <w:vAlign w:val="center"/>
          </w:tcPr>
          <w:p w14:paraId="74949A9D">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5-6</w:t>
            </w:r>
          </w:p>
        </w:tc>
      </w:tr>
      <w:tr w14:paraId="355BEEA0">
        <w:tblPrEx>
          <w:tblCellMar>
            <w:top w:w="0" w:type="dxa"/>
            <w:left w:w="108" w:type="dxa"/>
            <w:bottom w:w="0" w:type="dxa"/>
            <w:right w:w="108" w:type="dxa"/>
          </w:tblCellMar>
        </w:tblPrEx>
        <w:trPr>
          <w:trHeight w:val="851" w:hRule="exact"/>
        </w:trPr>
        <w:tc>
          <w:tcPr>
            <w:tcW w:w="7196" w:type="dxa"/>
            <w:tcBorders>
              <w:top w:val="nil"/>
              <w:left w:val="nil"/>
              <w:bottom w:val="nil"/>
              <w:right w:val="nil"/>
            </w:tcBorders>
            <w:shd w:val="clear" w:color="auto" w:fill="auto"/>
            <w:vAlign w:val="center"/>
          </w:tcPr>
          <w:p w14:paraId="191DCB0E">
            <w:pPr>
              <w:rPr>
                <w:rFonts w:ascii="仿宋_GB2312" w:hAnsi="Arial Narrow" w:eastAsia="仿宋_GB2312" w:cs="宋体"/>
                <w:b/>
                <w:bCs/>
                <w:color w:val="000000"/>
                <w:sz w:val="24"/>
                <w:szCs w:val="24"/>
                <w:lang w:eastAsia="zh-CN"/>
              </w:rPr>
            </w:pPr>
            <w:r>
              <w:rPr>
                <w:rFonts w:hint="eastAsia" w:ascii="仿宋_GB2312" w:hAnsi="Arial Narrow" w:eastAsia="仿宋_GB2312" w:cs="宋体"/>
                <w:b/>
                <w:bCs/>
                <w:color w:val="000000"/>
                <w:sz w:val="24"/>
                <w:szCs w:val="24"/>
                <w:lang w:eastAsia="zh-CN"/>
              </w:rPr>
              <w:t>财务报表附注</w:t>
            </w:r>
          </w:p>
        </w:tc>
        <w:tc>
          <w:tcPr>
            <w:tcW w:w="1524" w:type="dxa"/>
            <w:tcBorders>
              <w:top w:val="nil"/>
              <w:left w:val="nil"/>
              <w:bottom w:val="nil"/>
              <w:right w:val="nil"/>
            </w:tcBorders>
            <w:shd w:val="clear" w:color="auto" w:fill="auto"/>
            <w:vAlign w:val="center"/>
          </w:tcPr>
          <w:p w14:paraId="51245A9F">
            <w:pPr>
              <w:rPr>
                <w:rFonts w:ascii="Arial Narrow" w:hAnsi="Arial Narrow" w:eastAsia="宋体" w:cs="宋体"/>
                <w:b/>
                <w:bCs/>
                <w:color w:val="000000"/>
                <w:sz w:val="24"/>
                <w:szCs w:val="24"/>
                <w:lang w:eastAsia="zh-CN"/>
              </w:rPr>
            </w:pPr>
            <w:r>
              <w:rPr>
                <w:rFonts w:ascii="Arial Narrow" w:hAnsi="Arial Narrow" w:eastAsia="宋体" w:cs="宋体"/>
                <w:b/>
                <w:bCs/>
                <w:color w:val="000000"/>
                <w:sz w:val="24"/>
                <w:szCs w:val="24"/>
                <w:lang w:eastAsia="zh-CN"/>
              </w:rPr>
              <w:t>7-</w:t>
            </w:r>
            <w:r>
              <w:rPr>
                <w:rFonts w:ascii="Arial Narrow" w:hAnsi="Arial Narrow" w:eastAsia="宋体" w:cs="宋体"/>
                <w:b/>
                <w:bCs/>
                <w:color w:val="FF0000"/>
                <w:sz w:val="24"/>
                <w:szCs w:val="24"/>
                <w:lang w:eastAsia="zh-CN"/>
              </w:rPr>
              <w:t>X</w:t>
            </w:r>
          </w:p>
        </w:tc>
      </w:tr>
    </w:tbl>
    <w:p w14:paraId="4396C9C7">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14:paraId="1A93888C">
      <w:pPr>
        <w:rPr>
          <w:rFonts w:ascii="Arial Narrow" w:hAnsi="Arial Narrow" w:eastAsia="仿宋_GB2312"/>
          <w:lang w:eastAsia="zh-CN"/>
        </w:rPr>
        <w:sectPr>
          <w:headerReference r:id="rId5" w:type="default"/>
          <w:type w:val="continuous"/>
          <w:pgSz w:w="11907" w:h="16840"/>
          <w:pgMar w:top="2886" w:right="1418" w:bottom="1440" w:left="1985" w:header="1440" w:footer="720" w:gutter="0"/>
          <w:cols w:space="720" w:num="1"/>
          <w:docGrid w:linePitch="271" w:charSpace="0"/>
        </w:sectPr>
      </w:pPr>
    </w:p>
    <w:p w14:paraId="17776A46">
      <w:pPr>
        <w:rPr>
          <w:rFonts w:ascii="Arial Narrow" w:hAnsi="Arial Narrow" w:eastAsia="仿宋_GB2312"/>
          <w:sz w:val="24"/>
          <w:szCs w:val="24"/>
          <w:lang w:eastAsia="zh-CN"/>
        </w:rPr>
      </w:pPr>
      <w:r>
        <w:rPr>
          <w:rFonts w:ascii="Arial Narrow" w:hAnsi="Arial Narrow" w:eastAsia="仿宋_GB2312"/>
          <w:sz w:val="24"/>
          <w:szCs w:val="24"/>
          <w:lang w:eastAsia="zh-CN"/>
        </w:rPr>
        <mc:AlternateContent>
          <mc:Choice Requires="wps">
            <w:drawing>
              <wp:anchor distT="0" distB="0" distL="114300" distR="114300" simplePos="0" relativeHeight="251659264" behindDoc="0" locked="0" layoutInCell="1" allowOverlap="1">
                <wp:simplePos x="0" y="0"/>
                <wp:positionH relativeFrom="rightMargin">
                  <wp:posOffset>-1440180</wp:posOffset>
                </wp:positionH>
                <wp:positionV relativeFrom="topMargin">
                  <wp:posOffset>1116330</wp:posOffset>
                </wp:positionV>
                <wp:extent cx="1619885" cy="756285"/>
                <wp:effectExtent l="635" t="1905" r="0" b="381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19885" cy="756285"/>
                        </a:xfrm>
                        <a:prstGeom prst="rect">
                          <a:avLst/>
                        </a:prstGeom>
                        <a:noFill/>
                        <a:ln>
                          <a:noFill/>
                        </a:ln>
                      </wps:spPr>
                      <wps:txbx>
                        <w:txbxContent>
                          <w:p w14:paraId="4CA9BEF5">
                            <w:pPr>
                              <w:rPr>
                                <w:rFonts w:ascii="Arial Narrow" w:hAnsi="Arial Narrow" w:eastAsia="黑体"/>
                                <w:b/>
                                <w:sz w:val="14"/>
                                <w:szCs w:val="14"/>
                              </w:rPr>
                            </w:pPr>
                            <w:r>
                              <w:rPr>
                                <w:rFonts w:ascii="Arial Narrow" w:hAnsi="Arial Narrow" w:eastAsia="黑体"/>
                                <w:b/>
                                <w:sz w:val="14"/>
                                <w:szCs w:val="14"/>
                              </w:rPr>
                              <w:t>致同会计师事务所（特殊普通合伙）</w:t>
                            </w:r>
                          </w:p>
                          <w:p w14:paraId="39AD0A54">
                            <w:pPr>
                              <w:rPr>
                                <w:rFonts w:ascii="Arial Narrow" w:hAnsi="Arial Narrow" w:eastAsia="黑体"/>
                                <w:sz w:val="14"/>
                                <w:szCs w:val="14"/>
                              </w:rPr>
                            </w:pPr>
                            <w:r>
                              <w:rPr>
                                <w:rFonts w:ascii="Arial Narrow" w:hAnsi="Arial Narrow" w:eastAsia="黑体"/>
                                <w:sz w:val="14"/>
                                <w:szCs w:val="14"/>
                              </w:rPr>
                              <w:t>中国北京朝阳区建国门外大街22号</w:t>
                            </w:r>
                          </w:p>
                          <w:p w14:paraId="627183D8">
                            <w:pPr>
                              <w:rPr>
                                <w:rFonts w:ascii="Arial Narrow" w:hAnsi="Arial Narrow" w:eastAsia="黑体"/>
                                <w:sz w:val="14"/>
                                <w:szCs w:val="14"/>
                              </w:rPr>
                            </w:pPr>
                            <w:r>
                              <w:rPr>
                                <w:rFonts w:ascii="Arial Narrow" w:hAnsi="Arial Narrow" w:eastAsia="黑体"/>
                                <w:sz w:val="14"/>
                                <w:szCs w:val="14"/>
                              </w:rPr>
                              <w:t>赛特广场5层邮编100004</w:t>
                            </w:r>
                          </w:p>
                          <w:p w14:paraId="3E25551D">
                            <w:pPr>
                              <w:rPr>
                                <w:rFonts w:ascii="Arial Narrow" w:hAnsi="Arial Narrow" w:eastAsia="黑体"/>
                                <w:sz w:val="14"/>
                                <w:szCs w:val="14"/>
                              </w:rPr>
                            </w:pPr>
                            <w:r>
                              <w:rPr>
                                <w:rFonts w:ascii="Arial Narrow" w:hAnsi="Arial Narrow" w:eastAsia="黑体"/>
                                <w:sz w:val="14"/>
                                <w:szCs w:val="14"/>
                              </w:rPr>
                              <w:t>电话 +86 10 8566 5588</w:t>
                            </w:r>
                          </w:p>
                          <w:p w14:paraId="6E2CB402">
                            <w:pPr>
                              <w:rPr>
                                <w:rFonts w:ascii="Arial Narrow" w:hAnsi="Arial Narrow" w:eastAsia="黑体"/>
                                <w:sz w:val="14"/>
                                <w:szCs w:val="14"/>
                              </w:rPr>
                            </w:pPr>
                            <w:r>
                              <w:rPr>
                                <w:rFonts w:ascii="Arial Narrow" w:hAnsi="Arial Narrow" w:eastAsia="黑体"/>
                                <w:sz w:val="14"/>
                                <w:szCs w:val="14"/>
                              </w:rPr>
                              <w:t>传真 +86 10 8566 5120</w:t>
                            </w:r>
                          </w:p>
                          <w:p w14:paraId="7A89C8FA">
                            <w:pPr>
                              <w:rPr>
                                <w:rFonts w:ascii="Arial Narrow" w:hAnsi="Arial Narrow" w:eastAsia="黑体"/>
                                <w:sz w:val="14"/>
                                <w:szCs w:val="14"/>
                              </w:rPr>
                            </w:pPr>
                            <w:r>
                              <w:rPr>
                                <w:rFonts w:ascii="Arial Narrow" w:hAnsi="Arial Narrow" w:eastAsia="黑体"/>
                                <w:sz w:val="14"/>
                                <w:szCs w:val="14"/>
                              </w:rPr>
                              <w:t>www.grantthornton.cn</w:t>
                            </w:r>
                          </w:p>
                          <w:p w14:paraId="19CB9A9E"/>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91.8pt;margin-top:87.9pt;height:59.55pt;width:127.55pt;mso-position-horizontal-relative:page;mso-position-vertical-relative:page;z-index:251659264;mso-width-relative:page;mso-height-relative:page;" filled="f" stroked="f" coordsize="21600,21600" o:gfxdata="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&#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D90HB2AAAAAsBAAAPAAAAAAAAAAEAIAAAACIAAABk&#10;cnMvZG93bnJldi54bWxQSwECFAAUAAAACACHTuJArYueaQYCAAAUBAAADgAAAAAAAAABACAAAAAn&#10;AQAAZHJzL2Uyb0RvYy54bWxQSwUGAAAAAAYABgBZAQAAnwUAAAAA&#10;">
                <v:fill on="f" focussize="0,0"/>
                <v:stroke on="f"/>
                <v:imagedata o:title=""/>
                <o:lock v:ext="edit" aspectratio="f"/>
                <v:textbox>
                  <w:txbxContent>
                    <w:p w14:paraId="4CA9BEF5">
                      <w:pPr>
                        <w:rPr>
                          <w:rFonts w:ascii="Arial Narrow" w:hAnsi="Arial Narrow" w:eastAsia="黑体"/>
                          <w:b/>
                          <w:sz w:val="14"/>
                          <w:szCs w:val="14"/>
                        </w:rPr>
                      </w:pPr>
                      <w:r>
                        <w:rPr>
                          <w:rFonts w:ascii="Arial Narrow" w:hAnsi="Arial Narrow" w:eastAsia="黑体"/>
                          <w:b/>
                          <w:sz w:val="14"/>
                          <w:szCs w:val="14"/>
                        </w:rPr>
                        <w:t>致同会计师事务所（特殊普通合伙）</w:t>
                      </w:r>
                    </w:p>
                    <w:p w14:paraId="39AD0A54">
                      <w:pPr>
                        <w:rPr>
                          <w:rFonts w:ascii="Arial Narrow" w:hAnsi="Arial Narrow" w:eastAsia="黑体"/>
                          <w:sz w:val="14"/>
                          <w:szCs w:val="14"/>
                        </w:rPr>
                      </w:pPr>
                      <w:r>
                        <w:rPr>
                          <w:rFonts w:ascii="Arial Narrow" w:hAnsi="Arial Narrow" w:eastAsia="黑体"/>
                          <w:sz w:val="14"/>
                          <w:szCs w:val="14"/>
                        </w:rPr>
                        <w:t>中国北京朝阳区建国门外大街22号</w:t>
                      </w:r>
                    </w:p>
                    <w:p w14:paraId="627183D8">
                      <w:pPr>
                        <w:rPr>
                          <w:rFonts w:ascii="Arial Narrow" w:hAnsi="Arial Narrow" w:eastAsia="黑体"/>
                          <w:sz w:val="14"/>
                          <w:szCs w:val="14"/>
                        </w:rPr>
                      </w:pPr>
                      <w:r>
                        <w:rPr>
                          <w:rFonts w:ascii="Arial Narrow" w:hAnsi="Arial Narrow" w:eastAsia="黑体"/>
                          <w:sz w:val="14"/>
                          <w:szCs w:val="14"/>
                        </w:rPr>
                        <w:t>赛特广场5层邮编100004</w:t>
                      </w:r>
                    </w:p>
                    <w:p w14:paraId="3E25551D">
                      <w:pPr>
                        <w:rPr>
                          <w:rFonts w:ascii="Arial Narrow" w:hAnsi="Arial Narrow" w:eastAsia="黑体"/>
                          <w:sz w:val="14"/>
                          <w:szCs w:val="14"/>
                        </w:rPr>
                      </w:pPr>
                      <w:r>
                        <w:rPr>
                          <w:rFonts w:ascii="Arial Narrow" w:hAnsi="Arial Narrow" w:eastAsia="黑体"/>
                          <w:sz w:val="14"/>
                          <w:szCs w:val="14"/>
                        </w:rPr>
                        <w:t>电话 +86 10 8566 5588</w:t>
                      </w:r>
                    </w:p>
                    <w:p w14:paraId="6E2CB402">
                      <w:pPr>
                        <w:rPr>
                          <w:rFonts w:ascii="Arial Narrow" w:hAnsi="Arial Narrow" w:eastAsia="黑体"/>
                          <w:sz w:val="14"/>
                          <w:szCs w:val="14"/>
                        </w:rPr>
                      </w:pPr>
                      <w:r>
                        <w:rPr>
                          <w:rFonts w:ascii="Arial Narrow" w:hAnsi="Arial Narrow" w:eastAsia="黑体"/>
                          <w:sz w:val="14"/>
                          <w:szCs w:val="14"/>
                        </w:rPr>
                        <w:t>传真 +86 10 8566 5120</w:t>
                      </w:r>
                    </w:p>
                    <w:p w14:paraId="7A89C8FA">
                      <w:pPr>
                        <w:rPr>
                          <w:rFonts w:ascii="Arial Narrow" w:hAnsi="Arial Narrow" w:eastAsia="黑体"/>
                          <w:sz w:val="14"/>
                          <w:szCs w:val="14"/>
                        </w:rPr>
                      </w:pPr>
                      <w:r>
                        <w:rPr>
                          <w:rFonts w:ascii="Arial Narrow" w:hAnsi="Arial Narrow" w:eastAsia="黑体"/>
                          <w:sz w:val="14"/>
                          <w:szCs w:val="14"/>
                        </w:rPr>
                        <w:t>www.grantthornton.cn</w:t>
                      </w:r>
                    </w:p>
                    <w:p w14:paraId="19CB9A9E"/>
                  </w:txbxContent>
                </v:textbox>
              </v:shape>
            </w:pict>
          </mc:Fallback>
        </mc:AlternateContent>
      </w:r>
    </w:p>
    <w:p w14:paraId="5C47E0BE">
      <w:pPr>
        <w:rPr>
          <w:rFonts w:ascii="Arial Narrow" w:hAnsi="Arial Narrow" w:eastAsia="仿宋_GB2312"/>
          <w:sz w:val="24"/>
          <w:szCs w:val="24"/>
          <w:lang w:eastAsia="zh-CN"/>
        </w:rPr>
      </w:pPr>
    </w:p>
    <w:p w14:paraId="30B8846D">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14:paraId="7CE2D382">
      <w:pPr>
        <w:spacing w:line="340" w:lineRule="atLeast"/>
        <w:jc w:val="both"/>
        <w:rPr>
          <w:rFonts w:ascii="Arial Narrow" w:hAnsi="Arial Narrow" w:eastAsia="仿宋_GB2312"/>
          <w:b/>
          <w:snapToGrid w:val="0"/>
          <w:color w:val="0000FF"/>
          <w:sz w:val="24"/>
          <w:szCs w:val="24"/>
          <w:lang w:eastAsia="zh-CN"/>
        </w:rPr>
      </w:pPr>
    </w:p>
    <w:p w14:paraId="0A36CC52">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pacing w:val="4"/>
          <w:sz w:val="24"/>
          <w:lang w:eastAsia="zh-CN"/>
        </w:rPr>
        <w:t>致同审字</w:t>
      </w:r>
      <w:r>
        <w:rPr>
          <w:rFonts w:hint="eastAsia" w:ascii="Arial Narrow" w:hAnsi="Arial Narrow" w:eastAsia="仿宋_GB2312"/>
          <w:color w:val="FF0000"/>
          <w:sz w:val="24"/>
          <w:szCs w:val="24"/>
          <w:lang w:eastAsia="zh-CN"/>
        </w:rPr>
        <w:t>（20</w:t>
      </w:r>
      <w:r>
        <w:rPr>
          <w:rFonts w:ascii="Arial Narrow" w:hAnsi="Arial Narrow" w:eastAsia="仿宋_GB2312"/>
          <w:color w:val="FF0000"/>
          <w:sz w:val="24"/>
          <w:szCs w:val="24"/>
          <w:lang w:eastAsia="zh-CN"/>
        </w:rPr>
        <w:t>26</w:t>
      </w:r>
      <w:r>
        <w:rPr>
          <w:rFonts w:hint="eastAsia" w:ascii="Arial Narrow" w:hAnsi="Arial Narrow" w:eastAsia="仿宋_GB2312"/>
          <w:color w:val="FF0000"/>
          <w:sz w:val="24"/>
          <w:szCs w:val="24"/>
          <w:lang w:eastAsia="zh-CN"/>
        </w:rPr>
        <w:t>）</w:t>
      </w:r>
      <w:r>
        <w:rPr>
          <w:rFonts w:hint="eastAsia" w:ascii="Arial Narrow" w:hAnsi="Arial Narrow" w:eastAsia="仿宋_GB2312"/>
          <w:color w:val="FF0000"/>
          <w:spacing w:val="4"/>
          <w:sz w:val="24"/>
          <w:lang w:eastAsia="zh-CN"/>
        </w:rPr>
        <w:t>第110AS</w:t>
      </w:r>
      <w:r>
        <w:rPr>
          <w:rFonts w:hint="eastAsia" w:ascii="Arial Narrow" w:hAnsi="Arial Narrow" w:eastAsia="仿宋_GB2312"/>
          <w:color w:val="FF0000"/>
          <w:sz w:val="24"/>
          <w:szCs w:val="24"/>
          <w:lang w:eastAsia="zh-CN"/>
        </w:rPr>
        <w:t>XXXX</w:t>
      </w:r>
      <w:r>
        <w:rPr>
          <w:rFonts w:hint="eastAsia" w:ascii="Arial Narrow" w:hAnsi="Arial Narrow" w:eastAsia="仿宋_GB2312"/>
          <w:color w:val="FF0000"/>
          <w:spacing w:val="4"/>
          <w:sz w:val="24"/>
          <w:lang w:eastAsia="zh-CN"/>
        </w:rPr>
        <w:t>号</w:t>
      </w:r>
    </w:p>
    <w:p w14:paraId="6600C8C0">
      <w:pPr>
        <w:spacing w:line="340" w:lineRule="atLeast"/>
        <w:rPr>
          <w:rFonts w:ascii="Arial Narrow" w:hAnsi="Arial Narrow" w:eastAsia="仿宋_GB2312"/>
          <w:b/>
          <w:snapToGrid w:val="0"/>
          <w:color w:val="FF0000"/>
          <w:sz w:val="24"/>
          <w:szCs w:val="24"/>
          <w:lang w:eastAsia="zh-CN"/>
        </w:rPr>
      </w:pPr>
    </w:p>
    <w:p w14:paraId="05DA0C07">
      <w:pPr>
        <w:spacing w:before="120" w:beforeLines="50" w:line="300" w:lineRule="auto"/>
        <w:outlineLvl w:val="0"/>
        <w:rPr>
          <w:rFonts w:ascii="Arial Narrow" w:hAnsi="Arial Narrow" w:eastAsia="仿宋_GB2312"/>
          <w:b/>
          <w:snapToGrid w:val="0"/>
          <w:color w:val="FF0000"/>
          <w:sz w:val="24"/>
          <w:szCs w:val="24"/>
          <w:lang w:eastAsia="zh-CN"/>
        </w:rPr>
      </w:pPr>
      <w:r>
        <w:rPr>
          <w:rFonts w:ascii="Arial Narrow" w:hAnsi="Arial Narrow" w:eastAsia="仿宋_GB2312"/>
          <w:b/>
          <w:color w:val="FF0000"/>
          <w:spacing w:val="4"/>
          <w:sz w:val="24"/>
          <w:szCs w:val="24"/>
          <w:lang w:eastAsia="zh-CN"/>
        </w:rPr>
        <w:t>ABC</w:t>
      </w:r>
      <w:r>
        <w:rPr>
          <w:rFonts w:hint="eastAsia" w:ascii="Arial Narrow" w:hAnsi="Arial Narrow" w:eastAsia="仿宋_GB2312"/>
          <w:b/>
          <w:spacing w:val="4"/>
          <w:sz w:val="24"/>
          <w:szCs w:val="24"/>
          <w:lang w:eastAsia="zh-CN"/>
        </w:rPr>
        <w:t>股份有限公司全体股东：</w:t>
      </w:r>
    </w:p>
    <w:p w14:paraId="26FFFAA9">
      <w:pPr>
        <w:spacing w:before="120" w:beforeLines="50" w:after="120" w:afterLines="50" w:line="300" w:lineRule="auto"/>
        <w:ind w:firstLine="482" w:firstLineChars="200"/>
        <w:jc w:val="both"/>
        <w:outlineLvl w:val="0"/>
        <w:rPr>
          <w:rFonts w:ascii="Arial Narrow" w:hAnsi="Arial Narrow" w:eastAsia="仿宋_GB2312"/>
          <w:b/>
          <w:spacing w:val="4"/>
          <w:sz w:val="24"/>
          <w:szCs w:val="24"/>
          <w:lang w:eastAsia="zh-CN"/>
        </w:rPr>
      </w:pPr>
      <w:r>
        <w:rPr>
          <w:rFonts w:hint="eastAsia" w:ascii="Arial Narrow" w:hAnsi="Arial Narrow" w:eastAsia="仿宋_GB2312"/>
          <w:b/>
          <w:bCs/>
          <w:sz w:val="24"/>
          <w:szCs w:val="24"/>
        </w:rPr>
        <w:t>一、审计意见</w:t>
      </w:r>
    </w:p>
    <w:p w14:paraId="4CFBF040">
      <w:pPr>
        <w:spacing w:before="120" w:beforeLines="50" w:line="300" w:lineRule="auto"/>
        <w:ind w:firstLine="480" w:firstLineChars="200"/>
        <w:jc w:val="both"/>
        <w:rPr>
          <w:rFonts w:ascii="Arial Narrow" w:hAnsi="Arial Narrow" w:eastAsia="仿宋_GB2312"/>
          <w:sz w:val="24"/>
          <w:szCs w:val="24"/>
          <w:lang w:eastAsia="zh-CN"/>
        </w:rPr>
      </w:pPr>
      <w:r>
        <w:rPr>
          <w:rFonts w:hint="eastAsia" w:ascii="Arial Narrow" w:hAnsi="Arial Narrow" w:eastAsia="仿宋_GB2312"/>
          <w:sz w:val="24"/>
          <w:szCs w:val="24"/>
          <w:lang w:eastAsia="zh-CN"/>
        </w:rPr>
        <w:t>我们审计了</w:t>
      </w:r>
      <w:r>
        <w:rPr>
          <w:rFonts w:ascii="Arial Narrow" w:hAnsi="Arial Narrow" w:eastAsia="仿宋_GB2312"/>
          <w:color w:val="FF0000"/>
          <w:spacing w:val="4"/>
          <w:sz w:val="24"/>
          <w:szCs w:val="24"/>
        </w:rPr>
        <w:t>ABC</w:t>
      </w:r>
      <w:r>
        <w:rPr>
          <w:rFonts w:hint="eastAsia" w:ascii="Arial Narrow" w:hAnsi="Arial Narrow" w:eastAsia="仿宋_GB2312"/>
          <w:sz w:val="24"/>
          <w:szCs w:val="24"/>
          <w:lang w:eastAsia="zh-CN"/>
        </w:rPr>
        <w:t>股份有限公司（以下简称</w:t>
      </w:r>
      <w:r>
        <w:rPr>
          <w:rFonts w:ascii="Arial Narrow" w:hAnsi="Arial Narrow" w:eastAsia="仿宋_GB2312"/>
          <w:color w:val="FF0000"/>
          <w:spacing w:val="4"/>
          <w:sz w:val="24"/>
          <w:szCs w:val="24"/>
        </w:rPr>
        <w:t>ABC</w:t>
      </w:r>
      <w:r>
        <w:rPr>
          <w:rFonts w:hint="eastAsia" w:ascii="Arial Narrow" w:hAnsi="Arial Narrow" w:eastAsia="仿宋_GB2312"/>
          <w:sz w:val="24"/>
          <w:szCs w:val="24"/>
          <w:lang w:eastAsia="zh-CN"/>
        </w:rPr>
        <w:t>公司）财务报表，包括</w:t>
      </w:r>
      <w:r>
        <w:rPr>
          <w:rFonts w:ascii="Arial Narrow" w:hAnsi="Arial Narrow" w:eastAsia="仿宋_GB2312"/>
          <w:color w:val="FF0000"/>
          <w:sz w:val="24"/>
          <w:szCs w:val="24"/>
          <w:lang w:eastAsia="zh-CN"/>
        </w:rPr>
        <w:t>2025</w:t>
      </w:r>
      <w:r>
        <w:rPr>
          <w:rFonts w:hint="eastAsia" w:ascii="Arial Narrow" w:hAnsi="Arial Narrow" w:eastAsia="仿宋_GB2312"/>
          <w:color w:val="FF0000"/>
          <w:sz w:val="24"/>
          <w:szCs w:val="24"/>
          <w:lang w:eastAsia="zh-CN"/>
        </w:rPr>
        <w:t>年</w:t>
      </w:r>
      <w:r>
        <w:rPr>
          <w:rFonts w:ascii="Arial Narrow" w:hAnsi="Arial Narrow" w:eastAsia="仿宋_GB2312"/>
          <w:color w:val="FF0000"/>
          <w:sz w:val="24"/>
          <w:szCs w:val="24"/>
          <w:lang w:eastAsia="zh-CN"/>
        </w:rPr>
        <w:t>12</w:t>
      </w:r>
      <w:r>
        <w:rPr>
          <w:rFonts w:hint="eastAsia" w:ascii="Arial Narrow" w:hAnsi="Arial Narrow" w:eastAsia="仿宋_GB2312"/>
          <w:color w:val="FF0000"/>
          <w:sz w:val="24"/>
          <w:szCs w:val="24"/>
          <w:lang w:eastAsia="zh-CN"/>
        </w:rPr>
        <w:t>月</w:t>
      </w:r>
      <w:r>
        <w:rPr>
          <w:rFonts w:ascii="Arial Narrow" w:hAnsi="Arial Narrow" w:eastAsia="仿宋_GB2312"/>
          <w:color w:val="FF0000"/>
          <w:sz w:val="24"/>
          <w:szCs w:val="24"/>
          <w:lang w:eastAsia="zh-CN"/>
        </w:rPr>
        <w:t>31</w:t>
      </w:r>
      <w:r>
        <w:rPr>
          <w:rFonts w:hint="eastAsia" w:ascii="Arial Narrow" w:hAnsi="Arial Narrow" w:eastAsia="仿宋_GB2312"/>
          <w:color w:val="FF0000"/>
          <w:sz w:val="24"/>
          <w:szCs w:val="24"/>
          <w:lang w:eastAsia="zh-CN"/>
        </w:rPr>
        <w:t>日</w:t>
      </w:r>
      <w:r>
        <w:rPr>
          <w:rFonts w:hint="eastAsia" w:ascii="Arial Narrow" w:hAnsi="Arial Narrow" w:eastAsia="仿宋_GB2312"/>
          <w:sz w:val="24"/>
          <w:szCs w:val="24"/>
          <w:lang w:eastAsia="zh-CN"/>
        </w:rPr>
        <w:t>的</w:t>
      </w:r>
      <w:r>
        <w:rPr>
          <w:rFonts w:hint="eastAsia" w:ascii="Arial Narrow" w:hAnsi="Arial Narrow" w:eastAsia="仿宋_GB2312"/>
          <w:color w:val="FF0000"/>
          <w:sz w:val="24"/>
          <w:szCs w:val="24"/>
          <w:lang w:eastAsia="zh-CN"/>
        </w:rPr>
        <w:t>合并及公司</w:t>
      </w:r>
      <w:r>
        <w:rPr>
          <w:rFonts w:hint="eastAsia" w:ascii="Arial Narrow" w:hAnsi="Arial Narrow" w:eastAsia="仿宋_GB2312"/>
          <w:sz w:val="24"/>
          <w:szCs w:val="24"/>
          <w:lang w:eastAsia="zh-CN"/>
        </w:rPr>
        <w:t>资产负债表，</w:t>
      </w:r>
      <w:r>
        <w:rPr>
          <w:rFonts w:ascii="Arial Narrow" w:hAnsi="Arial Narrow" w:eastAsia="仿宋_GB2312"/>
          <w:color w:val="FF0000"/>
          <w:sz w:val="24"/>
          <w:szCs w:val="24"/>
          <w:lang w:eastAsia="zh-CN"/>
        </w:rPr>
        <w:t>2025</w:t>
      </w:r>
      <w:r>
        <w:rPr>
          <w:rFonts w:hint="eastAsia" w:ascii="Arial Narrow" w:hAnsi="Arial Narrow" w:eastAsia="仿宋_GB2312"/>
          <w:color w:val="FF0000"/>
          <w:sz w:val="24"/>
          <w:szCs w:val="24"/>
          <w:lang w:eastAsia="zh-CN"/>
        </w:rPr>
        <w:t>年度</w:t>
      </w:r>
      <w:r>
        <w:rPr>
          <w:rFonts w:hint="eastAsia" w:ascii="Arial Narrow" w:hAnsi="Arial Narrow" w:eastAsia="仿宋_GB2312"/>
          <w:sz w:val="24"/>
          <w:szCs w:val="24"/>
          <w:lang w:eastAsia="zh-CN"/>
        </w:rPr>
        <w:t>的</w:t>
      </w:r>
      <w:r>
        <w:rPr>
          <w:rFonts w:hint="eastAsia" w:ascii="Arial Narrow" w:hAnsi="Arial Narrow" w:eastAsia="仿宋_GB2312"/>
          <w:color w:val="FF0000"/>
          <w:sz w:val="24"/>
          <w:szCs w:val="24"/>
          <w:lang w:eastAsia="zh-CN"/>
        </w:rPr>
        <w:t>合并及公司</w:t>
      </w:r>
      <w:r>
        <w:rPr>
          <w:rFonts w:hint="eastAsia" w:ascii="Arial Narrow" w:hAnsi="Arial Narrow" w:eastAsia="仿宋_GB2312"/>
          <w:sz w:val="24"/>
          <w:szCs w:val="24"/>
          <w:lang w:eastAsia="zh-CN"/>
        </w:rPr>
        <w:t>利润表、</w:t>
      </w:r>
      <w:r>
        <w:rPr>
          <w:rFonts w:hint="eastAsia" w:ascii="Arial Narrow" w:hAnsi="Arial Narrow" w:eastAsia="仿宋_GB2312"/>
          <w:color w:val="FF0000"/>
          <w:sz w:val="24"/>
          <w:szCs w:val="24"/>
          <w:lang w:eastAsia="zh-CN"/>
        </w:rPr>
        <w:t>合并及公司</w:t>
      </w:r>
      <w:r>
        <w:rPr>
          <w:rFonts w:hint="eastAsia" w:ascii="Arial Narrow" w:hAnsi="Arial Narrow" w:eastAsia="仿宋_GB2312"/>
          <w:sz w:val="24"/>
          <w:szCs w:val="24"/>
          <w:lang w:eastAsia="zh-CN"/>
        </w:rPr>
        <w:t>现金流量表、</w:t>
      </w:r>
      <w:r>
        <w:rPr>
          <w:rFonts w:hint="eastAsia" w:ascii="Arial Narrow" w:hAnsi="Arial Narrow" w:eastAsia="仿宋_GB2312"/>
          <w:color w:val="FF0000"/>
          <w:sz w:val="24"/>
          <w:szCs w:val="24"/>
          <w:lang w:eastAsia="zh-CN"/>
        </w:rPr>
        <w:t>合并及公司</w:t>
      </w:r>
      <w:r>
        <w:rPr>
          <w:rFonts w:hint="eastAsia" w:ascii="Arial Narrow" w:hAnsi="Arial Narrow" w:eastAsia="仿宋_GB2312"/>
          <w:sz w:val="24"/>
          <w:szCs w:val="24"/>
          <w:lang w:eastAsia="zh-CN"/>
        </w:rPr>
        <w:t>股东权益变动表以及相关财务报表附注。</w:t>
      </w:r>
    </w:p>
    <w:p w14:paraId="734B8A7C">
      <w:pPr>
        <w:spacing w:before="120" w:beforeLines="50" w:line="300" w:lineRule="auto"/>
        <w:ind w:firstLine="480" w:firstLineChars="200"/>
        <w:jc w:val="both"/>
        <w:rPr>
          <w:rFonts w:ascii="Arial Narrow" w:hAnsi="Arial Narrow" w:eastAsia="仿宋_GB2312"/>
          <w:sz w:val="24"/>
          <w:szCs w:val="24"/>
          <w:lang w:eastAsia="zh-CN"/>
        </w:rPr>
      </w:pPr>
      <w:r>
        <w:rPr>
          <w:rFonts w:hint="eastAsia" w:ascii="Arial Narrow" w:hAnsi="Arial Narrow" w:eastAsia="仿宋_GB2312"/>
          <w:sz w:val="24"/>
          <w:szCs w:val="24"/>
          <w:lang w:eastAsia="zh-CN"/>
        </w:rPr>
        <w:t>我们认为，后附的财务报表在所有重大方面按照企业会计准则的规定编制，公允反映了</w:t>
      </w:r>
      <w:r>
        <w:rPr>
          <w:rFonts w:ascii="Arial Narrow" w:hAnsi="Arial Narrow" w:eastAsia="仿宋_GB2312"/>
          <w:color w:val="FF0000"/>
          <w:spacing w:val="4"/>
          <w:sz w:val="24"/>
          <w:szCs w:val="24"/>
        </w:rPr>
        <w:t>ABC</w:t>
      </w:r>
      <w:r>
        <w:rPr>
          <w:rFonts w:hint="eastAsia" w:ascii="Arial Narrow" w:hAnsi="Arial Narrow" w:eastAsia="仿宋_GB2312"/>
          <w:sz w:val="24"/>
          <w:szCs w:val="24"/>
          <w:lang w:eastAsia="zh-CN"/>
        </w:rPr>
        <w:t>公司</w:t>
      </w:r>
      <w:r>
        <w:rPr>
          <w:rFonts w:ascii="Arial Narrow" w:hAnsi="Arial Narrow" w:eastAsia="仿宋_GB2312"/>
          <w:color w:val="FF0000"/>
          <w:sz w:val="24"/>
          <w:szCs w:val="24"/>
          <w:lang w:eastAsia="zh-CN"/>
        </w:rPr>
        <w:t>2025</w:t>
      </w:r>
      <w:r>
        <w:rPr>
          <w:rFonts w:hint="eastAsia" w:ascii="Arial Narrow" w:hAnsi="Arial Narrow" w:eastAsia="仿宋_GB2312"/>
          <w:color w:val="FF0000"/>
          <w:sz w:val="24"/>
          <w:szCs w:val="24"/>
          <w:lang w:eastAsia="zh-CN"/>
        </w:rPr>
        <w:t>年</w:t>
      </w:r>
      <w:r>
        <w:rPr>
          <w:rFonts w:ascii="Arial Narrow" w:hAnsi="Arial Narrow" w:eastAsia="仿宋_GB2312"/>
          <w:color w:val="FF0000"/>
          <w:sz w:val="24"/>
          <w:szCs w:val="24"/>
          <w:lang w:eastAsia="zh-CN"/>
        </w:rPr>
        <w:t>12</w:t>
      </w:r>
      <w:r>
        <w:rPr>
          <w:rFonts w:hint="eastAsia" w:ascii="Arial Narrow" w:hAnsi="Arial Narrow" w:eastAsia="仿宋_GB2312"/>
          <w:color w:val="FF0000"/>
          <w:sz w:val="24"/>
          <w:szCs w:val="24"/>
          <w:lang w:eastAsia="zh-CN"/>
        </w:rPr>
        <w:t>月</w:t>
      </w:r>
      <w:r>
        <w:rPr>
          <w:rFonts w:ascii="Arial Narrow" w:hAnsi="Arial Narrow" w:eastAsia="仿宋_GB2312"/>
          <w:color w:val="FF0000"/>
          <w:sz w:val="24"/>
          <w:szCs w:val="24"/>
          <w:lang w:eastAsia="zh-CN"/>
        </w:rPr>
        <w:t>31</w:t>
      </w:r>
      <w:r>
        <w:rPr>
          <w:rFonts w:hint="eastAsia" w:ascii="Arial Narrow" w:hAnsi="Arial Narrow" w:eastAsia="仿宋_GB2312"/>
          <w:color w:val="FF0000"/>
          <w:sz w:val="24"/>
          <w:szCs w:val="24"/>
          <w:lang w:eastAsia="zh-CN"/>
        </w:rPr>
        <w:t>日</w:t>
      </w:r>
      <w:r>
        <w:rPr>
          <w:rFonts w:hint="eastAsia" w:ascii="Arial Narrow" w:hAnsi="Arial Narrow" w:eastAsia="仿宋_GB2312"/>
          <w:sz w:val="24"/>
          <w:szCs w:val="24"/>
          <w:lang w:eastAsia="zh-CN"/>
        </w:rPr>
        <w:t>的</w:t>
      </w:r>
      <w:r>
        <w:rPr>
          <w:rFonts w:hint="eastAsia" w:ascii="Arial Narrow" w:hAnsi="Arial Narrow" w:eastAsia="仿宋_GB2312"/>
          <w:color w:val="FF0000"/>
          <w:sz w:val="24"/>
          <w:szCs w:val="24"/>
          <w:lang w:eastAsia="zh-CN"/>
        </w:rPr>
        <w:t>合并及公司</w:t>
      </w:r>
      <w:r>
        <w:rPr>
          <w:rFonts w:hint="eastAsia" w:ascii="Arial Narrow" w:hAnsi="Arial Narrow" w:eastAsia="仿宋_GB2312"/>
          <w:sz w:val="24"/>
          <w:szCs w:val="24"/>
          <w:lang w:eastAsia="zh-CN"/>
        </w:rPr>
        <w:t>财务状况以及</w:t>
      </w:r>
      <w:r>
        <w:rPr>
          <w:rFonts w:ascii="Arial Narrow" w:hAnsi="Arial Narrow" w:eastAsia="仿宋_GB2312"/>
          <w:color w:val="FF0000"/>
          <w:sz w:val="24"/>
          <w:szCs w:val="24"/>
          <w:lang w:eastAsia="zh-CN"/>
        </w:rPr>
        <w:t>2025</w:t>
      </w:r>
      <w:r>
        <w:rPr>
          <w:rFonts w:hint="eastAsia" w:ascii="Arial Narrow" w:hAnsi="Arial Narrow" w:eastAsia="仿宋_GB2312"/>
          <w:color w:val="FF0000"/>
          <w:sz w:val="24"/>
          <w:szCs w:val="24"/>
          <w:lang w:eastAsia="zh-CN"/>
        </w:rPr>
        <w:t>年度</w:t>
      </w:r>
      <w:r>
        <w:rPr>
          <w:rFonts w:hint="eastAsia" w:ascii="Arial Narrow" w:hAnsi="Arial Narrow" w:eastAsia="仿宋_GB2312"/>
          <w:sz w:val="24"/>
          <w:szCs w:val="24"/>
          <w:lang w:eastAsia="zh-CN"/>
        </w:rPr>
        <w:t>的合并及公司经营成果和现金流量。</w:t>
      </w:r>
    </w:p>
    <w:p w14:paraId="35CFC3F0">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二、形成审计意见的基础</w:t>
      </w:r>
    </w:p>
    <w:p w14:paraId="3C4850A4">
      <w:pPr>
        <w:spacing w:before="120" w:beforeLines="50" w:line="300" w:lineRule="auto"/>
        <w:ind w:firstLine="496" w:firstLineChars="200"/>
        <w:jc w:val="both"/>
        <w:rPr>
          <w:rFonts w:ascii="Arial Narrow" w:hAnsi="宋体" w:eastAsia="仿宋_GB2312"/>
          <w:spacing w:val="4"/>
          <w:sz w:val="24"/>
          <w:szCs w:val="24"/>
          <w:lang w:eastAsia="zh-CN"/>
        </w:rPr>
      </w:pPr>
      <w:r>
        <w:rPr>
          <w:rFonts w:hint="eastAsia" w:ascii="Arial Narrow" w:hAnsi="宋体" w:eastAsia="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w:t>
      </w:r>
      <w:r>
        <w:rPr>
          <w:rFonts w:hint="eastAsia" w:ascii="Arial Narrow" w:hAnsi="宋体" w:eastAsia="仿宋_GB2312"/>
          <w:spacing w:val="4"/>
          <w:sz w:val="24"/>
          <w:szCs w:val="24"/>
          <w:highlight w:val="cyan"/>
          <w:lang w:eastAsia="zh-CN"/>
        </w:rPr>
        <w:t>和中国注册会计师独立性准则对公众利益实体的独立性要求（如适用）</w:t>
      </w:r>
      <w:r>
        <w:rPr>
          <w:rFonts w:hint="eastAsia" w:ascii="Arial Narrow" w:hAnsi="宋体" w:eastAsia="仿宋_GB2312"/>
          <w:spacing w:val="4"/>
          <w:sz w:val="24"/>
          <w:szCs w:val="24"/>
          <w:lang w:eastAsia="zh-CN"/>
        </w:rPr>
        <w:t>，我们独立于</w:t>
      </w:r>
      <w:r>
        <w:rPr>
          <w:rFonts w:ascii="Arial Narrow" w:hAnsi="Arial Narrow" w:eastAsia="仿宋_GB2312"/>
          <w:color w:val="FF0000"/>
          <w:spacing w:val="4"/>
          <w:sz w:val="24"/>
          <w:szCs w:val="24"/>
        </w:rPr>
        <w:t>ABC</w:t>
      </w:r>
      <w:r>
        <w:rPr>
          <w:rFonts w:hint="eastAsia" w:ascii="Arial Narrow" w:hAnsi="宋体" w:eastAsia="仿宋_GB2312"/>
          <w:spacing w:val="4"/>
          <w:sz w:val="24"/>
          <w:szCs w:val="24"/>
          <w:lang w:eastAsia="zh-CN"/>
        </w:rPr>
        <w:t>公司，并履行了职业道德方面的其他责任。我们相信，我们获取的审计证据是充分、适当的，为发表审计意见提供了基础。</w:t>
      </w:r>
    </w:p>
    <w:p w14:paraId="4E769D2A">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三、关键审计事项</w:t>
      </w:r>
    </w:p>
    <w:p w14:paraId="382A4EE0">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Arial Narrow" w:hAnsi="Arial Narrow" w:eastAsia="仿宋_GB2312"/>
          <w:spacing w:val="4"/>
          <w:sz w:val="24"/>
          <w:szCs w:val="24"/>
          <w:lang w:eastAsia="zh-CN"/>
        </w:rPr>
        <w:t>关键审计事项是我们根据职业判断，认为对本期财务报表审计最为重要的事项。这些事项的应对以对财务报表整体进行审计并形成审计意见为背景，我们不对这些事项单独发表意见。</w:t>
      </w:r>
    </w:p>
    <w:p w14:paraId="5A0B48A4">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Arial Narrow" w:hAnsi="Arial Narrow" w:eastAsia="仿宋_GB2312"/>
          <w:color w:val="0000FF"/>
          <w:spacing w:val="4"/>
          <w:sz w:val="24"/>
          <w:szCs w:val="24"/>
          <w:lang w:eastAsia="zh-CN"/>
        </w:rPr>
        <w:t>【按照《中国注册会计师审计准则第</w:t>
      </w:r>
      <w:r>
        <w:rPr>
          <w:rFonts w:ascii="Arial Narrow" w:hAnsi="Arial Narrow" w:eastAsia="仿宋_GB2312"/>
          <w:color w:val="0000FF"/>
          <w:spacing w:val="4"/>
          <w:sz w:val="24"/>
          <w:szCs w:val="24"/>
          <w:lang w:eastAsia="zh-CN"/>
        </w:rPr>
        <w:t>1504</w:t>
      </w:r>
      <w:r>
        <w:rPr>
          <w:rFonts w:hint="eastAsia" w:ascii="Arial Narrow" w:hAnsi="Arial Narrow" w:eastAsia="仿宋_GB2312"/>
          <w:color w:val="0000FF"/>
          <w:spacing w:val="4"/>
          <w:sz w:val="24"/>
          <w:szCs w:val="24"/>
          <w:lang w:eastAsia="zh-CN"/>
        </w:rPr>
        <w:t>号——在审计报告中沟通关键审计事项》的规定描述每一关键审计事项。当存在多项关键审计事项时，排列顺序可以根据职业判断按相对重要程度进行排列，或者和该事项在财务报表中的披露顺序相对应】</w:t>
      </w:r>
    </w:p>
    <w:p w14:paraId="7A9626BB">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（一）</w:t>
      </w:r>
      <w:r>
        <w:rPr>
          <w:rFonts w:hint="eastAsia" w:ascii="Arial Narrow" w:hAnsi="Arial Narrow" w:eastAsia="仿宋_GB2312"/>
          <w:color w:val="FF0000"/>
          <w:spacing w:val="4"/>
          <w:sz w:val="24"/>
          <w:szCs w:val="24"/>
          <w:lang w:eastAsia="zh-CN"/>
        </w:rPr>
        <w:t>X子标题</w:t>
      </w:r>
    </w:p>
    <w:p w14:paraId="75DF2ADC">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相关信息披露详见财务报表附注</w:t>
      </w:r>
      <w:r>
        <w:rPr>
          <w:rFonts w:hint="eastAsia" w:ascii="Arial Narrow" w:hAnsi="Arial Narrow" w:eastAsia="仿宋_GB2312"/>
          <w:color w:val="FF0000"/>
          <w:spacing w:val="4"/>
          <w:sz w:val="24"/>
          <w:szCs w:val="24"/>
          <w:lang w:eastAsia="zh-CN"/>
        </w:rPr>
        <w:t>X-XX</w:t>
      </w:r>
      <w:r>
        <w:rPr>
          <w:rFonts w:hint="eastAsia" w:ascii="Arial Narrow" w:hAnsi="Arial Narrow" w:eastAsia="仿宋_GB2312"/>
          <w:spacing w:val="4"/>
          <w:sz w:val="24"/>
          <w:szCs w:val="24"/>
          <w:lang w:eastAsia="zh-CN"/>
        </w:rPr>
        <w:t>。</w:t>
      </w:r>
    </w:p>
    <w:p w14:paraId="13ABCB73">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1673596F">
      <w:pPr>
        <w:spacing w:before="120" w:beforeLines="50" w:line="300" w:lineRule="auto"/>
        <w:ind w:firstLine="496" w:firstLineChars="200"/>
        <w:jc w:val="both"/>
        <w:rPr>
          <w:rFonts w:ascii="Arial Narrow" w:hAnsi="Arial Narrow" w:eastAsia="仿宋_GB2312"/>
          <w:spacing w:val="4"/>
          <w:sz w:val="24"/>
          <w:szCs w:val="24"/>
          <w:lang w:eastAsia="zh-CN"/>
        </w:rPr>
      </w:pPr>
    </w:p>
    <w:p w14:paraId="39C07DD8">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0E70CA77">
      <w:pPr>
        <w:spacing w:before="120" w:beforeLines="50" w:line="300" w:lineRule="auto"/>
        <w:ind w:firstLine="496" w:firstLineChars="200"/>
        <w:jc w:val="both"/>
        <w:rPr>
          <w:rFonts w:ascii="Arial Narrow" w:hAnsi="Arial Narrow" w:eastAsia="仿宋_GB2312"/>
          <w:spacing w:val="4"/>
          <w:sz w:val="24"/>
          <w:szCs w:val="24"/>
          <w:lang w:eastAsia="zh-CN"/>
        </w:rPr>
      </w:pPr>
    </w:p>
    <w:p w14:paraId="53835336">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（二）</w:t>
      </w:r>
      <w:r>
        <w:rPr>
          <w:rFonts w:hint="eastAsia" w:ascii="Arial Narrow" w:hAnsi="Arial Narrow" w:eastAsia="仿宋_GB2312"/>
          <w:color w:val="FF0000"/>
          <w:spacing w:val="4"/>
          <w:sz w:val="24"/>
          <w:szCs w:val="24"/>
          <w:lang w:eastAsia="zh-CN"/>
        </w:rPr>
        <w:t>X子标题</w:t>
      </w:r>
    </w:p>
    <w:p w14:paraId="64804E81">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相关信息披露详见财务报表附注</w:t>
      </w:r>
      <w:r>
        <w:rPr>
          <w:rFonts w:hint="eastAsia" w:ascii="Arial Narrow" w:hAnsi="Arial Narrow" w:eastAsia="仿宋_GB2312"/>
          <w:color w:val="FF0000"/>
          <w:spacing w:val="4"/>
          <w:sz w:val="24"/>
          <w:szCs w:val="24"/>
          <w:lang w:eastAsia="zh-CN"/>
        </w:rPr>
        <w:t>X-XX</w:t>
      </w:r>
      <w:r>
        <w:rPr>
          <w:rFonts w:hint="eastAsia" w:ascii="Arial Narrow" w:hAnsi="Arial Narrow" w:eastAsia="仿宋_GB2312"/>
          <w:spacing w:val="4"/>
          <w:sz w:val="24"/>
          <w:szCs w:val="24"/>
          <w:lang w:eastAsia="zh-CN"/>
        </w:rPr>
        <w:t>。</w:t>
      </w:r>
    </w:p>
    <w:p w14:paraId="1D6D819B">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1</w:t>
      </w:r>
      <w:r>
        <w:rPr>
          <w:rFonts w:hint="eastAsia" w:ascii="Arial Narrow" w:hAnsi="Arial Narrow" w:eastAsia="仿宋_GB2312"/>
          <w:spacing w:val="4"/>
          <w:sz w:val="24"/>
          <w:szCs w:val="24"/>
          <w:lang w:eastAsia="zh-CN"/>
        </w:rPr>
        <w:t>、事项描述</w:t>
      </w:r>
    </w:p>
    <w:p w14:paraId="5375E33F">
      <w:pPr>
        <w:spacing w:before="120" w:beforeLines="50" w:line="300" w:lineRule="auto"/>
        <w:ind w:firstLine="496" w:firstLineChars="200"/>
        <w:jc w:val="both"/>
        <w:rPr>
          <w:rFonts w:ascii="Arial Narrow" w:hAnsi="Arial Narrow" w:eastAsia="仿宋_GB2312"/>
          <w:spacing w:val="4"/>
          <w:sz w:val="24"/>
          <w:szCs w:val="24"/>
          <w:lang w:eastAsia="zh-CN"/>
        </w:rPr>
      </w:pPr>
    </w:p>
    <w:p w14:paraId="67B4F5DA">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spacing w:val="4"/>
          <w:sz w:val="24"/>
          <w:szCs w:val="24"/>
          <w:lang w:eastAsia="zh-CN"/>
        </w:rPr>
        <w:t>2</w:t>
      </w:r>
      <w:r>
        <w:rPr>
          <w:rFonts w:hint="eastAsia" w:ascii="Arial Narrow" w:hAnsi="Arial Narrow" w:eastAsia="仿宋_GB2312"/>
          <w:spacing w:val="4"/>
          <w:sz w:val="24"/>
          <w:szCs w:val="24"/>
          <w:lang w:eastAsia="zh-CN"/>
        </w:rPr>
        <w:t>、审计应对</w:t>
      </w:r>
    </w:p>
    <w:p w14:paraId="0411E482">
      <w:pPr>
        <w:spacing w:before="120" w:beforeLines="50" w:line="300" w:lineRule="auto"/>
        <w:ind w:firstLine="496" w:firstLineChars="200"/>
        <w:jc w:val="both"/>
        <w:rPr>
          <w:rFonts w:ascii="Arial Narrow" w:hAnsi="Arial Narrow" w:eastAsia="仿宋_GB2312"/>
          <w:spacing w:val="4"/>
          <w:sz w:val="24"/>
          <w:szCs w:val="24"/>
          <w:lang w:eastAsia="zh-CN"/>
        </w:rPr>
      </w:pPr>
    </w:p>
    <w:p w14:paraId="41810F71">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Arial Narrow" w:hAnsi="Arial Narrow" w:eastAsia="仿宋_GB2312"/>
          <w:color w:val="0000FF"/>
          <w:spacing w:val="4"/>
          <w:sz w:val="24"/>
          <w:szCs w:val="24"/>
          <w:lang w:eastAsia="zh-CN"/>
        </w:rPr>
        <w:t>【在极少数情况下，根据被审计单位和审计业务的具体事实和情况，确定不存在需要沟通的关键审计事项的情况，</w:t>
      </w:r>
      <w:r>
        <w:rPr>
          <w:rFonts w:ascii="Arial Narrow" w:hAnsi="Arial Narrow" w:eastAsia="仿宋_GB2312"/>
          <w:color w:val="0000FF"/>
          <w:spacing w:val="4"/>
          <w:sz w:val="24"/>
          <w:szCs w:val="24"/>
          <w:lang w:eastAsia="zh-CN"/>
        </w:rPr>
        <w:t>注册会计师应当在审计报告中单设的关键审计事项部分对此进行说明</w:t>
      </w:r>
      <w:r>
        <w:rPr>
          <w:rFonts w:hint="eastAsia" w:ascii="Arial Narrow" w:hAnsi="Arial Narrow" w:eastAsia="仿宋_GB2312"/>
          <w:color w:val="0000FF"/>
          <w:spacing w:val="4"/>
          <w:sz w:val="24"/>
          <w:szCs w:val="24"/>
          <w:lang w:eastAsia="zh-CN"/>
        </w:rPr>
        <w:t>如下：</w:t>
      </w:r>
      <w:r>
        <w:rPr>
          <w:rFonts w:ascii="Arial Narrow" w:hAnsi="Arial Narrow" w:eastAsia="仿宋_GB2312"/>
          <w:color w:val="FF0000"/>
          <w:spacing w:val="4"/>
          <w:sz w:val="24"/>
          <w:szCs w:val="24"/>
          <w:lang w:eastAsia="zh-CN"/>
        </w:rPr>
        <w:t>我们确定不存在需要在</w:t>
      </w:r>
      <w:r>
        <w:rPr>
          <w:rFonts w:hint="eastAsia" w:ascii="Arial Narrow" w:hAnsi="Arial Narrow" w:eastAsia="仿宋_GB2312"/>
          <w:color w:val="FF0000"/>
          <w:spacing w:val="4"/>
          <w:sz w:val="24"/>
          <w:szCs w:val="24"/>
          <w:lang w:eastAsia="zh-CN"/>
        </w:rPr>
        <w:t>审计</w:t>
      </w:r>
      <w:r>
        <w:rPr>
          <w:rFonts w:ascii="Arial Narrow" w:hAnsi="Arial Narrow" w:eastAsia="仿宋_GB2312"/>
          <w:color w:val="FF0000"/>
          <w:spacing w:val="4"/>
          <w:sz w:val="24"/>
          <w:szCs w:val="24"/>
          <w:lang w:eastAsia="zh-CN"/>
        </w:rPr>
        <w:t>报告中沟通的关键审计事项。</w:t>
      </w:r>
      <w:r>
        <w:rPr>
          <w:rFonts w:hint="eastAsia" w:ascii="Arial Narrow" w:hAnsi="Arial Narrow" w:eastAsia="仿宋_GB2312"/>
          <w:color w:val="0000FF"/>
          <w:spacing w:val="4"/>
          <w:sz w:val="24"/>
          <w:szCs w:val="24"/>
          <w:lang w:eastAsia="zh-CN"/>
        </w:rPr>
        <w:t>】</w:t>
      </w:r>
    </w:p>
    <w:p w14:paraId="4E517E68">
      <w:pPr>
        <w:spacing w:before="120" w:beforeLines="50" w:after="120" w:afterLines="50" w:line="300" w:lineRule="auto"/>
        <w:ind w:firstLine="482" w:firstLineChars="200"/>
        <w:jc w:val="both"/>
        <w:outlineLvl w:val="0"/>
        <w:rPr>
          <w:rFonts w:ascii="Arial Narrow" w:hAnsi="Arial Narrow" w:eastAsia="仿宋_GB2312"/>
          <w:b/>
          <w:bCs/>
          <w:sz w:val="24"/>
          <w:szCs w:val="24"/>
          <w:lang w:eastAsia="zh-CN"/>
        </w:rPr>
      </w:pPr>
      <w:r>
        <w:rPr>
          <w:rFonts w:hint="eastAsia" w:ascii="Arial Narrow" w:hAnsi="Arial Narrow" w:eastAsia="仿宋_GB2312"/>
          <w:b/>
          <w:bCs/>
          <w:sz w:val="24"/>
          <w:szCs w:val="24"/>
          <w:lang w:eastAsia="zh-CN"/>
        </w:rPr>
        <w:t>四、其他信息</w:t>
      </w:r>
    </w:p>
    <w:p w14:paraId="442E4EC5">
      <w:pPr>
        <w:spacing w:before="120" w:beforeLines="50" w:line="300" w:lineRule="auto"/>
        <w:ind w:firstLine="482" w:firstLineChars="200"/>
        <w:jc w:val="both"/>
        <w:rPr>
          <w:rFonts w:ascii="Arial Narrow" w:hAnsi="Arial Narrow" w:eastAsia="仿宋_GB2312"/>
          <w:b/>
          <w:bCs/>
          <w:color w:val="0000FF"/>
          <w:sz w:val="24"/>
          <w:szCs w:val="24"/>
          <w:lang w:eastAsia="zh-CN"/>
        </w:rPr>
      </w:pPr>
      <w:r>
        <w:rPr>
          <w:rFonts w:hint="eastAsia" w:ascii="Arial Narrow" w:hAnsi="Arial Narrow" w:eastAsia="仿宋_GB2312"/>
          <w:b/>
          <w:bCs/>
          <w:color w:val="0000FF"/>
          <w:sz w:val="24"/>
          <w:szCs w:val="24"/>
          <w:lang w:eastAsia="zh-CN"/>
        </w:rPr>
        <w:t>【不适用的情形：</w:t>
      </w:r>
      <w:r>
        <w:rPr>
          <w:rFonts w:hint="eastAsia" w:ascii="Arial Narrow" w:hAnsi="Arial Narrow" w:eastAsia="仿宋_GB2312"/>
          <w:bCs/>
          <w:color w:val="0000FF"/>
          <w:sz w:val="24"/>
          <w:szCs w:val="24"/>
          <w:lang w:eastAsia="zh-CN"/>
        </w:rPr>
        <w:t>IPO申报财务报表审计时及拟在新三板挂牌申请的财务报表审计时，其他信息范围不包括证券发行文件（招股说明书等）</w:t>
      </w:r>
      <w:r>
        <w:rPr>
          <w:rFonts w:hint="eastAsia" w:ascii="Arial Narrow" w:hAnsi="Arial Narrow" w:eastAsia="仿宋_GB2312"/>
          <w:b/>
          <w:bCs/>
          <w:color w:val="0000FF"/>
          <w:sz w:val="24"/>
          <w:szCs w:val="24"/>
          <w:lang w:eastAsia="zh-CN"/>
        </w:rPr>
        <w:t>】</w:t>
      </w:r>
    </w:p>
    <w:p w14:paraId="58C96F3A">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公司管理层（以下简称管理层）对其他信息负责。其他信息包括</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w:t>
      </w:r>
      <w:r>
        <w:rPr>
          <w:rFonts w:ascii="Arial Narrow" w:hAnsi="Arial Narrow" w:eastAsia="仿宋_GB2312"/>
          <w:color w:val="FF0000"/>
          <w:spacing w:val="4"/>
          <w:sz w:val="24"/>
          <w:szCs w:val="24"/>
          <w:lang w:eastAsia="zh-CN"/>
        </w:rPr>
        <w:t>2025</w:t>
      </w:r>
      <w:r>
        <w:rPr>
          <w:rFonts w:hint="eastAsia" w:ascii="Arial Narrow" w:hAnsi="Arial Narrow" w:eastAsia="仿宋_GB2312"/>
          <w:color w:val="FF0000"/>
          <w:spacing w:val="4"/>
          <w:sz w:val="24"/>
          <w:szCs w:val="24"/>
          <w:lang w:eastAsia="zh-CN"/>
        </w:rPr>
        <w:t>年年度报告</w:t>
      </w:r>
      <w:r>
        <w:rPr>
          <w:rFonts w:hint="eastAsia" w:ascii="Arial Narrow" w:hAnsi="Arial Narrow" w:eastAsia="仿宋_GB2312"/>
          <w:spacing w:val="4"/>
          <w:sz w:val="24"/>
          <w:szCs w:val="24"/>
          <w:lang w:eastAsia="zh-CN"/>
        </w:rPr>
        <w:t>中涵盖的信息，但不包括财务报表和我们的审计报告。</w:t>
      </w:r>
    </w:p>
    <w:p w14:paraId="2454142A">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我们对财务报表发表的审计意见不涵盖其他信息，我们也不对其他信息发表任何形式的鉴证结论。</w:t>
      </w:r>
    </w:p>
    <w:p w14:paraId="0585C30D">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结合我们对财务报表的审计，我们的责任是阅读其他信息，在此过程中，考虑其他信息是否与财务报表或我们在审计过程中了解到的情况存在重大不一致或者似乎存在重大错报。</w:t>
      </w:r>
    </w:p>
    <w:p w14:paraId="63E40EF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基于我们已执行的工作，如果我们确定其他信息存在重大错报，我们应当报告该事实。在这方面，我们无任何事项需要报告。</w:t>
      </w:r>
    </w:p>
    <w:p w14:paraId="0BB23929">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五、管理层和治理层对财务报表的责任</w:t>
      </w:r>
    </w:p>
    <w:p w14:paraId="6B0CB2D5">
      <w:pPr>
        <w:spacing w:before="120" w:beforeLines="50" w:line="30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公司管理层负责按照企业会计准则的规定编制财务报表，使其实现公允反映，并设计、执行和维护必要的内部控制，以使财务报表不存在由于舞弊或错误导致的重大错报。</w:t>
      </w:r>
    </w:p>
    <w:p w14:paraId="16EE0791">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在编制财务报表时，管理层负责评估</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公司的持续经营能力，披露与持续经营相关的事项（如适用），并运用持续经营假设，除非管理层计划清算</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公司、终止运营或别无其他现实的选择。</w:t>
      </w:r>
    </w:p>
    <w:p w14:paraId="738814BC">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治理层负责监督</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公司的财务报告过程。</w:t>
      </w:r>
    </w:p>
    <w:p w14:paraId="0D26F8D5">
      <w:pPr>
        <w:spacing w:before="120" w:beforeLines="50" w:after="120" w:afterLines="50" w:line="30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六、注册会计师对财务报表审计的责任</w:t>
      </w:r>
    </w:p>
    <w:p w14:paraId="6AC09BE3">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41A4C679">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在按照审计准则执行审计工作的过程中，我们运用职业判断，并保持职业怀疑。同时，我们也执行以下工作：</w:t>
      </w:r>
    </w:p>
    <w:p w14:paraId="02F51051">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3AEEA92C">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（2）了解与审计相关的内部控制，以设计恰当的审计程序</w:t>
      </w:r>
      <w:r>
        <w:rPr>
          <w:rFonts w:hint="eastAsia" w:ascii="Arial Narrow" w:hAnsi="Arial Narrow" w:eastAsia="仿宋_GB2312"/>
          <w:color w:val="FF0000"/>
          <w:spacing w:val="4"/>
          <w:sz w:val="24"/>
          <w:szCs w:val="24"/>
          <w:lang w:eastAsia="zh-CN"/>
        </w:rPr>
        <w:t>，但目的并非对内部控制的有效性发表意见</w:t>
      </w:r>
      <w:r>
        <w:rPr>
          <w:rFonts w:hint="eastAsia" w:ascii="Arial Narrow" w:hAnsi="Arial Narrow" w:eastAsia="仿宋_GB2312"/>
          <w:spacing w:val="4"/>
          <w:sz w:val="24"/>
          <w:szCs w:val="24"/>
          <w:lang w:eastAsia="zh-CN"/>
        </w:rPr>
        <w:t>。</w:t>
      </w:r>
      <w:r>
        <w:rPr>
          <w:rFonts w:hint="eastAsia" w:ascii="Arial Narrow" w:hAnsi="Arial Narrow" w:eastAsia="仿宋_GB2312"/>
          <w:color w:val="0000FF"/>
          <w:spacing w:val="4"/>
          <w:sz w:val="24"/>
          <w:szCs w:val="24"/>
          <w:lang w:eastAsia="zh-CN"/>
        </w:rPr>
        <w:t>【如果注册会计师结合财务报表审计对内部控制的有效性发表审计意见，应当删除“但目的并非对内部控制的有效性发表意见”的措辞。】</w:t>
      </w:r>
    </w:p>
    <w:p w14:paraId="528D160A">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（3）评价管理层选用会计政策的恰当性和作出会计估计及相关披露的合理性。</w:t>
      </w:r>
    </w:p>
    <w:p w14:paraId="1958E748">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（4）对管理层使用持续经营假设的恰当性得出结论。同时，根据获取的审计证据，就可能导致对</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公司不能持续经营。</w:t>
      </w:r>
    </w:p>
    <w:p w14:paraId="10B07361">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（5）评价财务报表的总体列报、结构和内容，并评价财务报表是否公允反映相关交易和事项。</w:t>
      </w:r>
    </w:p>
    <w:p w14:paraId="760889E6">
      <w:pPr>
        <w:spacing w:before="120" w:beforeLines="50" w:line="300" w:lineRule="auto"/>
        <w:ind w:firstLine="496" w:firstLineChars="200"/>
        <w:jc w:val="both"/>
        <w:rPr>
          <w:rFonts w:ascii="Arial Narrow" w:hAnsi="Arial Narrow" w:eastAsia="仿宋_GB2312"/>
          <w:color w:val="0000FF"/>
          <w:spacing w:val="4"/>
          <w:sz w:val="24"/>
          <w:szCs w:val="24"/>
          <w:lang w:eastAsia="zh-CN"/>
        </w:rPr>
      </w:pPr>
      <w:r>
        <w:rPr>
          <w:rFonts w:hint="eastAsia" w:ascii="Arial Narrow" w:hAnsi="Arial Narrow" w:eastAsia="仿宋_GB2312"/>
          <w:spacing w:val="4"/>
          <w:sz w:val="24"/>
          <w:szCs w:val="24"/>
          <w:lang w:eastAsia="zh-CN"/>
        </w:rPr>
        <w:t>（6）就</w:t>
      </w:r>
      <w:r>
        <w:rPr>
          <w:rFonts w:ascii="Arial Narrow" w:hAnsi="Arial Narrow" w:eastAsia="仿宋_GB2312"/>
          <w:color w:val="FF0000"/>
          <w:spacing w:val="4"/>
          <w:sz w:val="24"/>
          <w:szCs w:val="24"/>
          <w:lang w:eastAsia="zh-CN"/>
        </w:rPr>
        <w:t>ABC</w:t>
      </w:r>
      <w:r>
        <w:rPr>
          <w:rFonts w:hint="eastAsia" w:ascii="Arial Narrow" w:hAnsi="Arial Narrow" w:eastAsia="仿宋_GB2312"/>
          <w:spacing w:val="4"/>
          <w:sz w:val="24"/>
          <w:szCs w:val="24"/>
          <w:lang w:eastAsia="zh-CN"/>
        </w:rPr>
        <w:t>公司中实体或业务活动的财务信息获取充分、适当的审计证据，以对财务报表发表意见。我们负责指导、监督和执行集团审计，并对审计意见承担全部责任。</w:t>
      </w:r>
      <w:r>
        <w:rPr>
          <w:rFonts w:hint="eastAsia" w:ascii="Arial Narrow" w:hAnsi="Arial Narrow" w:eastAsia="仿宋_GB2312"/>
          <w:color w:val="0000FF"/>
          <w:spacing w:val="4"/>
          <w:sz w:val="24"/>
          <w:szCs w:val="24"/>
          <w:lang w:eastAsia="zh-CN"/>
        </w:rPr>
        <w:t>【如果不是集团审计，例如</w:t>
      </w:r>
      <w:r>
        <w:rPr>
          <w:rFonts w:ascii="Arial Narrow" w:hAnsi="Arial Narrow" w:eastAsia="仿宋_GB2312"/>
          <w:color w:val="0000FF"/>
          <w:spacing w:val="4"/>
          <w:sz w:val="24"/>
          <w:szCs w:val="24"/>
          <w:lang w:eastAsia="zh-CN"/>
        </w:rPr>
        <w:t>被审计</w:t>
      </w:r>
      <w:r>
        <w:rPr>
          <w:rFonts w:hint="eastAsia" w:ascii="Arial Narrow" w:hAnsi="Arial Narrow" w:eastAsia="仿宋_GB2312"/>
          <w:color w:val="0000FF"/>
          <w:spacing w:val="4"/>
          <w:sz w:val="24"/>
          <w:szCs w:val="24"/>
          <w:lang w:eastAsia="zh-CN"/>
        </w:rPr>
        <w:t>单位</w:t>
      </w:r>
      <w:r>
        <w:rPr>
          <w:rFonts w:ascii="Arial Narrow" w:hAnsi="Arial Narrow" w:eastAsia="仿宋_GB2312"/>
          <w:color w:val="0000FF"/>
          <w:spacing w:val="4"/>
          <w:sz w:val="24"/>
          <w:szCs w:val="24"/>
          <w:lang w:eastAsia="zh-CN"/>
        </w:rPr>
        <w:t>是单一公司</w:t>
      </w:r>
      <w:r>
        <w:rPr>
          <w:rFonts w:hint="eastAsia" w:ascii="Arial Narrow" w:hAnsi="Arial Narrow" w:eastAsia="仿宋_GB2312"/>
          <w:color w:val="0000FF"/>
          <w:spacing w:val="4"/>
          <w:sz w:val="24"/>
          <w:szCs w:val="24"/>
          <w:lang w:eastAsia="zh-CN"/>
        </w:rPr>
        <w:t>且无重大对外投资，</w:t>
      </w:r>
      <w:r>
        <w:rPr>
          <w:rFonts w:ascii="Arial Narrow" w:hAnsi="Arial Narrow" w:eastAsia="仿宋_GB2312"/>
          <w:color w:val="0000FF"/>
          <w:spacing w:val="4"/>
          <w:sz w:val="24"/>
          <w:szCs w:val="24"/>
          <w:lang w:eastAsia="zh-CN"/>
        </w:rPr>
        <w:t>则删除本段</w:t>
      </w:r>
      <w:r>
        <w:rPr>
          <w:rFonts w:hint="eastAsia" w:ascii="Arial Narrow" w:hAnsi="Arial Narrow" w:eastAsia="仿宋_GB2312"/>
          <w:color w:val="0000FF"/>
          <w:spacing w:val="4"/>
          <w:sz w:val="24"/>
          <w:szCs w:val="24"/>
          <w:lang w:eastAsia="zh-CN"/>
        </w:rPr>
        <w:t>。】</w:t>
      </w:r>
    </w:p>
    <w:p w14:paraId="04D22314">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我们与治理层就计划的审计范围、时间安排和重大审计发现等事项进行沟通，包括沟通我们在审计中识别出的值得关注的内部控制缺陷。</w:t>
      </w:r>
    </w:p>
    <w:p w14:paraId="70A2FA26">
      <w:pPr>
        <w:spacing w:before="120" w:beforeLines="50" w:line="300" w:lineRule="auto"/>
        <w:ind w:firstLine="496" w:firstLineChars="200"/>
        <w:jc w:val="both"/>
        <w:rPr>
          <w:rFonts w:ascii="Arial Narrow" w:hAnsi="Arial Narrow" w:eastAsia="仿宋_GB2312"/>
          <w:spacing w:val="4"/>
          <w:sz w:val="24"/>
          <w:szCs w:val="24"/>
          <w:lang w:eastAsia="zh-CN"/>
        </w:rPr>
      </w:pPr>
    </w:p>
    <w:p w14:paraId="5FCB8401">
      <w:pPr>
        <w:spacing w:before="120" w:beforeLines="50" w:line="300" w:lineRule="auto"/>
        <w:ind w:firstLine="496" w:firstLineChars="200"/>
        <w:jc w:val="both"/>
        <w:rPr>
          <w:rFonts w:ascii="Arial Narrow" w:hAnsi="Arial Narrow" w:eastAsia="仿宋_GB2312"/>
          <w:spacing w:val="4"/>
          <w:sz w:val="24"/>
          <w:szCs w:val="24"/>
          <w:lang w:eastAsia="zh-CN"/>
        </w:rPr>
      </w:pPr>
    </w:p>
    <w:p w14:paraId="2A287C72">
      <w:pPr>
        <w:spacing w:before="120" w:beforeLines="50" w:line="300" w:lineRule="auto"/>
        <w:ind w:firstLine="496" w:firstLineChars="200"/>
        <w:jc w:val="both"/>
        <w:rPr>
          <w:rFonts w:ascii="Arial Narrow" w:hAnsi="Arial Narrow" w:eastAsia="仿宋_GB2312"/>
          <w:spacing w:val="4"/>
          <w:sz w:val="24"/>
          <w:szCs w:val="24"/>
          <w:lang w:eastAsia="zh-CN"/>
        </w:rPr>
      </w:pPr>
    </w:p>
    <w:p w14:paraId="18D7A3A2">
      <w:pPr>
        <w:spacing w:before="120" w:beforeLines="50" w:line="300" w:lineRule="auto"/>
        <w:ind w:firstLine="496" w:firstLineChars="200"/>
        <w:jc w:val="both"/>
        <w:rPr>
          <w:rFonts w:ascii="Arial Narrow" w:hAnsi="Arial Narrow" w:eastAsia="仿宋_GB2312"/>
          <w:spacing w:val="4"/>
          <w:sz w:val="24"/>
          <w:szCs w:val="24"/>
          <w:lang w:eastAsia="zh-CN"/>
        </w:rPr>
      </w:pPr>
    </w:p>
    <w:p w14:paraId="4A777B90">
      <w:pPr>
        <w:spacing w:before="120" w:beforeLines="50" w:line="300" w:lineRule="auto"/>
        <w:ind w:firstLine="496" w:firstLineChars="200"/>
        <w:jc w:val="both"/>
        <w:rPr>
          <w:rFonts w:ascii="Arial Narrow" w:hAnsi="Arial Narrow" w:eastAsia="仿宋_GB2312"/>
          <w:spacing w:val="4"/>
          <w:sz w:val="24"/>
          <w:szCs w:val="24"/>
          <w:lang w:eastAsia="zh-CN"/>
        </w:rPr>
      </w:pPr>
    </w:p>
    <w:p w14:paraId="269896F9">
      <w:pPr>
        <w:spacing w:before="120" w:beforeLines="50" w:line="300" w:lineRule="auto"/>
        <w:ind w:firstLine="496" w:firstLineChars="200"/>
        <w:jc w:val="both"/>
        <w:rPr>
          <w:rFonts w:ascii="Arial Narrow" w:hAnsi="Arial Narrow" w:eastAsia="仿宋_GB2312"/>
          <w:spacing w:val="4"/>
          <w:sz w:val="24"/>
          <w:szCs w:val="24"/>
          <w:lang w:eastAsia="zh-CN"/>
        </w:rPr>
      </w:pPr>
    </w:p>
    <w:p w14:paraId="77A852AA">
      <w:pPr>
        <w:spacing w:before="120" w:beforeLines="50" w:line="300" w:lineRule="auto"/>
        <w:ind w:firstLine="496" w:firstLineChars="200"/>
        <w:jc w:val="both"/>
        <w:rPr>
          <w:rFonts w:ascii="Arial Narrow" w:hAnsi="Arial Narrow" w:eastAsia="仿宋_GB2312"/>
          <w:spacing w:val="4"/>
          <w:sz w:val="24"/>
          <w:szCs w:val="24"/>
          <w:lang w:eastAsia="zh-CN"/>
        </w:rPr>
      </w:pPr>
    </w:p>
    <w:p w14:paraId="3E5F367F">
      <w:pPr>
        <w:spacing w:before="120" w:beforeLines="50" w:line="300" w:lineRule="auto"/>
        <w:ind w:firstLine="496" w:firstLineChars="200"/>
        <w:jc w:val="both"/>
        <w:rPr>
          <w:rFonts w:ascii="Arial Narrow" w:hAnsi="Arial Narrow" w:eastAsia="仿宋_GB2312"/>
          <w:spacing w:val="4"/>
          <w:sz w:val="24"/>
          <w:szCs w:val="24"/>
          <w:lang w:eastAsia="zh-CN"/>
        </w:rPr>
      </w:pPr>
    </w:p>
    <w:p w14:paraId="269317D3">
      <w:pPr>
        <w:spacing w:before="120" w:beforeLines="50" w:line="300" w:lineRule="auto"/>
        <w:ind w:firstLine="496" w:firstLineChars="200"/>
        <w:jc w:val="both"/>
        <w:rPr>
          <w:rFonts w:ascii="Arial Narrow" w:hAnsi="Arial Narrow" w:eastAsia="仿宋_GB2312"/>
          <w:spacing w:val="4"/>
          <w:sz w:val="24"/>
          <w:szCs w:val="24"/>
          <w:lang w:eastAsia="zh-CN"/>
        </w:rPr>
      </w:pPr>
    </w:p>
    <w:p w14:paraId="419546EB">
      <w:pPr>
        <w:spacing w:before="120" w:beforeLines="50" w:line="300" w:lineRule="auto"/>
        <w:ind w:firstLine="496" w:firstLineChars="200"/>
        <w:jc w:val="both"/>
        <w:rPr>
          <w:rFonts w:ascii="Arial Narrow" w:hAnsi="Arial Narrow" w:eastAsia="仿宋_GB2312"/>
          <w:spacing w:val="4"/>
          <w:sz w:val="24"/>
          <w:szCs w:val="24"/>
          <w:lang w:eastAsia="zh-CN"/>
        </w:rPr>
      </w:pPr>
    </w:p>
    <w:p w14:paraId="631FA100">
      <w:pPr>
        <w:spacing w:before="120" w:beforeLines="50" w:line="300" w:lineRule="auto"/>
        <w:ind w:firstLine="496" w:firstLineChars="200"/>
        <w:jc w:val="both"/>
        <w:rPr>
          <w:rFonts w:ascii="Arial Narrow" w:hAnsi="Arial Narrow" w:eastAsia="仿宋_GB2312"/>
          <w:spacing w:val="4"/>
          <w:sz w:val="24"/>
          <w:szCs w:val="24"/>
          <w:lang w:eastAsia="zh-CN"/>
        </w:rPr>
      </w:pPr>
    </w:p>
    <w:p w14:paraId="4F65C50B">
      <w:pPr>
        <w:spacing w:before="120" w:beforeLines="50" w:line="300" w:lineRule="auto"/>
        <w:ind w:firstLine="496" w:firstLineChars="200"/>
        <w:jc w:val="both"/>
        <w:rPr>
          <w:rFonts w:ascii="Arial Narrow" w:hAnsi="Arial Narrow" w:eastAsia="仿宋_GB2312"/>
          <w:spacing w:val="4"/>
          <w:sz w:val="24"/>
          <w:szCs w:val="24"/>
          <w:lang w:eastAsia="zh-CN"/>
        </w:rPr>
      </w:pPr>
    </w:p>
    <w:p w14:paraId="7F594100">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06392248">
      <w:pPr>
        <w:spacing w:before="120" w:beforeLines="50" w:line="30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48E93518">
      <w:pPr>
        <w:spacing w:before="120" w:beforeLines="50" w:line="300" w:lineRule="auto"/>
        <w:ind w:firstLine="496" w:firstLineChars="200"/>
        <w:jc w:val="both"/>
        <w:rPr>
          <w:rFonts w:ascii="Arial Narrow" w:hAnsi="Arial Narrow" w:eastAsia="仿宋_GB2312"/>
          <w:spacing w:val="4"/>
          <w:sz w:val="24"/>
          <w:szCs w:val="24"/>
          <w:lang w:eastAsia="zh-CN"/>
        </w:rPr>
      </w:pPr>
    </w:p>
    <w:p w14:paraId="1DF7EB03">
      <w:pPr>
        <w:spacing w:before="120" w:beforeLines="50" w:line="300" w:lineRule="auto"/>
        <w:ind w:firstLine="480" w:firstLineChars="200"/>
        <w:jc w:val="both"/>
        <w:rPr>
          <w:rFonts w:ascii="Arial Narrow" w:hAnsi="Arial Narrow" w:eastAsia="仿宋_GB2312"/>
          <w:color w:val="0000FF"/>
          <w:sz w:val="24"/>
          <w:szCs w:val="24"/>
          <w:lang w:eastAsia="zh-CN"/>
        </w:rPr>
      </w:pPr>
    </w:p>
    <w:p w14:paraId="7215FF21">
      <w:pPr>
        <w:spacing w:before="120" w:beforeLines="50" w:line="300" w:lineRule="auto"/>
        <w:ind w:firstLine="480" w:firstLineChars="200"/>
        <w:jc w:val="both"/>
        <w:rPr>
          <w:rFonts w:ascii="Arial Narrow" w:hAnsi="Arial Narrow" w:eastAsia="仿宋_GB2312"/>
          <w:color w:val="0000FF"/>
          <w:sz w:val="24"/>
          <w:szCs w:val="24"/>
          <w:lang w:eastAsia="zh-CN"/>
        </w:rPr>
      </w:pPr>
    </w:p>
    <w:tbl>
      <w:tblPr>
        <w:tblStyle w:val="14"/>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14:paraId="4E650B10">
        <w:tblPrEx>
          <w:tblCellMar>
            <w:top w:w="0" w:type="dxa"/>
            <w:left w:w="108" w:type="dxa"/>
            <w:bottom w:w="0" w:type="dxa"/>
            <w:right w:w="108" w:type="dxa"/>
          </w:tblCellMar>
        </w:tblPrEx>
        <w:trPr>
          <w:trHeight w:val="1305" w:hRule="atLeast"/>
        </w:trPr>
        <w:tc>
          <w:tcPr>
            <w:tcW w:w="3108" w:type="dxa"/>
          </w:tcPr>
          <w:p w14:paraId="39DD45FE">
            <w:pPr>
              <w:spacing w:line="340" w:lineRule="atLeast"/>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致同会计师事务所</w:t>
            </w:r>
          </w:p>
          <w:p w14:paraId="29D62BA7">
            <w:pPr>
              <w:spacing w:line="340" w:lineRule="atLeast"/>
              <w:rPr>
                <w:rFonts w:ascii="Arial Narrow" w:hAnsi="Arial Narrow" w:eastAsia="仿宋_GB2312"/>
                <w:snapToGrid w:val="0"/>
                <w:sz w:val="24"/>
                <w:szCs w:val="24"/>
                <w:lang w:eastAsia="zh-CN"/>
              </w:rPr>
            </w:pPr>
            <w:r>
              <w:rPr>
                <w:rFonts w:hint="eastAsia" w:ascii="Arial Narrow" w:hAnsi="Arial Narrow" w:eastAsia="仿宋_GB2312"/>
                <w:spacing w:val="4"/>
                <w:sz w:val="24"/>
                <w:szCs w:val="24"/>
                <w:lang w:eastAsia="zh-CN"/>
              </w:rPr>
              <w:t>（特殊普通合伙）</w:t>
            </w:r>
          </w:p>
          <w:p w14:paraId="3BACA06F">
            <w:pPr>
              <w:spacing w:line="340" w:lineRule="atLeast"/>
              <w:rPr>
                <w:rFonts w:ascii="Arial Narrow" w:hAnsi="Arial Narrow" w:eastAsia="仿宋_GB2312"/>
                <w:snapToGrid w:val="0"/>
                <w:color w:val="FF0000"/>
                <w:sz w:val="24"/>
                <w:szCs w:val="24"/>
                <w:highlight w:val="cyan"/>
                <w:lang w:val="en-AU" w:eastAsia="zh-CN"/>
              </w:rPr>
            </w:pPr>
          </w:p>
          <w:p w14:paraId="2A2E42F5">
            <w:pPr>
              <w:spacing w:line="340" w:lineRule="atLeast"/>
              <w:rPr>
                <w:rFonts w:ascii="Arial Narrow" w:hAnsi="Arial Narrow" w:eastAsia="仿宋_GB2312"/>
                <w:snapToGrid w:val="0"/>
                <w:color w:val="FF0000"/>
                <w:sz w:val="24"/>
                <w:szCs w:val="24"/>
                <w:highlight w:val="cyan"/>
                <w:lang w:eastAsia="zh-CN"/>
              </w:rPr>
            </w:pPr>
          </w:p>
        </w:tc>
        <w:tc>
          <w:tcPr>
            <w:tcW w:w="3237" w:type="dxa"/>
          </w:tcPr>
          <w:p w14:paraId="76C12E5C">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64146249">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（项目合伙人）</w:t>
            </w:r>
          </w:p>
          <w:p w14:paraId="6BB9EF87">
            <w:pPr>
              <w:spacing w:line="340" w:lineRule="atLeast"/>
              <w:jc w:val="right"/>
              <w:rPr>
                <w:rFonts w:ascii="Arial Narrow" w:hAnsi="Arial Narrow" w:eastAsia="仿宋_GB2312"/>
                <w:snapToGrid w:val="0"/>
                <w:sz w:val="24"/>
                <w:szCs w:val="24"/>
                <w:lang w:eastAsia="zh-CN"/>
              </w:rPr>
            </w:pPr>
          </w:p>
          <w:p w14:paraId="7CC77AEA">
            <w:pPr>
              <w:spacing w:line="340" w:lineRule="atLeast"/>
              <w:jc w:val="right"/>
              <w:rPr>
                <w:rFonts w:ascii="Arial Narrow" w:hAnsi="Arial Narrow" w:eastAsia="仿宋_GB2312"/>
                <w:snapToGrid w:val="0"/>
                <w:sz w:val="24"/>
                <w:szCs w:val="24"/>
                <w:lang w:val="en-AU" w:eastAsia="zh-CN"/>
              </w:rPr>
            </w:pPr>
          </w:p>
          <w:p w14:paraId="171E508C">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snapToGrid w:val="0"/>
                <w:sz w:val="24"/>
                <w:szCs w:val="24"/>
                <w:lang w:eastAsia="zh-CN"/>
              </w:rPr>
              <w:t>中国注册会计师</w:t>
            </w:r>
          </w:p>
          <w:p w14:paraId="2A0CCA9F">
            <w:pPr>
              <w:spacing w:line="340" w:lineRule="atLeast"/>
              <w:jc w:val="right"/>
              <w:rPr>
                <w:rFonts w:ascii="Arial Narrow" w:hAnsi="Arial Narrow" w:eastAsia="仿宋_GB2312"/>
                <w:snapToGrid w:val="0"/>
                <w:color w:val="0000FF"/>
                <w:sz w:val="24"/>
                <w:szCs w:val="24"/>
                <w:lang w:eastAsia="zh-CN"/>
              </w:rPr>
            </w:pPr>
          </w:p>
          <w:p w14:paraId="54F85B03">
            <w:pPr>
              <w:spacing w:line="340" w:lineRule="atLeast"/>
              <w:jc w:val="right"/>
              <w:rPr>
                <w:rFonts w:ascii="Arial Narrow" w:hAnsi="Arial Narrow" w:eastAsia="仿宋_GB2312"/>
                <w:snapToGrid w:val="0"/>
                <w:color w:val="0000FF"/>
                <w:sz w:val="24"/>
                <w:szCs w:val="24"/>
                <w:lang w:eastAsia="zh-CN"/>
              </w:rPr>
            </w:pPr>
          </w:p>
          <w:p w14:paraId="38E42A3A">
            <w:pPr>
              <w:spacing w:line="340" w:lineRule="atLeast"/>
              <w:jc w:val="right"/>
              <w:rPr>
                <w:rFonts w:ascii="Arial Narrow" w:hAnsi="Arial Narrow" w:eastAsia="仿宋_GB2312"/>
                <w:snapToGrid w:val="0"/>
                <w:color w:val="0000FF"/>
                <w:sz w:val="24"/>
                <w:szCs w:val="24"/>
                <w:lang w:eastAsia="zh-CN"/>
              </w:rPr>
            </w:pPr>
          </w:p>
        </w:tc>
        <w:tc>
          <w:tcPr>
            <w:tcW w:w="2204" w:type="dxa"/>
          </w:tcPr>
          <w:p w14:paraId="7F1389A8">
            <w:pPr>
              <w:spacing w:line="340" w:lineRule="atLeast"/>
              <w:rPr>
                <w:rFonts w:ascii="Arial Narrow" w:hAnsi="Arial Narrow" w:eastAsia="仿宋_GB2312"/>
                <w:snapToGrid w:val="0"/>
                <w:color w:val="FF0000"/>
                <w:sz w:val="24"/>
                <w:szCs w:val="24"/>
                <w:lang w:eastAsia="zh-CN"/>
              </w:rPr>
            </w:pPr>
          </w:p>
          <w:p w14:paraId="01537B47">
            <w:pPr>
              <w:spacing w:line="200" w:lineRule="atLeast"/>
              <w:rPr>
                <w:rFonts w:ascii="Arial Narrow" w:hAnsi="Arial Narrow" w:eastAsia="仿宋_GB2312"/>
                <w:snapToGrid w:val="0"/>
                <w:sz w:val="24"/>
                <w:szCs w:val="24"/>
                <w:lang w:eastAsia="zh-CN"/>
              </w:rPr>
            </w:pPr>
          </w:p>
          <w:p w14:paraId="65B306AF">
            <w:pPr>
              <w:spacing w:line="200" w:lineRule="atLeast"/>
              <w:rPr>
                <w:rFonts w:ascii="Arial Narrow" w:hAnsi="Arial Narrow" w:eastAsia="仿宋_GB2312"/>
                <w:snapToGrid w:val="0"/>
                <w:sz w:val="24"/>
                <w:szCs w:val="24"/>
                <w:lang w:eastAsia="zh-CN"/>
              </w:rPr>
            </w:pPr>
          </w:p>
          <w:p w14:paraId="1EE04EED">
            <w:pPr>
              <w:spacing w:line="200" w:lineRule="atLeast"/>
              <w:rPr>
                <w:rFonts w:ascii="Arial Narrow" w:hAnsi="Arial Narrow" w:eastAsia="仿宋_GB2312"/>
                <w:snapToGrid w:val="0"/>
                <w:sz w:val="24"/>
                <w:szCs w:val="24"/>
                <w:lang w:eastAsia="zh-CN"/>
              </w:rPr>
            </w:pPr>
          </w:p>
          <w:p w14:paraId="77F39670">
            <w:pPr>
              <w:spacing w:line="200" w:lineRule="atLeast"/>
              <w:rPr>
                <w:rFonts w:ascii="Arial Narrow" w:hAnsi="Arial Narrow" w:eastAsia="仿宋_GB2312"/>
                <w:snapToGrid w:val="0"/>
                <w:color w:val="FF0000"/>
                <w:sz w:val="24"/>
                <w:szCs w:val="24"/>
                <w:lang w:eastAsia="zh-CN"/>
              </w:rPr>
            </w:pPr>
          </w:p>
        </w:tc>
      </w:tr>
      <w:tr w14:paraId="659BB751">
        <w:tblPrEx>
          <w:tblCellMar>
            <w:top w:w="0" w:type="dxa"/>
            <w:left w:w="108" w:type="dxa"/>
            <w:bottom w:w="0" w:type="dxa"/>
            <w:right w:w="108" w:type="dxa"/>
          </w:tblCellMar>
        </w:tblPrEx>
        <w:trPr>
          <w:trHeight w:val="507" w:hRule="atLeast"/>
        </w:trPr>
        <w:tc>
          <w:tcPr>
            <w:tcW w:w="3108" w:type="dxa"/>
          </w:tcPr>
          <w:p w14:paraId="610AD5E5">
            <w:pPr>
              <w:spacing w:line="340" w:lineRule="atLeast"/>
              <w:rPr>
                <w:rFonts w:ascii="Arial Narrow" w:hAnsi="Arial Narrow" w:eastAsia="仿宋_GB2312"/>
                <w:spacing w:val="4"/>
                <w:sz w:val="24"/>
                <w:szCs w:val="24"/>
                <w:lang w:eastAsia="zh-CN"/>
              </w:rPr>
            </w:pPr>
            <w:r>
              <w:rPr>
                <w:rFonts w:hint="eastAsia" w:ascii="Arial Narrow" w:hAnsi="Arial Narrow" w:eastAsia="仿宋_GB2312"/>
                <w:snapToGrid w:val="0"/>
                <w:sz w:val="24"/>
                <w:szCs w:val="24"/>
                <w:lang w:eastAsia="zh-CN"/>
              </w:rPr>
              <w:t>中国</w:t>
            </w:r>
            <w:r>
              <w:rPr>
                <w:rFonts w:hint="eastAsia" w:ascii="Arial Narrow" w:hAnsi="Arial Narrow" w:eastAsia="仿宋_GB2312"/>
                <w:spacing w:val="4"/>
                <w:sz w:val="24"/>
                <w:szCs w:val="24"/>
                <w:lang w:eastAsia="zh-CN"/>
              </w:rPr>
              <w:t>·</w:t>
            </w:r>
            <w:r>
              <w:rPr>
                <w:rFonts w:hint="eastAsia" w:ascii="Arial Narrow" w:hAnsi="Arial Narrow" w:eastAsia="仿宋_GB2312"/>
                <w:snapToGrid w:val="0"/>
                <w:sz w:val="24"/>
                <w:szCs w:val="24"/>
                <w:lang w:eastAsia="zh-CN"/>
              </w:rPr>
              <w:t>北京</w:t>
            </w:r>
          </w:p>
        </w:tc>
        <w:tc>
          <w:tcPr>
            <w:tcW w:w="5441" w:type="dxa"/>
            <w:gridSpan w:val="2"/>
          </w:tcPr>
          <w:p w14:paraId="1614CC44">
            <w:pPr>
              <w:spacing w:line="340" w:lineRule="atLeast"/>
              <w:ind w:firstLine="1320" w:firstLineChars="550"/>
              <w:rPr>
                <w:rFonts w:ascii="Arial Narrow" w:hAnsi="Arial Narrow" w:eastAsia="仿宋_GB2312"/>
                <w:snapToGrid w:val="0"/>
                <w:color w:val="FF0000"/>
                <w:sz w:val="24"/>
                <w:szCs w:val="24"/>
                <w:lang w:eastAsia="zh-CN"/>
              </w:rPr>
            </w:pPr>
            <w:r>
              <w:rPr>
                <w:rFonts w:hint="eastAsia" w:ascii="Arial Narrow" w:hAnsi="Arial Narrow" w:eastAsia="仿宋_GB2312"/>
                <w:snapToGrid w:val="0"/>
                <w:color w:val="FF0000"/>
                <w:sz w:val="24"/>
                <w:szCs w:val="24"/>
                <w:lang w:eastAsia="zh-CN"/>
              </w:rPr>
              <w:t>二</w:t>
            </w:r>
            <w:r>
              <w:rPr>
                <w:rFonts w:hint="eastAsia" w:ascii="宋体" w:hAnsi="宋体" w:eastAsia="宋体" w:cs="微软雅黑"/>
                <w:snapToGrid w:val="0"/>
                <w:color w:val="FF0000"/>
                <w:sz w:val="24"/>
                <w:szCs w:val="24"/>
                <w:lang w:eastAsia="zh-CN"/>
              </w:rPr>
              <w:t>〇</w:t>
            </w:r>
            <w:r>
              <w:rPr>
                <w:rFonts w:hint="eastAsia" w:ascii="Arial Narrow" w:hAnsi="Arial Narrow" w:eastAsia="仿宋_GB2312"/>
                <w:snapToGrid w:val="0"/>
                <w:color w:val="FF0000"/>
                <w:sz w:val="24"/>
                <w:szCs w:val="24"/>
                <w:lang w:eastAsia="zh-CN"/>
              </w:rPr>
              <w:t>二六年X月XX日</w:t>
            </w:r>
          </w:p>
        </w:tc>
      </w:tr>
    </w:tbl>
    <w:p w14:paraId="4B497749">
      <w:pPr>
        <w:rPr>
          <w:rFonts w:ascii="Arial Narrow" w:hAnsi="Arial Narrow" w:eastAsia="仿宋_GB2312"/>
          <w:lang w:eastAsia="zh-CN"/>
        </w:rPr>
      </w:pPr>
    </w:p>
    <w:sectPr>
      <w:headerReference r:id="rId6" w:type="default"/>
      <w:footerReference r:id="rId7" w:type="default"/>
      <w:pgSz w:w="11907" w:h="16840"/>
      <w:pgMar w:top="2886" w:right="1803" w:bottom="1440" w:left="1985" w:header="851" w:footer="851"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Times New Roman"/>
    <w:panose1 w:val="02010601000101010101"/>
    <w:charset w:val="00"/>
    <w:family w:val="auto"/>
    <w:pitch w:val="default"/>
    <w:sig w:usb0="00000000" w:usb1="00000000" w:usb2="00000000" w:usb3="00000000" w:csb0="00000000" w:csb1="00000000"/>
  </w:font>
  <w:font w:name="Optimum">
    <w:altName w:val="Times New Roman"/>
    <w:panose1 w:val="00000000000000000000"/>
    <w:charset w:val="00"/>
    <w:family w:val="auto"/>
    <w:pitch w:val="default"/>
    <w:sig w:usb0="00000000" w:usb1="00000000" w:usb2="00000000" w:usb3="00000000" w:csb0="00000001" w:csb1="00000000"/>
  </w:font>
  <w:font w:name="Garamond">
    <w:altName w:val="PMingLiU-ExtB"/>
    <w:panose1 w:val="02020404030301010803"/>
    <w:charset w:val="00"/>
    <w:family w:val="roman"/>
    <w:pitch w:val="default"/>
    <w:sig w:usb0="00000000" w:usb1="00000000" w:usb2="00000000" w:usb3="00000000" w:csb0="0000009F" w:csb1="00000000"/>
  </w:font>
  <w:font w:name="Arial">
    <w:panose1 w:val="020B0604020202020204"/>
    <w:charset w:val="00"/>
    <w:family w:val="swiss"/>
    <w:pitch w:val="default"/>
    <w:sig w:usb0="E0002EFF" w:usb1="C000785B" w:usb2="00000009" w:usb3="00000000" w:csb0="400001FF" w:csb1="FFFF0000"/>
  </w:font>
  <w:font w:name="Univers">
    <w:altName w:val="Arial"/>
    <w:panose1 w:val="00000000000000000000"/>
    <w:charset w:val="00"/>
    <w:family w:val="swiss"/>
    <w:pitch w:val="default"/>
    <w:sig w:usb0="00000000" w:usb1="00000000" w:usb2="00000000" w:usb3="00000000" w:csb0="0000000F" w:csb1="00000000"/>
  </w:font>
  <w:font w:name="Arial Narrow">
    <w:panose1 w:val="00000000000000000000"/>
    <w:charset w:val="00"/>
    <w:family w:val="swiss"/>
    <w:pitch w:val="default"/>
    <w:sig w:usb0="00000000" w:usb1="00000000" w:usb2="00000000" w:usb3="00000000" w:csb0="00000000" w:csb1="00000000"/>
  </w:font>
  <w:font w:name="挀甀洀攀渀">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KSOF4F86F2D2">
    <w:panose1 w:val="02020500000000000000"/>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753A1">
    <w:pPr>
      <w:pStyle w:val="11"/>
      <w:jc w:val="center"/>
      <w:rPr>
        <w:rFonts w:ascii="Univers" w:hAnsi="Univers"/>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Narrow" w:hAnsi="Arial Narrow"/>
        <w:sz w:val="24"/>
      </w:rPr>
      <w:id w:val="1901481192"/>
    </w:sdtPr>
    <w:sdtEndPr>
      <w:rPr>
        <w:rFonts w:ascii="Arial Narrow" w:hAnsi="Arial Narrow"/>
        <w:sz w:val="24"/>
      </w:rPr>
    </w:sdtEndPr>
    <w:sdtContent>
      <w:p w14:paraId="64DDEB82">
        <w:pPr>
          <w:pStyle w:val="11"/>
          <w:jc w:val="center"/>
          <w:rPr>
            <w:rFonts w:ascii="Arial Narrow" w:hAnsi="Arial Narrow"/>
            <w:sz w:val="24"/>
          </w:rPr>
        </w:pPr>
        <w:r>
          <w:rPr>
            <w:rFonts w:ascii="Arial Narrow" w:hAnsi="Arial Narrow"/>
            <w:sz w:val="24"/>
          </w:rPr>
          <w:fldChar w:fldCharType="begin"/>
        </w:r>
        <w:r>
          <w:rPr>
            <w:rFonts w:ascii="Arial Narrow" w:hAnsi="Arial Narrow"/>
            <w:sz w:val="24"/>
          </w:rPr>
          <w:instrText xml:space="preserve">PAGE   \* MERGEFORMAT</w:instrText>
        </w:r>
        <w:r>
          <w:rPr>
            <w:rFonts w:ascii="Arial Narrow" w:hAnsi="Arial Narrow"/>
            <w:sz w:val="24"/>
          </w:rPr>
          <w:fldChar w:fldCharType="separate"/>
        </w:r>
        <w:r>
          <w:rPr>
            <w:rFonts w:ascii="Arial Narrow" w:hAnsi="Arial Narrow"/>
            <w:sz w:val="24"/>
            <w:lang w:val="zh-CN" w:eastAsia="zh-CN"/>
          </w:rPr>
          <w:t>3</w:t>
        </w:r>
        <w:r>
          <w:rPr>
            <w:rFonts w:ascii="Arial Narrow" w:hAnsi="Arial Narrow"/>
            <w:sz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3B039">
    <w:pPr>
      <w:pStyle w:val="12"/>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9754C">
    <w:pPr>
      <w:pStyle w:val="12"/>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EB5A0">
    <w:pPr>
      <w:pStyle w:val="12"/>
      <w:spacing w:line="480" w:lineRule="auto"/>
      <w:ind w:right="900"/>
      <w:jc w:val="both"/>
    </w:pPr>
    <w:r>
      <w:rPr>
        <w:lang w:eastAsia="zh-CN"/>
      </w:rPr>
      <w:drawing>
        <wp:anchor distT="0" distB="0" distL="114300" distR="114300" simplePos="0" relativeHeight="251660288" behindDoc="0" locked="0" layoutInCell="1" allowOverlap="1">
          <wp:simplePos x="0" y="0"/>
          <wp:positionH relativeFrom="column">
            <wp:posOffset>-212725</wp:posOffset>
          </wp:positionH>
          <wp:positionV relativeFrom="paragraph">
            <wp:posOffset>7620</wp:posOffset>
          </wp:positionV>
          <wp:extent cx="1843405" cy="629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43405" cy="6292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8"/>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NotDisplayPageBoundaries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00"/>
  <w:drawingGridVerticalSpacing w:val="271"/>
  <w:displayHorizontalDrawingGridEvery w:val="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ED9"/>
    <w:rsid w:val="00002B59"/>
    <w:rsid w:val="000055BE"/>
    <w:rsid w:val="00014F25"/>
    <w:rsid w:val="00020439"/>
    <w:rsid w:val="00024A0E"/>
    <w:rsid w:val="00024CF4"/>
    <w:rsid w:val="00026A99"/>
    <w:rsid w:val="00030F4E"/>
    <w:rsid w:val="00031AA6"/>
    <w:rsid w:val="000449DB"/>
    <w:rsid w:val="00046435"/>
    <w:rsid w:val="00046DC8"/>
    <w:rsid w:val="000505EE"/>
    <w:rsid w:val="000549F8"/>
    <w:rsid w:val="00057697"/>
    <w:rsid w:val="000778DA"/>
    <w:rsid w:val="000805EE"/>
    <w:rsid w:val="00091127"/>
    <w:rsid w:val="00091ADD"/>
    <w:rsid w:val="00091FBD"/>
    <w:rsid w:val="000937F1"/>
    <w:rsid w:val="000961C9"/>
    <w:rsid w:val="000A3738"/>
    <w:rsid w:val="000A3897"/>
    <w:rsid w:val="000A3A47"/>
    <w:rsid w:val="000B5119"/>
    <w:rsid w:val="000B5EA4"/>
    <w:rsid w:val="000C0094"/>
    <w:rsid w:val="000C1006"/>
    <w:rsid w:val="000C559F"/>
    <w:rsid w:val="000D09C9"/>
    <w:rsid w:val="000E63C3"/>
    <w:rsid w:val="000F1FBE"/>
    <w:rsid w:val="000F47BE"/>
    <w:rsid w:val="000F5985"/>
    <w:rsid w:val="000F5E80"/>
    <w:rsid w:val="000F74E6"/>
    <w:rsid w:val="00100F85"/>
    <w:rsid w:val="0010413A"/>
    <w:rsid w:val="00110313"/>
    <w:rsid w:val="0011582A"/>
    <w:rsid w:val="0012170D"/>
    <w:rsid w:val="00126416"/>
    <w:rsid w:val="0012663A"/>
    <w:rsid w:val="001268C9"/>
    <w:rsid w:val="00137545"/>
    <w:rsid w:val="001428C9"/>
    <w:rsid w:val="001476A8"/>
    <w:rsid w:val="001477DA"/>
    <w:rsid w:val="00152AEA"/>
    <w:rsid w:val="00153B6D"/>
    <w:rsid w:val="001545E9"/>
    <w:rsid w:val="00154FC7"/>
    <w:rsid w:val="0015511A"/>
    <w:rsid w:val="00166B78"/>
    <w:rsid w:val="0017454A"/>
    <w:rsid w:val="00182620"/>
    <w:rsid w:val="0018529D"/>
    <w:rsid w:val="00185613"/>
    <w:rsid w:val="0018779B"/>
    <w:rsid w:val="00187D45"/>
    <w:rsid w:val="001926AA"/>
    <w:rsid w:val="001944C9"/>
    <w:rsid w:val="001A0FFB"/>
    <w:rsid w:val="001A246E"/>
    <w:rsid w:val="001A46A2"/>
    <w:rsid w:val="001B0E06"/>
    <w:rsid w:val="001B3256"/>
    <w:rsid w:val="001B4D39"/>
    <w:rsid w:val="001C3009"/>
    <w:rsid w:val="001C5126"/>
    <w:rsid w:val="001C52D0"/>
    <w:rsid w:val="001D33CC"/>
    <w:rsid w:val="001D4815"/>
    <w:rsid w:val="001D621D"/>
    <w:rsid w:val="001D641F"/>
    <w:rsid w:val="001E059A"/>
    <w:rsid w:val="001E17BE"/>
    <w:rsid w:val="001E357B"/>
    <w:rsid w:val="00203F01"/>
    <w:rsid w:val="0021474C"/>
    <w:rsid w:val="002167F5"/>
    <w:rsid w:val="00234944"/>
    <w:rsid w:val="00235AC5"/>
    <w:rsid w:val="002400C8"/>
    <w:rsid w:val="00240402"/>
    <w:rsid w:val="0024080B"/>
    <w:rsid w:val="00241D7C"/>
    <w:rsid w:val="00243766"/>
    <w:rsid w:val="00244A2C"/>
    <w:rsid w:val="00245D5B"/>
    <w:rsid w:val="00246D10"/>
    <w:rsid w:val="002523F8"/>
    <w:rsid w:val="00253F3B"/>
    <w:rsid w:val="00257419"/>
    <w:rsid w:val="0026540D"/>
    <w:rsid w:val="002760B2"/>
    <w:rsid w:val="00282D65"/>
    <w:rsid w:val="00283E99"/>
    <w:rsid w:val="00284DB8"/>
    <w:rsid w:val="0028575A"/>
    <w:rsid w:val="00286498"/>
    <w:rsid w:val="00292D56"/>
    <w:rsid w:val="00297BBB"/>
    <w:rsid w:val="00297E1A"/>
    <w:rsid w:val="002A1F96"/>
    <w:rsid w:val="002A4392"/>
    <w:rsid w:val="002B12F8"/>
    <w:rsid w:val="002C472B"/>
    <w:rsid w:val="002C54D8"/>
    <w:rsid w:val="002D5743"/>
    <w:rsid w:val="002D621F"/>
    <w:rsid w:val="002D73E0"/>
    <w:rsid w:val="002E16F8"/>
    <w:rsid w:val="002E2237"/>
    <w:rsid w:val="002E268A"/>
    <w:rsid w:val="002F2199"/>
    <w:rsid w:val="002F247C"/>
    <w:rsid w:val="002F5DF6"/>
    <w:rsid w:val="002F7152"/>
    <w:rsid w:val="0030017E"/>
    <w:rsid w:val="003024C6"/>
    <w:rsid w:val="00303171"/>
    <w:rsid w:val="003040D3"/>
    <w:rsid w:val="00304B8E"/>
    <w:rsid w:val="00305EEE"/>
    <w:rsid w:val="00311739"/>
    <w:rsid w:val="00312559"/>
    <w:rsid w:val="00314286"/>
    <w:rsid w:val="003145FF"/>
    <w:rsid w:val="00325419"/>
    <w:rsid w:val="00330731"/>
    <w:rsid w:val="00330A3C"/>
    <w:rsid w:val="0033196D"/>
    <w:rsid w:val="00334F96"/>
    <w:rsid w:val="003426E7"/>
    <w:rsid w:val="003442CC"/>
    <w:rsid w:val="0035776C"/>
    <w:rsid w:val="003636C8"/>
    <w:rsid w:val="0036593B"/>
    <w:rsid w:val="003679C8"/>
    <w:rsid w:val="00370BD3"/>
    <w:rsid w:val="003810B2"/>
    <w:rsid w:val="003949A4"/>
    <w:rsid w:val="003977BB"/>
    <w:rsid w:val="003A6A8F"/>
    <w:rsid w:val="003B3D20"/>
    <w:rsid w:val="003B4FA2"/>
    <w:rsid w:val="003B7D82"/>
    <w:rsid w:val="003C6E74"/>
    <w:rsid w:val="003C7000"/>
    <w:rsid w:val="003C7810"/>
    <w:rsid w:val="003D398C"/>
    <w:rsid w:val="003E1882"/>
    <w:rsid w:val="003F2339"/>
    <w:rsid w:val="003F3710"/>
    <w:rsid w:val="003F6CDF"/>
    <w:rsid w:val="003F709D"/>
    <w:rsid w:val="0040222C"/>
    <w:rsid w:val="00410491"/>
    <w:rsid w:val="00412658"/>
    <w:rsid w:val="004157D1"/>
    <w:rsid w:val="00421D6C"/>
    <w:rsid w:val="00421E7F"/>
    <w:rsid w:val="004401CB"/>
    <w:rsid w:val="00445681"/>
    <w:rsid w:val="00446800"/>
    <w:rsid w:val="00450C66"/>
    <w:rsid w:val="00457EC2"/>
    <w:rsid w:val="0046091D"/>
    <w:rsid w:val="004724D2"/>
    <w:rsid w:val="0047313D"/>
    <w:rsid w:val="0047433B"/>
    <w:rsid w:val="00474518"/>
    <w:rsid w:val="00476C23"/>
    <w:rsid w:val="004777FD"/>
    <w:rsid w:val="00482233"/>
    <w:rsid w:val="004825D8"/>
    <w:rsid w:val="004852E0"/>
    <w:rsid w:val="0048756E"/>
    <w:rsid w:val="004902B6"/>
    <w:rsid w:val="00493806"/>
    <w:rsid w:val="00493CAD"/>
    <w:rsid w:val="00493D91"/>
    <w:rsid w:val="0049479A"/>
    <w:rsid w:val="004A25D2"/>
    <w:rsid w:val="004B2622"/>
    <w:rsid w:val="004B355B"/>
    <w:rsid w:val="004C0A68"/>
    <w:rsid w:val="004C40E3"/>
    <w:rsid w:val="004D1C25"/>
    <w:rsid w:val="004D5617"/>
    <w:rsid w:val="004D6277"/>
    <w:rsid w:val="004E3E4B"/>
    <w:rsid w:val="004E4B3B"/>
    <w:rsid w:val="004F1AEA"/>
    <w:rsid w:val="004F1F2F"/>
    <w:rsid w:val="004F6ADF"/>
    <w:rsid w:val="0050169C"/>
    <w:rsid w:val="005060DA"/>
    <w:rsid w:val="00507831"/>
    <w:rsid w:val="00511211"/>
    <w:rsid w:val="00521BBB"/>
    <w:rsid w:val="00524BB5"/>
    <w:rsid w:val="00526771"/>
    <w:rsid w:val="0052758A"/>
    <w:rsid w:val="005313AC"/>
    <w:rsid w:val="00534199"/>
    <w:rsid w:val="00541EF6"/>
    <w:rsid w:val="00547E22"/>
    <w:rsid w:val="00552AD3"/>
    <w:rsid w:val="00552FFE"/>
    <w:rsid w:val="00553838"/>
    <w:rsid w:val="0055404B"/>
    <w:rsid w:val="00554DEC"/>
    <w:rsid w:val="0056363A"/>
    <w:rsid w:val="00563B54"/>
    <w:rsid w:val="005650E6"/>
    <w:rsid w:val="00565ECE"/>
    <w:rsid w:val="0057037C"/>
    <w:rsid w:val="00573CD3"/>
    <w:rsid w:val="00580B2E"/>
    <w:rsid w:val="0058290D"/>
    <w:rsid w:val="005838D1"/>
    <w:rsid w:val="00585649"/>
    <w:rsid w:val="00586EE0"/>
    <w:rsid w:val="005A1C35"/>
    <w:rsid w:val="005A2E17"/>
    <w:rsid w:val="005A3946"/>
    <w:rsid w:val="005A75E9"/>
    <w:rsid w:val="005B4DA9"/>
    <w:rsid w:val="005B54DC"/>
    <w:rsid w:val="005C0ED6"/>
    <w:rsid w:val="005C1B49"/>
    <w:rsid w:val="005D0CCA"/>
    <w:rsid w:val="005D5A9A"/>
    <w:rsid w:val="005E0E77"/>
    <w:rsid w:val="005E452F"/>
    <w:rsid w:val="005E509C"/>
    <w:rsid w:val="005E530D"/>
    <w:rsid w:val="005E5D56"/>
    <w:rsid w:val="005E646C"/>
    <w:rsid w:val="005F0C89"/>
    <w:rsid w:val="005F1C76"/>
    <w:rsid w:val="005F2D78"/>
    <w:rsid w:val="005F4A63"/>
    <w:rsid w:val="005F75E0"/>
    <w:rsid w:val="005F7E5E"/>
    <w:rsid w:val="00600F17"/>
    <w:rsid w:val="006023D6"/>
    <w:rsid w:val="00604BE4"/>
    <w:rsid w:val="006055A4"/>
    <w:rsid w:val="006101D9"/>
    <w:rsid w:val="00616DA5"/>
    <w:rsid w:val="006170A9"/>
    <w:rsid w:val="00617549"/>
    <w:rsid w:val="00617C95"/>
    <w:rsid w:val="006210AD"/>
    <w:rsid w:val="006235F4"/>
    <w:rsid w:val="0062437D"/>
    <w:rsid w:val="00624628"/>
    <w:rsid w:val="006262BA"/>
    <w:rsid w:val="00632FFA"/>
    <w:rsid w:val="006332D4"/>
    <w:rsid w:val="00637417"/>
    <w:rsid w:val="00640583"/>
    <w:rsid w:val="00643180"/>
    <w:rsid w:val="00647B51"/>
    <w:rsid w:val="00655AF4"/>
    <w:rsid w:val="00660087"/>
    <w:rsid w:val="006605BC"/>
    <w:rsid w:val="00661A27"/>
    <w:rsid w:val="0066670E"/>
    <w:rsid w:val="0066712B"/>
    <w:rsid w:val="006737DF"/>
    <w:rsid w:val="00674E50"/>
    <w:rsid w:val="00676C27"/>
    <w:rsid w:val="0068208C"/>
    <w:rsid w:val="006842B3"/>
    <w:rsid w:val="006855A6"/>
    <w:rsid w:val="00690330"/>
    <w:rsid w:val="00695764"/>
    <w:rsid w:val="006A0FFE"/>
    <w:rsid w:val="006A2C79"/>
    <w:rsid w:val="006A3F9B"/>
    <w:rsid w:val="006A5636"/>
    <w:rsid w:val="006B1B53"/>
    <w:rsid w:val="006B23C3"/>
    <w:rsid w:val="006B3E11"/>
    <w:rsid w:val="006B5E3A"/>
    <w:rsid w:val="006B7509"/>
    <w:rsid w:val="006C1631"/>
    <w:rsid w:val="006C4A92"/>
    <w:rsid w:val="006D0B6F"/>
    <w:rsid w:val="006D2184"/>
    <w:rsid w:val="006D3424"/>
    <w:rsid w:val="006D40E9"/>
    <w:rsid w:val="006E5335"/>
    <w:rsid w:val="006F0F39"/>
    <w:rsid w:val="006F1B6C"/>
    <w:rsid w:val="00703E0A"/>
    <w:rsid w:val="00705FC1"/>
    <w:rsid w:val="007076FA"/>
    <w:rsid w:val="00707A87"/>
    <w:rsid w:val="00711B60"/>
    <w:rsid w:val="0071252C"/>
    <w:rsid w:val="007153FD"/>
    <w:rsid w:val="00717918"/>
    <w:rsid w:val="00722BF2"/>
    <w:rsid w:val="00731A82"/>
    <w:rsid w:val="00732EB5"/>
    <w:rsid w:val="00740545"/>
    <w:rsid w:val="0074215F"/>
    <w:rsid w:val="0074309D"/>
    <w:rsid w:val="00746A24"/>
    <w:rsid w:val="00753CDE"/>
    <w:rsid w:val="0075539D"/>
    <w:rsid w:val="007577BF"/>
    <w:rsid w:val="00760923"/>
    <w:rsid w:val="00761C92"/>
    <w:rsid w:val="00763A40"/>
    <w:rsid w:val="00766E34"/>
    <w:rsid w:val="00767537"/>
    <w:rsid w:val="00775573"/>
    <w:rsid w:val="00783B23"/>
    <w:rsid w:val="0079250E"/>
    <w:rsid w:val="00793FCD"/>
    <w:rsid w:val="00795BBC"/>
    <w:rsid w:val="00795E03"/>
    <w:rsid w:val="007A011A"/>
    <w:rsid w:val="007A3455"/>
    <w:rsid w:val="007A4E55"/>
    <w:rsid w:val="007A5992"/>
    <w:rsid w:val="007B6AB7"/>
    <w:rsid w:val="007B7BB5"/>
    <w:rsid w:val="007C7BEF"/>
    <w:rsid w:val="007D1A76"/>
    <w:rsid w:val="007D2117"/>
    <w:rsid w:val="007D4772"/>
    <w:rsid w:val="008024DE"/>
    <w:rsid w:val="00802BE7"/>
    <w:rsid w:val="008033BE"/>
    <w:rsid w:val="00804CED"/>
    <w:rsid w:val="00810FF6"/>
    <w:rsid w:val="0081209B"/>
    <w:rsid w:val="00817F22"/>
    <w:rsid w:val="0082071D"/>
    <w:rsid w:val="0082249B"/>
    <w:rsid w:val="00827CCD"/>
    <w:rsid w:val="00832105"/>
    <w:rsid w:val="008339B8"/>
    <w:rsid w:val="00834F16"/>
    <w:rsid w:val="008356CC"/>
    <w:rsid w:val="0083617E"/>
    <w:rsid w:val="0084049A"/>
    <w:rsid w:val="008404AB"/>
    <w:rsid w:val="008526AC"/>
    <w:rsid w:val="008531F8"/>
    <w:rsid w:val="008621F6"/>
    <w:rsid w:val="00862D6D"/>
    <w:rsid w:val="00865996"/>
    <w:rsid w:val="00874A4B"/>
    <w:rsid w:val="008835E1"/>
    <w:rsid w:val="00884E84"/>
    <w:rsid w:val="00890068"/>
    <w:rsid w:val="0089208E"/>
    <w:rsid w:val="00895389"/>
    <w:rsid w:val="00897651"/>
    <w:rsid w:val="008B6486"/>
    <w:rsid w:val="008B6D16"/>
    <w:rsid w:val="008C0385"/>
    <w:rsid w:val="008C6AB4"/>
    <w:rsid w:val="008D0B4E"/>
    <w:rsid w:val="008D23C4"/>
    <w:rsid w:val="008E2A23"/>
    <w:rsid w:val="008E467D"/>
    <w:rsid w:val="008E49D4"/>
    <w:rsid w:val="008E6B2D"/>
    <w:rsid w:val="008F2E25"/>
    <w:rsid w:val="008F4A19"/>
    <w:rsid w:val="008F4BC2"/>
    <w:rsid w:val="008F72D6"/>
    <w:rsid w:val="008F7B02"/>
    <w:rsid w:val="00901CA6"/>
    <w:rsid w:val="0091040F"/>
    <w:rsid w:val="0091153E"/>
    <w:rsid w:val="00925FB3"/>
    <w:rsid w:val="00930320"/>
    <w:rsid w:val="00950986"/>
    <w:rsid w:val="00954492"/>
    <w:rsid w:val="009547A0"/>
    <w:rsid w:val="009577BE"/>
    <w:rsid w:val="00957E7A"/>
    <w:rsid w:val="00960F0C"/>
    <w:rsid w:val="00961713"/>
    <w:rsid w:val="00967CEE"/>
    <w:rsid w:val="009718F1"/>
    <w:rsid w:val="00980B52"/>
    <w:rsid w:val="0098204A"/>
    <w:rsid w:val="0098237D"/>
    <w:rsid w:val="00982A8B"/>
    <w:rsid w:val="00990DF9"/>
    <w:rsid w:val="009956BE"/>
    <w:rsid w:val="00996178"/>
    <w:rsid w:val="00997EF2"/>
    <w:rsid w:val="009B24E2"/>
    <w:rsid w:val="009B5F1F"/>
    <w:rsid w:val="009B753F"/>
    <w:rsid w:val="009C011F"/>
    <w:rsid w:val="009C11F3"/>
    <w:rsid w:val="009C195F"/>
    <w:rsid w:val="009C1A48"/>
    <w:rsid w:val="009C30D5"/>
    <w:rsid w:val="009C44C0"/>
    <w:rsid w:val="009C5181"/>
    <w:rsid w:val="009D59C7"/>
    <w:rsid w:val="009E06EA"/>
    <w:rsid w:val="009E2CEA"/>
    <w:rsid w:val="009E35A8"/>
    <w:rsid w:val="009E563D"/>
    <w:rsid w:val="009F6D5C"/>
    <w:rsid w:val="00A031CE"/>
    <w:rsid w:val="00A04C3C"/>
    <w:rsid w:val="00A114A9"/>
    <w:rsid w:val="00A11E69"/>
    <w:rsid w:val="00A13920"/>
    <w:rsid w:val="00A25575"/>
    <w:rsid w:val="00A25FAC"/>
    <w:rsid w:val="00A260F2"/>
    <w:rsid w:val="00A361F7"/>
    <w:rsid w:val="00A43EB3"/>
    <w:rsid w:val="00A4721B"/>
    <w:rsid w:val="00A52050"/>
    <w:rsid w:val="00A539EC"/>
    <w:rsid w:val="00A54EA2"/>
    <w:rsid w:val="00A60A09"/>
    <w:rsid w:val="00A60E61"/>
    <w:rsid w:val="00A61532"/>
    <w:rsid w:val="00A64B22"/>
    <w:rsid w:val="00A65945"/>
    <w:rsid w:val="00A6708C"/>
    <w:rsid w:val="00A73885"/>
    <w:rsid w:val="00A7524F"/>
    <w:rsid w:val="00A7773D"/>
    <w:rsid w:val="00A77B60"/>
    <w:rsid w:val="00A81E6C"/>
    <w:rsid w:val="00A915A7"/>
    <w:rsid w:val="00A92103"/>
    <w:rsid w:val="00A92532"/>
    <w:rsid w:val="00AA25A7"/>
    <w:rsid w:val="00AA772C"/>
    <w:rsid w:val="00AB59D6"/>
    <w:rsid w:val="00AB5CDA"/>
    <w:rsid w:val="00AC13FD"/>
    <w:rsid w:val="00AC46E1"/>
    <w:rsid w:val="00AC5DFA"/>
    <w:rsid w:val="00AC5F87"/>
    <w:rsid w:val="00AD1BED"/>
    <w:rsid w:val="00AE3034"/>
    <w:rsid w:val="00AE697B"/>
    <w:rsid w:val="00AF13E3"/>
    <w:rsid w:val="00B01936"/>
    <w:rsid w:val="00B01A9B"/>
    <w:rsid w:val="00B0306A"/>
    <w:rsid w:val="00B05337"/>
    <w:rsid w:val="00B10D35"/>
    <w:rsid w:val="00B111DB"/>
    <w:rsid w:val="00B1639B"/>
    <w:rsid w:val="00B21D40"/>
    <w:rsid w:val="00B24137"/>
    <w:rsid w:val="00B34E41"/>
    <w:rsid w:val="00B40DFD"/>
    <w:rsid w:val="00B4249C"/>
    <w:rsid w:val="00B44976"/>
    <w:rsid w:val="00B464A0"/>
    <w:rsid w:val="00B51379"/>
    <w:rsid w:val="00B516F8"/>
    <w:rsid w:val="00B52843"/>
    <w:rsid w:val="00B556C9"/>
    <w:rsid w:val="00B61432"/>
    <w:rsid w:val="00B6369A"/>
    <w:rsid w:val="00B641D9"/>
    <w:rsid w:val="00B64EF1"/>
    <w:rsid w:val="00B66045"/>
    <w:rsid w:val="00B710D5"/>
    <w:rsid w:val="00B7741B"/>
    <w:rsid w:val="00B83FD8"/>
    <w:rsid w:val="00B87F9D"/>
    <w:rsid w:val="00B90CEC"/>
    <w:rsid w:val="00B9589E"/>
    <w:rsid w:val="00B97F17"/>
    <w:rsid w:val="00BA1A85"/>
    <w:rsid w:val="00BA39EE"/>
    <w:rsid w:val="00BA66DE"/>
    <w:rsid w:val="00BB0AC9"/>
    <w:rsid w:val="00BB2569"/>
    <w:rsid w:val="00BB6DB4"/>
    <w:rsid w:val="00BB6FE8"/>
    <w:rsid w:val="00BC358F"/>
    <w:rsid w:val="00BC6A7F"/>
    <w:rsid w:val="00BD75E5"/>
    <w:rsid w:val="00BE4369"/>
    <w:rsid w:val="00BF470B"/>
    <w:rsid w:val="00BF5BDE"/>
    <w:rsid w:val="00C0414D"/>
    <w:rsid w:val="00C0699E"/>
    <w:rsid w:val="00C0704D"/>
    <w:rsid w:val="00C14B29"/>
    <w:rsid w:val="00C1571B"/>
    <w:rsid w:val="00C21673"/>
    <w:rsid w:val="00C230D2"/>
    <w:rsid w:val="00C33488"/>
    <w:rsid w:val="00C348D0"/>
    <w:rsid w:val="00C34F2A"/>
    <w:rsid w:val="00C43DF7"/>
    <w:rsid w:val="00C479C4"/>
    <w:rsid w:val="00C54C89"/>
    <w:rsid w:val="00C5504D"/>
    <w:rsid w:val="00C636AC"/>
    <w:rsid w:val="00C64990"/>
    <w:rsid w:val="00C65600"/>
    <w:rsid w:val="00C667F3"/>
    <w:rsid w:val="00C74FEB"/>
    <w:rsid w:val="00C7624C"/>
    <w:rsid w:val="00C82183"/>
    <w:rsid w:val="00C826A8"/>
    <w:rsid w:val="00C840D8"/>
    <w:rsid w:val="00C863F2"/>
    <w:rsid w:val="00C87543"/>
    <w:rsid w:val="00C94892"/>
    <w:rsid w:val="00CA69DC"/>
    <w:rsid w:val="00CB4567"/>
    <w:rsid w:val="00CD0C4D"/>
    <w:rsid w:val="00CD264B"/>
    <w:rsid w:val="00CD3255"/>
    <w:rsid w:val="00CD7097"/>
    <w:rsid w:val="00CF1419"/>
    <w:rsid w:val="00CF6273"/>
    <w:rsid w:val="00CF651B"/>
    <w:rsid w:val="00D051AF"/>
    <w:rsid w:val="00D111D1"/>
    <w:rsid w:val="00D14FFB"/>
    <w:rsid w:val="00D164EE"/>
    <w:rsid w:val="00D24B57"/>
    <w:rsid w:val="00D37C8B"/>
    <w:rsid w:val="00D422DE"/>
    <w:rsid w:val="00D50822"/>
    <w:rsid w:val="00D51AB1"/>
    <w:rsid w:val="00D56854"/>
    <w:rsid w:val="00D616CD"/>
    <w:rsid w:val="00D632C2"/>
    <w:rsid w:val="00D64BB1"/>
    <w:rsid w:val="00D6649C"/>
    <w:rsid w:val="00D6661B"/>
    <w:rsid w:val="00D715C2"/>
    <w:rsid w:val="00D72CB5"/>
    <w:rsid w:val="00D730D3"/>
    <w:rsid w:val="00D73E14"/>
    <w:rsid w:val="00D82140"/>
    <w:rsid w:val="00D8450E"/>
    <w:rsid w:val="00D90D84"/>
    <w:rsid w:val="00D92B10"/>
    <w:rsid w:val="00D92E0D"/>
    <w:rsid w:val="00D94230"/>
    <w:rsid w:val="00D95F93"/>
    <w:rsid w:val="00D9631F"/>
    <w:rsid w:val="00D967FC"/>
    <w:rsid w:val="00DA06BB"/>
    <w:rsid w:val="00DA45B0"/>
    <w:rsid w:val="00DA4828"/>
    <w:rsid w:val="00DB176C"/>
    <w:rsid w:val="00DB6B1A"/>
    <w:rsid w:val="00DB7049"/>
    <w:rsid w:val="00DC4B72"/>
    <w:rsid w:val="00DC779C"/>
    <w:rsid w:val="00DC7D72"/>
    <w:rsid w:val="00DD0D30"/>
    <w:rsid w:val="00DD2C87"/>
    <w:rsid w:val="00DE0445"/>
    <w:rsid w:val="00DE0690"/>
    <w:rsid w:val="00DE105A"/>
    <w:rsid w:val="00DE28BA"/>
    <w:rsid w:val="00DE2EB6"/>
    <w:rsid w:val="00DE3414"/>
    <w:rsid w:val="00DE4C1E"/>
    <w:rsid w:val="00DF1C05"/>
    <w:rsid w:val="00DF5BDD"/>
    <w:rsid w:val="00DF65C6"/>
    <w:rsid w:val="00E00D3E"/>
    <w:rsid w:val="00E012B2"/>
    <w:rsid w:val="00E11F7C"/>
    <w:rsid w:val="00E12038"/>
    <w:rsid w:val="00E1673C"/>
    <w:rsid w:val="00E3384C"/>
    <w:rsid w:val="00E3431A"/>
    <w:rsid w:val="00E55229"/>
    <w:rsid w:val="00E552E0"/>
    <w:rsid w:val="00E56036"/>
    <w:rsid w:val="00E56370"/>
    <w:rsid w:val="00E62097"/>
    <w:rsid w:val="00E62537"/>
    <w:rsid w:val="00E7000B"/>
    <w:rsid w:val="00E82C2C"/>
    <w:rsid w:val="00E8586B"/>
    <w:rsid w:val="00E8614E"/>
    <w:rsid w:val="00E90B4C"/>
    <w:rsid w:val="00E92745"/>
    <w:rsid w:val="00E9569F"/>
    <w:rsid w:val="00E969C3"/>
    <w:rsid w:val="00EA1EB7"/>
    <w:rsid w:val="00EA6616"/>
    <w:rsid w:val="00EB2EFB"/>
    <w:rsid w:val="00EB5CA0"/>
    <w:rsid w:val="00EB633C"/>
    <w:rsid w:val="00EC0C58"/>
    <w:rsid w:val="00EC38F4"/>
    <w:rsid w:val="00ED66B5"/>
    <w:rsid w:val="00EE62C2"/>
    <w:rsid w:val="00EF282A"/>
    <w:rsid w:val="00EF3EFD"/>
    <w:rsid w:val="00F01473"/>
    <w:rsid w:val="00F07354"/>
    <w:rsid w:val="00F11924"/>
    <w:rsid w:val="00F12267"/>
    <w:rsid w:val="00F122DA"/>
    <w:rsid w:val="00F14997"/>
    <w:rsid w:val="00F17ED9"/>
    <w:rsid w:val="00F269BB"/>
    <w:rsid w:val="00F27411"/>
    <w:rsid w:val="00F31631"/>
    <w:rsid w:val="00F35BE4"/>
    <w:rsid w:val="00F51556"/>
    <w:rsid w:val="00F54B85"/>
    <w:rsid w:val="00F6114A"/>
    <w:rsid w:val="00F66C77"/>
    <w:rsid w:val="00F740AE"/>
    <w:rsid w:val="00F74C2E"/>
    <w:rsid w:val="00F7696F"/>
    <w:rsid w:val="00F77C4F"/>
    <w:rsid w:val="00F77C9F"/>
    <w:rsid w:val="00F82DB7"/>
    <w:rsid w:val="00F8509A"/>
    <w:rsid w:val="00F86200"/>
    <w:rsid w:val="00F86F98"/>
    <w:rsid w:val="00F9037B"/>
    <w:rsid w:val="00F90BD3"/>
    <w:rsid w:val="00F90C5F"/>
    <w:rsid w:val="00F97CFB"/>
    <w:rsid w:val="00FA0FC3"/>
    <w:rsid w:val="00FA23C1"/>
    <w:rsid w:val="00FA7E88"/>
    <w:rsid w:val="00FB3A34"/>
    <w:rsid w:val="00FB6068"/>
    <w:rsid w:val="00FC16D9"/>
    <w:rsid w:val="00FD212B"/>
    <w:rsid w:val="00FD5621"/>
    <w:rsid w:val="00FD6ECE"/>
    <w:rsid w:val="00FE176B"/>
    <w:rsid w:val="00FE60A4"/>
    <w:rsid w:val="00FE730A"/>
    <w:rsid w:val="00FF447E"/>
    <w:rsid w:val="00FF7F3C"/>
    <w:rsid w:val="46E93F85"/>
    <w:rsid w:val="4B3F33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3">
    <w:name w:val="List Bullet"/>
    <w:basedOn w:val="1"/>
    <w:qFormat/>
    <w:uiPriority w:val="0"/>
    <w:pPr>
      <w:numPr>
        <w:ilvl w:val="0"/>
        <w:numId w:val="1"/>
      </w:numPr>
      <w:spacing w:after="20" w:line="280" w:lineRule="atLeast"/>
    </w:pPr>
    <w:rPr>
      <w:rFonts w:ascii="Garamond" w:hAnsi="Garamond" w:cs="Arial"/>
      <w:sz w:val="22"/>
      <w:lang w:val="en-GB" w:eastAsia="en-US"/>
    </w:rPr>
  </w:style>
  <w:style w:type="paragraph" w:styleId="4">
    <w:name w:val="Document Map"/>
    <w:basedOn w:val="1"/>
    <w:link w:val="26"/>
    <w:qFormat/>
    <w:uiPriority w:val="0"/>
    <w:rPr>
      <w:rFonts w:ascii="宋体" w:eastAsia="宋体"/>
      <w:sz w:val="18"/>
      <w:szCs w:val="18"/>
    </w:rPr>
  </w:style>
  <w:style w:type="paragraph" w:styleId="5">
    <w:name w:val="annotation text"/>
    <w:basedOn w:val="1"/>
    <w:semiHidden/>
    <w:uiPriority w:val="0"/>
    <w:pPr>
      <w:widowControl w:val="0"/>
      <w:adjustRightInd w:val="0"/>
      <w:textAlignment w:val="baseline"/>
    </w:pPr>
    <w:rPr>
      <w:rFonts w:ascii="宋体" w:eastAsia="宋体"/>
      <w:sz w:val="21"/>
      <w:lang w:eastAsia="zh-CN"/>
    </w:rPr>
  </w:style>
  <w:style w:type="paragraph" w:styleId="6">
    <w:name w:val="Body Text"/>
    <w:basedOn w:val="1"/>
    <w:qFormat/>
    <w:uiPriority w:val="0"/>
    <w:pPr>
      <w:tabs>
        <w:tab w:val="left" w:pos="0"/>
        <w:tab w:val="left" w:pos="993"/>
      </w:tabs>
      <w:spacing w:after="60"/>
    </w:pPr>
    <w:rPr>
      <w:rFonts w:ascii="Univers" w:hAnsi="Univers"/>
      <w:sz w:val="16"/>
    </w:rPr>
  </w:style>
  <w:style w:type="paragraph" w:styleId="7">
    <w:name w:val="Body Text Indent"/>
    <w:basedOn w:val="1"/>
    <w:qFormat/>
    <w:uiPriority w:val="0"/>
    <w:pPr>
      <w:widowControl w:val="0"/>
      <w:ind w:left="980"/>
      <w:jc w:val="both"/>
    </w:pPr>
    <w:rPr>
      <w:rFonts w:ascii="宋体" w:hAnsi="宋体" w:eastAsia="宋体"/>
      <w:b/>
      <w:bCs/>
      <w:kern w:val="2"/>
      <w:sz w:val="21"/>
      <w:szCs w:val="24"/>
      <w:lang w:eastAsia="zh-CN"/>
    </w:rPr>
  </w:style>
  <w:style w:type="paragraph" w:styleId="8">
    <w:name w:val="List Bullet 2"/>
    <w:basedOn w:val="1"/>
    <w:uiPriority w:val="0"/>
    <w:pPr>
      <w:numPr>
        <w:ilvl w:val="1"/>
        <w:numId w:val="1"/>
      </w:numPr>
      <w:spacing w:after="20" w:line="260" w:lineRule="atLeast"/>
    </w:pPr>
    <w:rPr>
      <w:rFonts w:ascii="Garamond" w:hAnsi="Garamond" w:cs="Arial"/>
      <w:sz w:val="22"/>
      <w:lang w:val="en-GB" w:eastAsia="en-US"/>
    </w:rPr>
  </w:style>
  <w:style w:type="paragraph" w:styleId="9">
    <w:name w:val="Date"/>
    <w:basedOn w:val="1"/>
    <w:next w:val="1"/>
    <w:qFormat/>
    <w:uiPriority w:val="0"/>
    <w:pPr>
      <w:widowControl w:val="0"/>
      <w:ind w:left="100" w:leftChars="2500"/>
      <w:jc w:val="both"/>
    </w:pPr>
    <w:rPr>
      <w:rFonts w:ascii="宋体" w:hAnsi="宋体" w:eastAsia="宋体"/>
      <w:kern w:val="2"/>
      <w:sz w:val="28"/>
      <w:szCs w:val="24"/>
      <w:lang w:eastAsia="zh-CN"/>
    </w:rPr>
  </w:style>
  <w:style w:type="paragraph" w:styleId="10">
    <w:name w:val="Balloon Text"/>
    <w:basedOn w:val="1"/>
    <w:semiHidden/>
    <w:qFormat/>
    <w:uiPriority w:val="0"/>
    <w:rPr>
      <w:sz w:val="18"/>
      <w:szCs w:val="18"/>
    </w:rPr>
  </w:style>
  <w:style w:type="paragraph" w:styleId="11">
    <w:name w:val="footer"/>
    <w:basedOn w:val="1"/>
    <w:link w:val="27"/>
    <w:qFormat/>
    <w:uiPriority w:val="99"/>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annotation subject"/>
    <w:basedOn w:val="5"/>
    <w:next w:val="5"/>
    <w:semiHidden/>
    <w:uiPriority w:val="0"/>
    <w:pPr>
      <w:widowControl/>
      <w:adjustRightInd/>
      <w:textAlignment w:val="auto"/>
    </w:pPr>
    <w:rPr>
      <w:rFonts w:ascii="Times New Roman" w:eastAsia="PMingLiU"/>
      <w:b/>
      <w:bCs/>
      <w:sz w:val="20"/>
      <w:lang w:eastAsia="zh-TW"/>
    </w:rPr>
  </w:style>
  <w:style w:type="table" w:styleId="15">
    <w:name w:val="Table Grid"/>
    <w:basedOn w:val="14"/>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0"/>
    <w:rPr>
      <w:color w:val="0000FF"/>
      <w:u w:val="single"/>
    </w:rPr>
  </w:style>
  <w:style w:type="character" w:styleId="18">
    <w:name w:val="annotation reference"/>
    <w:basedOn w:val="16"/>
    <w:semiHidden/>
    <w:qFormat/>
    <w:uiPriority w:val="0"/>
    <w:rPr>
      <w:sz w:val="21"/>
      <w:szCs w:val="21"/>
    </w:rPr>
  </w:style>
  <w:style w:type="paragraph" w:customStyle="1" w:styleId="19">
    <w:name w:val="Address"/>
    <w:basedOn w:val="1"/>
    <w:qFormat/>
    <w:uiPriority w:val="0"/>
    <w:pPr>
      <w:pBdr>
        <w:left w:val="single" w:color="auto" w:sz="4" w:space="6"/>
      </w:pBdr>
      <w:spacing w:line="200" w:lineRule="exact"/>
    </w:pPr>
    <w:rPr>
      <w:rFonts w:eastAsia="宋体"/>
      <w:sz w:val="16"/>
      <w:lang w:val="en-GB" w:eastAsia="en-US"/>
    </w:rPr>
  </w:style>
  <w:style w:type="paragraph" w:customStyle="1" w:styleId="20">
    <w:name w:val="Trading Name"/>
    <w:semiHidden/>
    <w:qFormat/>
    <w:uiPriority w:val="0"/>
    <w:pPr>
      <w:spacing w:line="180" w:lineRule="atLeast"/>
    </w:pPr>
    <w:rPr>
      <w:rFonts w:ascii="Arial Narrow" w:hAnsi="Arial Narrow" w:eastAsia="黑体" w:cs="Arial"/>
      <w:b/>
      <w:sz w:val="14"/>
      <w:lang w:val="en-GB" w:eastAsia="en-US" w:bidi="ar-SA"/>
    </w:rPr>
  </w:style>
  <w:style w:type="paragraph" w:customStyle="1" w:styleId="21">
    <w:name w:val="Partner Address"/>
    <w:semiHidden/>
    <w:uiPriority w:val="0"/>
    <w:rPr>
      <w:rFonts w:ascii="Arial Narrow" w:hAnsi="Arial Narrow" w:eastAsia="黑体" w:cs="Arial"/>
      <w:sz w:val="14"/>
      <w:lang w:val="en-GB" w:eastAsia="en-US" w:bidi="ar-SA"/>
    </w:rPr>
  </w:style>
  <w:style w:type="paragraph" w:customStyle="1" w:styleId="22">
    <w:name w:val="Half Line Break"/>
    <w:semiHidden/>
    <w:qFormat/>
    <w:uiPriority w:val="0"/>
    <w:pPr>
      <w:framePr w:wrap="around" w:vAnchor="page" w:hAnchor="page" w:x="9016" w:y="3970"/>
    </w:pPr>
    <w:rPr>
      <w:rFonts w:ascii="Arial Narrow" w:hAnsi="Arial Narrow" w:eastAsia="黑体" w:cs="Arial"/>
      <w:b/>
      <w:sz w:val="7"/>
      <w:lang w:val="en-GB" w:eastAsia="en-US" w:bidi="ar-SA"/>
    </w:rPr>
  </w:style>
  <w:style w:type="paragraph" w:customStyle="1" w:styleId="23">
    <w:name w:val="Letter Footer Title"/>
    <w:next w:val="24"/>
    <w:semiHidden/>
    <w:uiPriority w:val="0"/>
    <w:pPr>
      <w:spacing w:line="140" w:lineRule="atLeast"/>
    </w:pPr>
    <w:rPr>
      <w:rFonts w:ascii="Arial Narrow" w:hAnsi="Arial Narrow" w:eastAsia="PMingLiU" w:cs="Arial"/>
      <w:b/>
      <w:sz w:val="11"/>
      <w:lang w:val="en-GB" w:eastAsia="en-US" w:bidi="ar-SA"/>
    </w:rPr>
  </w:style>
  <w:style w:type="paragraph" w:customStyle="1" w:styleId="24">
    <w:name w:val="Letter Footer"/>
    <w:qFormat/>
    <w:uiPriority w:val="0"/>
    <w:pPr>
      <w:spacing w:line="140" w:lineRule="atLeast"/>
    </w:pPr>
    <w:rPr>
      <w:rFonts w:ascii="Arial Narrow" w:hAnsi="Arial Narrow" w:eastAsia="PMingLiU" w:cs="Arial"/>
      <w:sz w:val="11"/>
      <w:lang w:val="en-GB" w:eastAsia="en-US" w:bidi="ar-SA"/>
    </w:rPr>
  </w:style>
  <w:style w:type="paragraph" w:customStyle="1" w:styleId="25">
    <w:name w:val="默认段落字体 Para Char Char Char Char Char Char Char"/>
    <w:basedOn w:val="1"/>
    <w:qFormat/>
    <w:uiPriority w:val="0"/>
    <w:pPr>
      <w:widowControl w:val="0"/>
      <w:jc w:val="both"/>
    </w:pPr>
    <w:rPr>
      <w:rFonts w:ascii="挀甀洀攀渀" w:hAnsi="挀甀洀攀渀" w:eastAsia="宋体"/>
      <w:kern w:val="2"/>
      <w:sz w:val="24"/>
      <w:lang w:eastAsia="zh-CN"/>
    </w:rPr>
  </w:style>
  <w:style w:type="character" w:customStyle="1" w:styleId="26">
    <w:name w:val="文档结构图 字符"/>
    <w:basedOn w:val="16"/>
    <w:link w:val="4"/>
    <w:qFormat/>
    <w:uiPriority w:val="0"/>
    <w:rPr>
      <w:rFonts w:ascii="宋体" w:eastAsia="宋体"/>
      <w:sz w:val="18"/>
      <w:szCs w:val="18"/>
      <w:lang w:eastAsia="zh-TW"/>
    </w:rPr>
  </w:style>
  <w:style w:type="character" w:customStyle="1" w:styleId="27">
    <w:name w:val="页脚 字符"/>
    <w:basedOn w:val="16"/>
    <w:link w:val="11"/>
    <w:uiPriority w:val="99"/>
    <w:rPr>
      <w:lang w:eastAsia="zh-TW"/>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56AC41-3AC5-4610-861B-4B64D842A591}">
  <ds:schemaRefs/>
</ds:datastoreItem>
</file>

<file path=docProps/app.xml><?xml version="1.0" encoding="utf-8"?>
<Properties xmlns="http://schemas.openxmlformats.org/officeDocument/2006/extended-properties" xmlns:vt="http://schemas.openxmlformats.org/officeDocument/2006/docPropsVTypes">
  <Template>Normal</Template>
  <Company>Edsaco Horwath</Company>
  <Pages>7</Pages>
  <Words>1797</Words>
  <Characters>1951</Characters>
  <Lines>33</Lines>
  <Paragraphs>9</Paragraphs>
  <TotalTime>55</TotalTime>
  <ScaleCrop>false</ScaleCrop>
  <LinksUpToDate>false</LinksUpToDate>
  <CharactersWithSpaces>1962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2021-01-15T08:25:00Z</dcterms:created>
  <dc:creator>SW</dc:creator>
  <cp:lastModifiedBy>杨志</cp:lastModifiedBy>
  <cp:lastPrinted>2017-03-15T03:59:00Z</cp:lastPrinted>
  <dcterms:modified xsi:type="dcterms:W3CDTF">2026-04-25T13:47:40Z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eyJoZGlkIjoiNjBhNWU2ZGJkYmQ4ZDFlMGY5ODlmMGJjNWNhN2RlZGQiLCJ1c2VySWQiOiIyODQxMDQ1MDYifQ==</vt:lpwstr>
  </property>
  <property fmtid="{D5CDD505-2E9C-101B-9397-08002B2CF9AE}" pid="4" name="ICV">
    <vt:lpwstr>65CEE79788AC4C0C80EA2199938FE721_12</vt:lpwstr>
  </property>
</Properties>
</file>