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77B1F">
      <w:pPr>
        <w:spacing w:after="216" w:afterLines="90"/>
        <w:jc w:val="center"/>
        <w:rPr>
          <w:rFonts w:ascii="Arial Narrow" w:hAnsi="Arial Narrow" w:eastAsia="仿宋_GB2312" w:cs="Arial"/>
          <w:b/>
          <w:bCs/>
          <w:sz w:val="30"/>
          <w:szCs w:val="30"/>
        </w:rPr>
      </w:pPr>
      <w:r>
        <w:rPr>
          <w:rFonts w:hint="eastAsia" w:ascii="Arial Narrow" w:hAnsi="Arial Narrow" w:eastAsia="仿宋_GB2312" w:cs="Arial"/>
          <w:b/>
          <w:bCs/>
          <w:sz w:val="30"/>
          <w:szCs w:val="30"/>
        </w:rPr>
        <w:t>财务报表附注</w:t>
      </w:r>
    </w:p>
    <w:p w14:paraId="68BE565B">
      <w:pPr>
        <w:pStyle w:val="2"/>
        <w:spacing w:before="120" w:after="216"/>
      </w:pPr>
      <w:r>
        <w:t>企业基本情况</w:t>
      </w:r>
    </w:p>
    <w:p w14:paraId="07F0AF33">
      <w:pPr>
        <w:spacing w:after="216" w:afterLines="90"/>
        <w:rPr>
          <w:rFonts w:ascii="Arial Narrow" w:hAnsi="Arial Narrow" w:eastAsia="仿宋_GB2312"/>
          <w:sz w:val="24"/>
        </w:rPr>
      </w:pPr>
      <w:r>
        <w:rPr>
          <w:rFonts w:ascii="Arial Narrow" w:hAnsi="Arial Narrow" w:eastAsia="仿宋_GB2312"/>
          <w:sz w:val="24"/>
        </w:rPr>
        <w:t>XX有限公司（以下简称本公司），系经 文批准设立的有限责任公司，于 年 月 日 工商行政管理局领取了注册号为      的《企业法人营业执照》，注册地址：    ，相应注册资本为  万人民币元，并经        会计师事务所于 年 月 日 号 予以验证。（本公司于 年 月 日注册资本变更为   万人民币元，经 事务所于 年 月 日 号予以验证,并相应换发了注册号为  的《企业法人营业执照》）。公司总部名称：     地址为：     ，法定代表人：    。</w:t>
      </w:r>
      <w:bookmarkStart w:id="15" w:name="_GoBack"/>
      <w:bookmarkEnd w:id="15"/>
    </w:p>
    <w:p w14:paraId="377DDB0B">
      <w:pPr>
        <w:spacing w:after="216" w:afterLines="90"/>
        <w:rPr>
          <w:rFonts w:ascii="Arial Narrow" w:hAnsi="Arial Narrow" w:eastAsia="仿宋_GB2312"/>
          <w:sz w:val="24"/>
        </w:rPr>
      </w:pPr>
      <w:r>
        <w:rPr>
          <w:rFonts w:ascii="Arial Narrow" w:hAnsi="Arial Narrow" w:eastAsia="仿宋_GB2312"/>
          <w:sz w:val="24"/>
        </w:rPr>
        <w:t>本公司实行董事会领导下的总经理负责制。根据《中华人民共和国公司法》和本公司章程的规定，股东会（股东大会）为本公司最高权力机构，各股东按照出资比例行使表决权；董事会由     名董事组成（其中独立董事     人），设董事长1人，副董事长     人，下设     等专门委员会；监事会由     名监事组成，其中股东代表担任的监事     人，职工代表担任的监事     人。</w:t>
      </w:r>
    </w:p>
    <w:p w14:paraId="72491294">
      <w:pPr>
        <w:spacing w:after="216" w:afterLines="90"/>
        <w:rPr>
          <w:rFonts w:ascii="Arial Narrow" w:hAnsi="Arial Narrow" w:eastAsia="仿宋_GB2312"/>
          <w:sz w:val="24"/>
        </w:rPr>
      </w:pPr>
      <w:r>
        <w:rPr>
          <w:rFonts w:ascii="Arial Narrow" w:hAnsi="Arial Narrow" w:eastAsia="仿宋_GB2312"/>
          <w:sz w:val="24"/>
        </w:rPr>
        <w:t>公司设总经理1人，副总经理     人，下设以下部门和分支机构：     。</w:t>
      </w:r>
    </w:p>
    <w:p w14:paraId="785AB2F2">
      <w:pPr>
        <w:spacing w:after="216" w:afterLines="90"/>
        <w:rPr>
          <w:rFonts w:ascii="Arial Narrow" w:hAnsi="Arial Narrow" w:eastAsia="仿宋_GB2312"/>
          <w:sz w:val="24"/>
        </w:rPr>
      </w:pPr>
      <w:r>
        <w:rPr>
          <w:rFonts w:ascii="Arial Narrow" w:hAnsi="Arial Narrow" w:eastAsia="仿宋_GB2312"/>
          <w:sz w:val="24"/>
        </w:rPr>
        <w:t>本公司纳入汇总财务报表的范围共xxx家核算单位，包括：等等。</w:t>
      </w:r>
    </w:p>
    <w:p w14:paraId="4A8FDF6E">
      <w:pPr>
        <w:snapToGrid w:val="0"/>
        <w:spacing w:after="216" w:afterLines="90"/>
        <w:rPr>
          <w:rFonts w:ascii="Arial Narrow" w:hAnsi="Arial Narrow" w:eastAsia="仿宋_GB2312" w:cs="Arial"/>
          <w:snapToGrid w:val="0"/>
          <w:color w:val="FF0000"/>
          <w:sz w:val="24"/>
        </w:rPr>
      </w:pPr>
      <w:r>
        <w:rPr>
          <w:rFonts w:ascii="Arial Narrow" w:hAnsi="Arial Narrow" w:eastAsia="仿宋_GB2312" w:cs="Arial"/>
          <w:snapToGrid w:val="0"/>
          <w:color w:val="FF0000"/>
          <w:sz w:val="24"/>
        </w:rPr>
        <w:t>本公司拥有XX家子公司，包括：XX、XX等等。</w:t>
      </w:r>
    </w:p>
    <w:p w14:paraId="0C7B5FFF">
      <w:pPr>
        <w:spacing w:before="120" w:beforeLines="50" w:after="216" w:afterLines="90"/>
        <w:rPr>
          <w:rFonts w:ascii="Arial Narrow" w:hAnsi="Arial Narrow" w:eastAsia="仿宋_GB2312"/>
          <w:sz w:val="24"/>
        </w:rPr>
      </w:pPr>
      <w:r>
        <w:rPr>
          <w:rFonts w:ascii="Arial Narrow" w:hAnsi="Arial Narrow" w:eastAsia="仿宋_GB2312"/>
          <w:sz w:val="24"/>
        </w:rPr>
        <w:t>本公司所属行业为     ，业务性质为：    ，主要经营活动包括        ，主要业务板块包括：（如旅游饭店业、房地产、出租车、商品零售业）。企业法人营业执照规定经营范围：     。（包括：</w:t>
      </w:r>
      <w:r>
        <w:rPr>
          <w:rFonts w:ascii="Arial Narrow" w:hAnsi="Arial Narrow" w:eastAsia="仿宋_GB2312" w:cs="Arial"/>
          <w:snapToGrid w:val="0"/>
          <w:color w:val="0000FF"/>
          <w:sz w:val="24"/>
        </w:rPr>
        <w:t>客户的性质、销售策略、监管环境的性质等。）</w:t>
      </w:r>
    </w:p>
    <w:p w14:paraId="741E75BA">
      <w:pPr>
        <w:spacing w:after="216" w:afterLines="90"/>
        <w:rPr>
          <w:rFonts w:ascii="Arial Narrow" w:hAnsi="Arial Narrow" w:eastAsia="仿宋_GB2312"/>
          <w:sz w:val="24"/>
        </w:rPr>
      </w:pPr>
      <w:r>
        <w:rPr>
          <w:rFonts w:ascii="Arial Narrow" w:hAnsi="Arial Narrow" w:eastAsia="仿宋_GB2312"/>
          <w:sz w:val="24"/>
        </w:rPr>
        <w:t>本公司的母公司为      ，最终控制方为      。</w:t>
      </w:r>
    </w:p>
    <w:p w14:paraId="4F975455">
      <w:pPr>
        <w:spacing w:after="216" w:afterLines="90"/>
        <w:rPr>
          <w:rFonts w:ascii="Arial Narrow" w:hAnsi="Arial Narrow" w:eastAsia="仿宋_GB2312" w:cs="Arial"/>
          <w:snapToGrid w:val="0"/>
          <w:color w:val="0000FF"/>
          <w:sz w:val="24"/>
        </w:rPr>
      </w:pPr>
      <w:r>
        <w:rPr>
          <w:rFonts w:ascii="Arial Narrow" w:hAnsi="Arial Narrow" w:eastAsia="仿宋_GB2312" w:cs="Arial"/>
          <w:snapToGrid w:val="0"/>
          <w:color w:val="FF0000"/>
          <w:sz w:val="24"/>
        </w:rPr>
        <w:t>本公司营业期限自XXXX年XX月XX日至XXXX年XX月XX日。</w:t>
      </w:r>
      <w:r>
        <w:rPr>
          <w:rFonts w:ascii="Arial Narrow" w:hAnsi="Arial Narrow" w:eastAsia="仿宋_GB2312" w:cs="Arial"/>
          <w:snapToGrid w:val="0"/>
          <w:color w:val="0000FF"/>
          <w:sz w:val="24"/>
        </w:rPr>
        <w:t>（如未限定经营期限，请删除）</w:t>
      </w:r>
    </w:p>
    <w:p w14:paraId="7B8B3324">
      <w:pPr>
        <w:spacing w:after="216" w:afterLines="90"/>
        <w:rPr>
          <w:rFonts w:ascii="Arial Narrow" w:hAnsi="Arial Narrow" w:eastAsia="仿宋_GB2312"/>
          <w:sz w:val="24"/>
        </w:rPr>
      </w:pPr>
      <w:r>
        <w:rPr>
          <w:rFonts w:ascii="Arial Narrow" w:hAnsi="Arial Narrow" w:eastAsia="仿宋_GB2312"/>
          <w:kern w:val="0"/>
          <w:sz w:val="24"/>
        </w:rPr>
        <w:t>本财务报表</w:t>
      </w:r>
      <w:r>
        <w:rPr>
          <w:rFonts w:ascii="Arial Narrow" w:hAnsi="Arial Narrow" w:eastAsia="仿宋_GB2312"/>
          <w:bCs/>
          <w:sz w:val="24"/>
        </w:rPr>
        <w:t>及财务报表附注</w:t>
      </w:r>
      <w:r>
        <w:rPr>
          <w:rFonts w:ascii="Arial Narrow" w:hAnsi="Arial Narrow" w:eastAsia="仿宋_GB2312"/>
          <w:kern w:val="0"/>
          <w:sz w:val="24"/>
        </w:rPr>
        <w:t>业经本公司第××届董事会</w:t>
      </w:r>
      <w:r>
        <w:rPr>
          <w:rFonts w:ascii="Arial Narrow" w:hAnsi="Arial Narrow" w:eastAsia="仿宋_GB2312"/>
          <w:color w:val="FF0000"/>
          <w:kern w:val="0"/>
          <w:sz w:val="24"/>
        </w:rPr>
        <w:t>（总经理办公会/或类似机构）</w:t>
      </w:r>
      <w:r>
        <w:rPr>
          <w:rFonts w:ascii="Arial Narrow" w:hAnsi="Arial Narrow" w:eastAsia="仿宋_GB2312"/>
          <w:kern w:val="0"/>
          <w:sz w:val="24"/>
        </w:rPr>
        <w:t>第××次会议于2026年×月×日批准报出。</w:t>
      </w:r>
    </w:p>
    <w:p w14:paraId="2635EC5B">
      <w:pPr>
        <w:pStyle w:val="2"/>
        <w:spacing w:before="120" w:after="216"/>
      </w:pPr>
      <w:r>
        <w:t>财务报表编制基础</w:t>
      </w:r>
    </w:p>
    <w:p w14:paraId="7DB937B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本财务报表按照财政部</w:t>
      </w:r>
      <w:r>
        <w:rPr>
          <w:rFonts w:hint="eastAsia" w:ascii="Arial Narrow" w:hAnsi="Arial Narrow" w:eastAsia="仿宋_GB2312" w:cs="Arial"/>
          <w:snapToGrid w:val="0"/>
          <w:sz w:val="24"/>
        </w:rPr>
        <w:t>发</w:t>
      </w:r>
      <w:r>
        <w:rPr>
          <w:rFonts w:ascii="Arial Narrow" w:hAnsi="Arial Narrow" w:eastAsia="仿宋_GB2312" w:cs="Arial"/>
          <w:snapToGrid w:val="0"/>
          <w:sz w:val="24"/>
        </w:rPr>
        <w:t>布的企业会计准则及其应用指南、解释及其他有关规定（统称</w:t>
      </w:r>
      <w:r>
        <w:rPr>
          <w:rFonts w:hint="eastAsia" w:ascii="Arial Narrow" w:hAnsi="Arial Narrow" w:eastAsia="仿宋_GB2312" w:cs="Arial"/>
          <w:snapToGrid w:val="0"/>
          <w:sz w:val="24"/>
        </w:rPr>
        <w:t>“</w:t>
      </w:r>
      <w:r>
        <w:rPr>
          <w:rFonts w:ascii="Arial Narrow" w:hAnsi="Arial Narrow" w:eastAsia="仿宋_GB2312" w:cs="Arial"/>
          <w:snapToGrid w:val="0"/>
          <w:sz w:val="24"/>
        </w:rPr>
        <w:t xml:space="preserve"> 企业会计准则</w:t>
      </w:r>
      <w:r>
        <w:rPr>
          <w:rFonts w:hint="eastAsia" w:ascii="Arial Narrow" w:hAnsi="Arial Narrow" w:eastAsia="仿宋_GB2312" w:cs="Arial"/>
          <w:snapToGrid w:val="0"/>
          <w:sz w:val="24"/>
        </w:rPr>
        <w:t>”</w:t>
      </w:r>
      <w:r>
        <w:rPr>
          <w:rFonts w:ascii="Arial Narrow" w:hAnsi="Arial Narrow" w:eastAsia="仿宋_GB2312" w:cs="Arial"/>
          <w:snapToGrid w:val="0"/>
          <w:sz w:val="24"/>
        </w:rPr>
        <w:t>）编制。</w:t>
      </w:r>
    </w:p>
    <w:p w14:paraId="40135D9E">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本财务报表以持续经营为基础列报。</w:t>
      </w:r>
    </w:p>
    <w:p w14:paraId="7811C496">
      <w:pPr>
        <w:pStyle w:val="2"/>
        <w:spacing w:before="120" w:after="216"/>
      </w:pPr>
      <w:r>
        <w:t>遵循企业会计准则的声明</w:t>
      </w:r>
    </w:p>
    <w:p w14:paraId="5CAFAA59">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本公司编制的财务报表符合企业会计准则的要求，真实、完整地反映了本公司2025年12月31日的合并及公司财务状况以及2025年度的合并及公司经营成果和合并及公司现金流量等有关信息。</w:t>
      </w:r>
    </w:p>
    <w:p w14:paraId="7FCA029E">
      <w:pPr>
        <w:pStyle w:val="2"/>
        <w:spacing w:before="120" w:after="216"/>
      </w:pPr>
      <w:bookmarkStart w:id="0" w:name="_Ref78786484"/>
      <w:r>
        <w:t>重要会计政策、会计估计</w:t>
      </w:r>
      <w:bookmarkEnd w:id="0"/>
    </w:p>
    <w:p w14:paraId="03D36F19">
      <w:pPr>
        <w:pStyle w:val="4"/>
        <w:spacing w:before="120" w:after="216"/>
      </w:pPr>
      <w:r>
        <w:t>会计期间</w:t>
      </w:r>
    </w:p>
    <w:p w14:paraId="6159C3C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本公司会计期间采用公历年度，即每年自1月1日起至12月31日止。</w:t>
      </w:r>
    </w:p>
    <w:p w14:paraId="66424FC6">
      <w:pPr>
        <w:pStyle w:val="4"/>
        <w:spacing w:before="120" w:after="216"/>
      </w:pPr>
      <w:r>
        <w:t>记账本位币</w:t>
      </w:r>
    </w:p>
    <w:p w14:paraId="18FB4A88">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本公司以人民币为记账本位币。</w:t>
      </w:r>
    </w:p>
    <w:p w14:paraId="2F520CB9">
      <w:pPr>
        <w:pStyle w:val="4"/>
        <w:spacing w:before="120" w:after="216"/>
      </w:pPr>
      <w:r>
        <w:t>记账基础和计价原则</w:t>
      </w:r>
    </w:p>
    <w:p w14:paraId="79BEF3FD">
      <w:pPr>
        <w:snapToGrid w:val="0"/>
        <w:spacing w:after="216" w:afterLines="90"/>
        <w:rPr>
          <w:rFonts w:ascii="Arial Narrow" w:hAnsi="Arial Narrow" w:eastAsia="仿宋_GB2312" w:cs="Arial"/>
          <w:snapToGrid w:val="0"/>
          <w:color w:val="0000FF"/>
          <w:sz w:val="24"/>
        </w:rPr>
      </w:pPr>
      <w:r>
        <w:rPr>
          <w:rFonts w:ascii="Arial Narrow" w:hAnsi="Arial Narrow" w:eastAsia="仿宋_GB2312" w:cs="Arial"/>
          <w:snapToGrid w:val="0"/>
          <w:sz w:val="24"/>
        </w:rPr>
        <w:t>本公司会计核算以权责发生制为基础。除某些金融工具和投资性房地产外，本财务报表均以历史成本为计量基础。</w:t>
      </w:r>
    </w:p>
    <w:p w14:paraId="29BE0B24">
      <w:pPr>
        <w:pStyle w:val="4"/>
        <w:spacing w:before="120" w:after="216"/>
      </w:pPr>
      <w:r>
        <w:t>合营安排的分类及共同经营的会计处理方法</w:t>
      </w:r>
    </w:p>
    <w:p w14:paraId="7ABE4029">
      <w:pPr>
        <w:widowControl/>
        <w:spacing w:after="216" w:afterLines="90"/>
        <w:jc w:val="left"/>
        <w:rPr>
          <w:rFonts w:ascii="Arial Narrow" w:hAnsi="Arial Narrow" w:eastAsia="仿宋_GB2312"/>
          <w:sz w:val="24"/>
        </w:rPr>
      </w:pPr>
      <w:r>
        <w:rPr>
          <w:rFonts w:ascii="Arial Narrow" w:hAnsi="Arial Narrow" w:eastAsia="仿宋_GB2312"/>
          <w:sz w:val="24"/>
        </w:rPr>
        <w:t>合营安排，是指一项由两个或两个以上的参与方共同控制的安排。本公司合营安排分为共同经营和合营企业。</w:t>
      </w:r>
    </w:p>
    <w:p w14:paraId="6FB06E29">
      <w:pPr>
        <w:pStyle w:val="5"/>
        <w:numPr>
          <w:ilvl w:val="3"/>
          <w:numId w:val="5"/>
        </w:numPr>
      </w:pPr>
      <w:r>
        <w:t>共同经营</w:t>
      </w:r>
    </w:p>
    <w:p w14:paraId="5E7F121B">
      <w:pPr>
        <w:widowControl/>
        <w:spacing w:after="216" w:afterLines="90"/>
        <w:jc w:val="left"/>
        <w:rPr>
          <w:rFonts w:ascii="Arial Narrow" w:hAnsi="Arial Narrow" w:eastAsia="仿宋_GB2312"/>
          <w:sz w:val="24"/>
        </w:rPr>
      </w:pPr>
      <w:r>
        <w:rPr>
          <w:rFonts w:ascii="Arial Narrow" w:hAnsi="Arial Narrow" w:eastAsia="仿宋_GB2312"/>
          <w:sz w:val="24"/>
        </w:rPr>
        <w:t>共同经营是指本公司享有该安排相关资产且承担该安排相关负债的合营安排。</w:t>
      </w:r>
    </w:p>
    <w:p w14:paraId="4BE66F59">
      <w:pPr>
        <w:widowControl/>
        <w:spacing w:after="216" w:afterLines="90"/>
        <w:jc w:val="left"/>
        <w:rPr>
          <w:rFonts w:ascii="Arial Narrow" w:hAnsi="Arial Narrow" w:eastAsia="仿宋_GB2312"/>
          <w:sz w:val="24"/>
        </w:rPr>
      </w:pPr>
      <w:r>
        <w:rPr>
          <w:rFonts w:ascii="Arial Narrow" w:hAnsi="Arial Narrow" w:eastAsia="仿宋_GB2312"/>
          <w:sz w:val="24"/>
        </w:rPr>
        <w:t>本公司确认与共同经营中利益份额相关的下列项目，并按照相关企业会计准则的规定进行会计处理：</w:t>
      </w:r>
    </w:p>
    <w:p w14:paraId="42EA2E0F">
      <w:pPr>
        <w:widowControl/>
        <w:spacing w:after="216" w:afterLines="90"/>
        <w:jc w:val="left"/>
        <w:rPr>
          <w:rFonts w:ascii="Arial Narrow" w:hAnsi="Arial Narrow" w:eastAsia="仿宋_GB2312"/>
          <w:sz w:val="24"/>
        </w:rPr>
      </w:pPr>
      <w:r>
        <w:rPr>
          <w:rFonts w:ascii="Arial Narrow" w:hAnsi="Arial Narrow" w:eastAsia="仿宋_GB2312"/>
          <w:sz w:val="24"/>
        </w:rPr>
        <w:t>A、确认单独所持有的资产，以及按其份额确认共同持有的资产；B、确认单独所承担的负债，以及按其份额确认共同承担的负债；C、确认出售其享有的共同经营产出份额所产生的收入；D、按其份额确认共同经营因出售产出所产生的收入；E、确认单独所发生的费用，以及按其份额确认共同经营发生的费用。</w:t>
      </w:r>
    </w:p>
    <w:p w14:paraId="2CF5CED7">
      <w:pPr>
        <w:pStyle w:val="5"/>
        <w:numPr>
          <w:ilvl w:val="3"/>
          <w:numId w:val="5"/>
        </w:numPr>
      </w:pPr>
      <w:r>
        <w:t>合营企业</w:t>
      </w:r>
    </w:p>
    <w:p w14:paraId="6D0CDC54">
      <w:pPr>
        <w:widowControl/>
        <w:spacing w:after="216" w:afterLines="90"/>
        <w:jc w:val="left"/>
        <w:rPr>
          <w:rFonts w:ascii="Arial Narrow" w:hAnsi="Arial Narrow" w:eastAsia="仿宋_GB2312"/>
          <w:sz w:val="24"/>
        </w:rPr>
      </w:pPr>
      <w:r>
        <w:rPr>
          <w:rFonts w:ascii="Arial Narrow" w:hAnsi="Arial Narrow" w:eastAsia="仿宋_GB2312"/>
          <w:sz w:val="24"/>
        </w:rPr>
        <w:t>合营企业是指本公司仅对该安排的净资产享有权利的合营安排。</w:t>
      </w:r>
    </w:p>
    <w:p w14:paraId="7F2036E6">
      <w:pPr>
        <w:widowControl/>
        <w:spacing w:after="216" w:afterLines="90"/>
        <w:jc w:val="left"/>
        <w:rPr>
          <w:rFonts w:ascii="Arial Narrow" w:hAnsi="Arial Narrow" w:eastAsia="仿宋_GB2312"/>
          <w:sz w:val="24"/>
        </w:rPr>
      </w:pPr>
      <w:r>
        <w:rPr>
          <w:rFonts w:ascii="Arial Narrow" w:hAnsi="Arial Narrow" w:eastAsia="仿宋_GB2312"/>
          <w:sz w:val="24"/>
        </w:rPr>
        <w:t>本公司按照长期股权投资有关权益法核算的规定对合营企业的投资进行会计处理。</w:t>
      </w:r>
    </w:p>
    <w:p w14:paraId="11E723C6">
      <w:pPr>
        <w:pStyle w:val="4"/>
        <w:spacing w:before="120" w:after="216"/>
      </w:pPr>
      <w:r>
        <w:t>现金及现金等价物</w:t>
      </w:r>
    </w:p>
    <w:p w14:paraId="6B540D1D">
      <w:pPr>
        <w:snapToGrid w:val="0"/>
        <w:spacing w:after="216" w:afterLines="90"/>
        <w:rPr>
          <w:rFonts w:ascii="Arial Narrow" w:hAnsi="Arial Narrow" w:eastAsia="仿宋_GB2312" w:cs="Arial"/>
          <w:snapToGrid w:val="0"/>
          <w:sz w:val="24"/>
        </w:rPr>
      </w:pPr>
      <w:r>
        <w:rPr>
          <w:rFonts w:ascii="Arial Narrow" w:hAnsi="Arial Narrow" w:eastAsia="仿宋_GB2312"/>
          <w:sz w:val="24"/>
        </w:rPr>
        <w:t>现金是指库存现金以及可以随时用于支付的存款。</w:t>
      </w:r>
      <w:r>
        <w:rPr>
          <w:rFonts w:ascii="Arial Narrow" w:hAnsi="Arial Narrow" w:eastAsia="仿宋_GB2312" w:cs="Arial"/>
          <w:snapToGrid w:val="0"/>
          <w:sz w:val="24"/>
        </w:rPr>
        <w:t>现金等价物，是指本公司持有的期限短、流动性强、易于转换为已知金额现金、价值变动风险很小的投资。</w:t>
      </w:r>
    </w:p>
    <w:p w14:paraId="04E1A23E">
      <w:pPr>
        <w:pStyle w:val="4"/>
        <w:spacing w:before="120" w:after="216"/>
      </w:pPr>
      <w:r>
        <w:t>外币业务和外币报表折算</w:t>
      </w:r>
    </w:p>
    <w:p w14:paraId="5F19D23A">
      <w:pPr>
        <w:pStyle w:val="5"/>
        <w:numPr>
          <w:ilvl w:val="3"/>
          <w:numId w:val="6"/>
        </w:numPr>
      </w:pPr>
      <w:r>
        <w:t>外币业务</w:t>
      </w:r>
    </w:p>
    <w:p w14:paraId="544E0C12">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本公司发生外币业务，按交易发生日的即期汇率折算为记账本位币金额。</w:t>
      </w:r>
    </w:p>
    <w:p w14:paraId="12694B4C">
      <w:pPr>
        <w:snapToGrid w:val="0"/>
        <w:spacing w:after="216" w:afterLines="90"/>
        <w:rPr>
          <w:rFonts w:ascii="Arial Narrow" w:hAnsi="Arial Narrow" w:eastAsia="仿宋_GB2312"/>
          <w:sz w:val="24"/>
        </w:rPr>
      </w:pPr>
      <w:r>
        <w:rPr>
          <w:rFonts w:ascii="Arial Narrow" w:hAnsi="Arial Narrow" w:eastAsia="仿宋_GB2312" w:cs="Arial"/>
          <w:snapToGrid w:val="0"/>
          <w:sz w:val="24"/>
        </w:rPr>
        <w:t>资产负债表日，对外币货币性项目，采用资产负债表日即期汇率折算。因资产负债表日即期汇率与初始确认时或者前一资产负债表日即期汇率不同而产生的汇兑差额，计入当期损益；对以历史成本计量的外币非货币性项目，仍采用交易发生日的即期汇率折算；对以公允价值计量的外币非货币性项目，采用公允价值确定日的即期汇率折算，折算后的记账本位币金额与原记账本位币金额的差额，</w:t>
      </w:r>
      <w:r>
        <w:rPr>
          <w:rFonts w:hint="eastAsia" w:ascii="Arial Narrow" w:hAnsi="Arial Narrow" w:eastAsia="仿宋_GB2312" w:cs="Arial"/>
          <w:snapToGrid w:val="0"/>
          <w:sz w:val="24"/>
        </w:rPr>
        <w:t>根据非货币性项目的性质计入当期损益或其他综合收益</w:t>
      </w:r>
      <w:r>
        <w:rPr>
          <w:rFonts w:ascii="Arial Narrow" w:hAnsi="Arial Narrow" w:eastAsia="仿宋_GB2312"/>
          <w:sz w:val="24"/>
        </w:rPr>
        <w:t>。</w:t>
      </w:r>
    </w:p>
    <w:p w14:paraId="6C7A53FC">
      <w:pPr>
        <w:pStyle w:val="5"/>
      </w:pPr>
      <w:r>
        <w:t>外币财务报表的折算</w:t>
      </w:r>
    </w:p>
    <w:p w14:paraId="0D200143">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资产负债表日，本公司对境外子公司外币财务报表进行折算时，资产负债表中的资产和负债项目，采用资产负债表日的即期汇率折算，股东权益项目除“未分配利润”外，其他项目采用发生日的即期汇率折算。</w:t>
      </w:r>
    </w:p>
    <w:p w14:paraId="1FDD18FB">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利润表中的收入和费用项目，采用交易发生日的即期汇率折算。</w:t>
      </w:r>
    </w:p>
    <w:p w14:paraId="001428C5">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现金流量表所有项目均按照现金流量发生日的即期汇率折算。汇率变动对现金的影响额作为调节项目，在现金流量表中单独列示“汇率变动对现金及现金等价物的影响” 项目反映。</w:t>
      </w:r>
    </w:p>
    <w:p w14:paraId="206CC5A7">
      <w:pPr>
        <w:snapToGrid w:val="0"/>
        <w:spacing w:after="216" w:afterLines="90"/>
        <w:rPr>
          <w:rFonts w:ascii="Arial Narrow" w:hAnsi="Arial Narrow" w:eastAsia="仿宋_GB2312"/>
          <w:snapToGrid w:val="0"/>
          <w:sz w:val="24"/>
        </w:rPr>
      </w:pPr>
      <w:r>
        <w:rPr>
          <w:rFonts w:ascii="Arial Narrow" w:hAnsi="Arial Narrow" w:eastAsia="仿宋_GB2312" w:cs="Arial"/>
          <w:snapToGrid w:val="0"/>
          <w:sz w:val="24"/>
        </w:rPr>
        <w:t>由于财务报表折算而产生的差额，在资产负债表股东权益项目下</w:t>
      </w:r>
      <w:r>
        <w:rPr>
          <w:rFonts w:ascii="Arial Narrow" w:hAnsi="Arial Narrow" w:eastAsia="仿宋_GB2312"/>
          <w:snapToGrid w:val="0"/>
          <w:sz w:val="24"/>
        </w:rPr>
        <w:t>的“其他综合收益”项目反映。</w:t>
      </w:r>
    </w:p>
    <w:p w14:paraId="5638DE23">
      <w:pPr>
        <w:snapToGrid w:val="0"/>
        <w:spacing w:after="216" w:afterLines="90"/>
        <w:rPr>
          <w:rFonts w:ascii="Arial Narrow" w:hAnsi="Arial Narrow" w:eastAsia="仿宋_GB2312"/>
          <w:sz w:val="24"/>
        </w:rPr>
      </w:pPr>
      <w:r>
        <w:rPr>
          <w:rFonts w:ascii="Arial Narrow" w:hAnsi="Arial Narrow" w:eastAsia="仿宋_GB2312" w:cs="Arial"/>
          <w:snapToGrid w:val="0"/>
          <w:sz w:val="24"/>
        </w:rPr>
        <w:t>处置境外经营并丧失控制权时，将资产负债表中所有者权益项目下列示的、与该境外经营相关的外币报表折算差额，全部或按处置该境外经营的比例转入处置当期损益。</w:t>
      </w:r>
    </w:p>
    <w:p w14:paraId="5EAECE96">
      <w:pPr>
        <w:pStyle w:val="4"/>
        <w:spacing w:before="120" w:after="216"/>
      </w:pPr>
      <w:bookmarkStart w:id="1" w:name="_Ref78786817"/>
      <w:r>
        <w:t>金融工具</w:t>
      </w:r>
      <w:bookmarkEnd w:id="1"/>
    </w:p>
    <w:p w14:paraId="444EBC0A">
      <w:pPr>
        <w:snapToGrid w:val="0"/>
        <w:spacing w:after="216" w:afterLines="90"/>
        <w:rPr>
          <w:rFonts w:ascii="Arial Narrow" w:hAnsi="Arial Narrow" w:eastAsia="仿宋_GB2312"/>
          <w:sz w:val="24"/>
        </w:rPr>
      </w:pPr>
      <w:r>
        <w:rPr>
          <w:rFonts w:ascii="Arial Narrow" w:hAnsi="Arial Narrow" w:eastAsia="仿宋_GB2312"/>
          <w:sz w:val="24"/>
        </w:rPr>
        <w:t>金融工具是指形成一方的金融资产，并形成其他方的金融负债或权益工具的合同。</w:t>
      </w:r>
    </w:p>
    <w:p w14:paraId="1B9099EF">
      <w:pPr>
        <w:pStyle w:val="5"/>
        <w:numPr>
          <w:ilvl w:val="3"/>
          <w:numId w:val="7"/>
        </w:numPr>
      </w:pPr>
      <w:r>
        <w:t>金融工具的确认和终止确认</w:t>
      </w:r>
    </w:p>
    <w:p w14:paraId="156E388C">
      <w:pPr>
        <w:snapToGrid w:val="0"/>
        <w:spacing w:after="216" w:afterLines="90"/>
        <w:rPr>
          <w:rFonts w:ascii="Arial Narrow" w:hAnsi="Arial Narrow" w:eastAsia="仿宋_GB2312"/>
          <w:sz w:val="24"/>
        </w:rPr>
      </w:pPr>
      <w:r>
        <w:rPr>
          <w:rFonts w:ascii="Arial Narrow" w:hAnsi="Arial Narrow" w:eastAsia="仿宋_GB2312"/>
          <w:sz w:val="24"/>
        </w:rPr>
        <w:t>本公司于成为金融工具合同的一方时确认一项金融资产或金融负债。</w:t>
      </w:r>
    </w:p>
    <w:p w14:paraId="1ADD86A9">
      <w:pPr>
        <w:snapToGrid w:val="0"/>
        <w:spacing w:after="216" w:afterLines="90"/>
        <w:rPr>
          <w:rFonts w:ascii="Arial Narrow" w:hAnsi="Arial Narrow" w:eastAsia="仿宋_GB2312" w:cs="宋体"/>
          <w:sz w:val="24"/>
        </w:rPr>
      </w:pPr>
      <w:r>
        <w:rPr>
          <w:rFonts w:ascii="Arial Narrow" w:hAnsi="Arial Narrow" w:eastAsia="仿宋_GB2312" w:cs="宋体"/>
          <w:sz w:val="24"/>
        </w:rPr>
        <w:t>金融资产满足下列条件之一的，终止确认：</w:t>
      </w:r>
      <w:bookmarkStart w:id="2" w:name="OLE_LINK2"/>
      <w:bookmarkStart w:id="3" w:name="OLE_LINK3"/>
      <w:r>
        <w:rPr>
          <w:rFonts w:hint="eastAsia" w:ascii="Arial Narrow" w:hAnsi="Arial Narrow" w:eastAsia="仿宋_GB2312" w:cs="宋体"/>
          <w:sz w:val="24"/>
        </w:rPr>
        <w:t>①</w:t>
      </w:r>
      <w:bookmarkEnd w:id="2"/>
      <w:r>
        <w:rPr>
          <w:rFonts w:ascii="Arial Narrow" w:hAnsi="Arial Narrow" w:eastAsia="仿宋_GB2312" w:cs="宋体"/>
          <w:sz w:val="24"/>
        </w:rPr>
        <w:t xml:space="preserve"> </w:t>
      </w:r>
      <w:bookmarkEnd w:id="3"/>
      <w:r>
        <w:rPr>
          <w:rFonts w:ascii="Arial Narrow" w:hAnsi="Arial Narrow" w:eastAsia="仿宋_GB2312" w:cs="宋体"/>
          <w:sz w:val="24"/>
        </w:rPr>
        <w:t>收取该金融资产现金流量的合同权利终止；</w:t>
      </w:r>
      <w:r>
        <w:rPr>
          <w:rFonts w:hint="eastAsia" w:ascii="Arial Narrow" w:hAnsi="Arial Narrow" w:eastAsia="仿宋_GB2312" w:cs="宋体"/>
          <w:sz w:val="24"/>
        </w:rPr>
        <w:t>②</w:t>
      </w:r>
      <w:r>
        <w:rPr>
          <w:rFonts w:ascii="Arial Narrow" w:hAnsi="Arial Narrow" w:eastAsia="仿宋_GB2312" w:cs="宋体"/>
          <w:sz w:val="24"/>
        </w:rPr>
        <w:t xml:space="preserve"> 该金融资产已转移，且符合下述金融资产转移的终止确认条件。</w:t>
      </w:r>
    </w:p>
    <w:p w14:paraId="3F83C282">
      <w:pPr>
        <w:snapToGrid w:val="0"/>
        <w:spacing w:after="216" w:afterLines="90"/>
        <w:rPr>
          <w:rFonts w:ascii="Arial Narrow" w:hAnsi="Arial Narrow" w:eastAsia="仿宋_GB2312"/>
          <w:sz w:val="24"/>
        </w:rPr>
      </w:pPr>
      <w:r>
        <w:rPr>
          <w:rFonts w:ascii="Arial Narrow" w:hAnsi="Arial Narrow" w:eastAsia="仿宋_GB2312"/>
          <w:sz w:val="24"/>
        </w:rPr>
        <w:t>金融负债的现时义务全部或部分已经解除的，终止确认该金融负债或其一部分。本公司（债务人）与债权人之间签订协议，以承担新金融负债方式替换现存金融负债，且新金融负债与现存金融负债的合同条款实质上不同的，终止确认现存金融负债，并同时确认新金融负债。</w:t>
      </w:r>
    </w:p>
    <w:p w14:paraId="3CC9C926">
      <w:pPr>
        <w:snapToGrid w:val="0"/>
        <w:spacing w:after="216" w:afterLines="90"/>
        <w:rPr>
          <w:rFonts w:ascii="Arial Narrow" w:hAnsi="Arial Narrow" w:eastAsia="仿宋_GB2312"/>
          <w:sz w:val="24"/>
        </w:rPr>
      </w:pPr>
      <w:r>
        <w:rPr>
          <w:rFonts w:ascii="Arial Narrow" w:hAnsi="Arial Narrow" w:eastAsia="仿宋_GB2312"/>
          <w:sz w:val="24"/>
        </w:rPr>
        <w:t>以常规方式买卖金融资产，按交易日进行会计确认和终止确认。</w:t>
      </w:r>
    </w:p>
    <w:p w14:paraId="24367B11">
      <w:pPr>
        <w:pStyle w:val="5"/>
      </w:pPr>
      <w:r>
        <w:t>金融资产分类和计量</w:t>
      </w:r>
    </w:p>
    <w:p w14:paraId="591C00DC">
      <w:pPr>
        <w:snapToGrid w:val="0"/>
        <w:spacing w:after="216" w:afterLines="90"/>
        <w:rPr>
          <w:rFonts w:ascii="Arial Narrow" w:hAnsi="Arial Narrow" w:eastAsia="仿宋_GB2312"/>
          <w:sz w:val="24"/>
        </w:rPr>
      </w:pPr>
      <w:r>
        <w:rPr>
          <w:rFonts w:ascii="Arial Narrow" w:hAnsi="Arial Narrow" w:eastAsia="仿宋_GB2312"/>
          <w:sz w:val="24"/>
        </w:rPr>
        <w:t>本公司在初始确认时根据管理金融资产的业务模式和金融资产的合同现金流量特征，将金融资产分为以下三类：以摊余成本计量的金融资产、以公允价值计量且其变动计入其他综合收益的金融资产、以公允价值计量且其变动计入当期损益的金融资产。</w:t>
      </w:r>
    </w:p>
    <w:p w14:paraId="2259CEEA">
      <w:pPr>
        <w:keepNext/>
        <w:widowControl/>
        <w:adjustRightInd w:val="0"/>
        <w:snapToGrid w:val="0"/>
        <w:spacing w:before="120" w:beforeLines="50" w:after="216" w:afterLines="90"/>
        <w:rPr>
          <w:rFonts w:ascii="Arial Narrow" w:hAnsi="Arial Narrow" w:eastAsia="仿宋_GB2312"/>
          <w:b/>
          <w:sz w:val="24"/>
        </w:rPr>
      </w:pPr>
      <w:r>
        <w:rPr>
          <w:rFonts w:ascii="Arial Narrow" w:hAnsi="Arial Narrow" w:eastAsia="仿宋_GB2312"/>
          <w:b/>
          <w:sz w:val="24"/>
        </w:rPr>
        <w:t xml:space="preserve">以摊余成本计量的金融资产 </w:t>
      </w:r>
    </w:p>
    <w:p w14:paraId="6A63BC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本公司将同时符合下列条件且未被指定为以公允价值计量且其变动计入当期损益的金融资产，分类为以摊余成本计量的金融资产： </w:t>
      </w:r>
    </w:p>
    <w:p w14:paraId="0F407E23">
      <w:pPr>
        <w:pStyle w:val="15"/>
        <w:widowControl/>
        <w:numPr>
          <w:ilvl w:val="0"/>
          <w:numId w:val="8"/>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本公司管理该金融资产的业务模式是以收取合同现金流量为目标； </w:t>
      </w:r>
    </w:p>
    <w:p w14:paraId="3833C4B4">
      <w:pPr>
        <w:pStyle w:val="15"/>
        <w:widowControl/>
        <w:numPr>
          <w:ilvl w:val="0"/>
          <w:numId w:val="8"/>
        </w:numPr>
        <w:adjustRightInd w:val="0"/>
        <w:snapToGrid w:val="0"/>
        <w:spacing w:after="216" w:afterLines="90"/>
        <w:ind w:left="0" w:firstLine="0" w:firstLineChars="0"/>
        <w:rPr>
          <w:rFonts w:ascii="Arial Narrow" w:hAnsi="Arial Narrow" w:eastAsia="仿宋_GB2312"/>
          <w:sz w:val="24"/>
          <w:szCs w:val="24"/>
        </w:rPr>
      </w:pPr>
      <w:r>
        <w:rPr>
          <w:rFonts w:ascii="Arial Narrow" w:hAnsi="Arial Narrow" w:eastAsia="仿宋_GB2312"/>
          <w:sz w:val="24"/>
          <w:szCs w:val="24"/>
        </w:rPr>
        <w:t xml:space="preserve">该金融资产的合同条款规定，在特定日期产生的现金流量，仅为对本金和以未偿付本金金额为基础的利息的支付。 </w:t>
      </w:r>
    </w:p>
    <w:p w14:paraId="350E0BE0">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采用实际利率法以摊余成本计量。以摊余成本计量且不属于任何套期关系的一部分的金融资产所产生的利得或损失，在终止确认、按照实际利率法摊销或确认减值时，计入当期损益。 </w:t>
      </w:r>
    </w:p>
    <w:p w14:paraId="76EA6C16">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以公允价值计量且其变动计入其他综合收益的金融资产</w:t>
      </w:r>
    </w:p>
    <w:p w14:paraId="1A416E6C">
      <w:pPr>
        <w:snapToGrid w:val="0"/>
        <w:spacing w:after="216" w:afterLines="90"/>
        <w:rPr>
          <w:rFonts w:ascii="Arial Narrow" w:hAnsi="Arial Narrow" w:eastAsia="仿宋_GB2312"/>
          <w:sz w:val="24"/>
        </w:rPr>
      </w:pPr>
      <w:r>
        <w:rPr>
          <w:rFonts w:ascii="Arial Narrow" w:hAnsi="Arial Narrow" w:eastAsia="仿宋_GB2312"/>
          <w:sz w:val="24"/>
        </w:rPr>
        <w:t xml:space="preserve">本公司将同时符合下列条件且未被指定为以公允价值计量且其变动计入当期损益的金融资产，分类为以公允价值计量且其变动计入其他综合收益的金融资产： </w:t>
      </w:r>
    </w:p>
    <w:p w14:paraId="5B35E466">
      <w:pPr>
        <w:pStyle w:val="15"/>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本公司管理该金融资产的业务模式既以收取合同现金流量为目标又以出售该金融资产为目标； </w:t>
      </w:r>
    </w:p>
    <w:p w14:paraId="3D87FB9D">
      <w:pPr>
        <w:pStyle w:val="15"/>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该金融资产的合同条款规定，在特定日期产生的现金流量，仅为对本金和以未偿付本金金额为基础的利息的支付。</w:t>
      </w:r>
    </w:p>
    <w:p w14:paraId="24CC98B8">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采用实际利率法计算的利息、减值损失或利得及汇兑损益计入当期损益，其他利得或损失计入其他综合收益。终止确认时，将之前计入其他综合收益的累计利得或损失从其他综合收益中转出，计入当期损益。 </w:t>
      </w:r>
    </w:p>
    <w:p w14:paraId="580B86C9">
      <w:pPr>
        <w:keepNext/>
        <w:widowControl/>
        <w:snapToGrid w:val="0"/>
        <w:spacing w:after="216" w:afterLines="90"/>
        <w:rPr>
          <w:rFonts w:ascii="Arial Narrow" w:hAnsi="Arial Narrow" w:eastAsia="仿宋_GB2312"/>
          <w:b/>
          <w:sz w:val="24"/>
        </w:rPr>
      </w:pPr>
      <w:r>
        <w:rPr>
          <w:rFonts w:ascii="Arial Narrow" w:hAnsi="Arial Narrow" w:eastAsia="仿宋_GB2312"/>
          <w:b/>
          <w:sz w:val="24"/>
        </w:rPr>
        <w:t xml:space="preserve">以公允价值计量且其变动计入当期损益的金融资产 </w:t>
      </w:r>
    </w:p>
    <w:p w14:paraId="4D3EB2D9">
      <w:pPr>
        <w:snapToGrid w:val="0"/>
        <w:spacing w:after="216" w:afterLines="90"/>
        <w:rPr>
          <w:rFonts w:ascii="Arial Narrow" w:hAnsi="Arial Narrow" w:eastAsia="仿宋_GB2312"/>
          <w:sz w:val="24"/>
        </w:rPr>
      </w:pPr>
      <w:r>
        <w:rPr>
          <w:rFonts w:ascii="Arial Narrow" w:hAnsi="Arial Narrow" w:eastAsia="仿宋_GB2312"/>
          <w:sz w:val="24"/>
        </w:rPr>
        <w:t>除上述以摊余成本计量和以公允价值计量且其变动计入其他综合收益的金融资产外，本公司将其余所有的金融资产分类为以公允价值计量且其变动计入当期损益的金融资产。在初始确认时，为消除或显著减少会计错配，本公司将部分本应以摊余成本计量或以公允价值计量且其变动计入其他综合收益的金融资产不可撤销地指定为以公允价值计量且其变动计入当期损益的金融资产。</w:t>
      </w:r>
    </w:p>
    <w:p w14:paraId="796002E6">
      <w:pPr>
        <w:snapToGrid w:val="0"/>
        <w:spacing w:after="216" w:afterLines="90"/>
        <w:rPr>
          <w:rFonts w:ascii="Arial Narrow" w:hAnsi="Arial Narrow" w:eastAsia="仿宋_GB2312"/>
          <w:sz w:val="24"/>
        </w:rPr>
      </w:pPr>
      <w:r>
        <w:rPr>
          <w:rFonts w:ascii="Arial Narrow" w:hAnsi="Arial Narrow" w:eastAsia="仿宋_GB2312"/>
          <w:sz w:val="24"/>
        </w:rPr>
        <w:t xml:space="preserve">初始确认后，对于该类金融资产以公允价值进行后续计量，产生的利得或损失（包括利息和股利收入）计入当期损益，除非该金融资产属于套期关系的一部分。 </w:t>
      </w:r>
    </w:p>
    <w:p w14:paraId="735C2A1D">
      <w:pPr>
        <w:snapToGrid w:val="0"/>
        <w:spacing w:after="216" w:afterLines="90"/>
        <w:rPr>
          <w:rFonts w:ascii="Arial Narrow" w:hAnsi="Arial Narrow" w:eastAsia="仿宋_GB2312"/>
          <w:color w:val="FF0000"/>
          <w:sz w:val="24"/>
        </w:rPr>
      </w:pPr>
      <w:r>
        <w:rPr>
          <w:rFonts w:ascii="Arial Narrow" w:hAnsi="Arial Narrow" w:eastAsia="仿宋_GB2312"/>
          <w:color w:val="0000FF"/>
          <w:sz w:val="24"/>
        </w:rPr>
        <w:t>【如果不选择在初始确认时进行指定，则删除本段及后面一段内容。】</w:t>
      </w:r>
      <w:r>
        <w:rPr>
          <w:rFonts w:ascii="Arial Narrow" w:hAnsi="Arial Narrow" w:eastAsia="仿宋_GB2312"/>
          <w:color w:val="FF0000"/>
          <w:sz w:val="24"/>
        </w:rPr>
        <w:t>但是，对于非交易性权益工具投资，本公司在初始确认时将其不可撤销地指定为以公允价值计量且其变动计入其他综合收益的金融资产。该指定在单项投资的基础上作出，且相关投资从发行方的角度符合权益工具的定义。</w:t>
      </w:r>
    </w:p>
    <w:p w14:paraId="31C87E6A">
      <w:pPr>
        <w:snapToGrid w:val="0"/>
        <w:spacing w:after="216" w:afterLines="90"/>
        <w:rPr>
          <w:rFonts w:ascii="Arial Narrow" w:hAnsi="Arial Narrow" w:eastAsia="仿宋_GB2312"/>
          <w:sz w:val="24"/>
        </w:rPr>
      </w:pPr>
      <w:r>
        <w:rPr>
          <w:rFonts w:ascii="Arial Narrow" w:hAnsi="Arial Narrow" w:eastAsia="仿宋_GB2312"/>
          <w:color w:val="FF0000"/>
          <w:sz w:val="24"/>
        </w:rPr>
        <w:t>初始确认后，对于该类金融资产以公允价值进行后续计量。满足条件的股利收入计入损益，其他利得或损失及公允价值变动计入其他综合收益。终止确认时，将之前计入其他综合收益的累计利得或损失从其他综合收益中转出，计入留存收益。</w:t>
      </w:r>
    </w:p>
    <w:p w14:paraId="73A6874A">
      <w:pPr>
        <w:snapToGrid w:val="0"/>
        <w:spacing w:after="216" w:afterLines="90"/>
        <w:rPr>
          <w:rFonts w:ascii="Arial Narrow" w:hAnsi="Arial Narrow" w:eastAsia="仿宋_GB2312"/>
          <w:sz w:val="24"/>
        </w:rPr>
      </w:pPr>
      <w:r>
        <w:rPr>
          <w:rFonts w:ascii="Arial Narrow" w:hAnsi="Arial Narrow" w:eastAsia="仿宋_GB2312"/>
          <w:sz w:val="24"/>
        </w:rPr>
        <w:t xml:space="preserve">管理金融资产的业务模式，是指本公司如何管理金融资产以产生现金流量。业务模式决定本公司所管理金融资产现金流量的来源是收取合同现金流量、出售金融资产还是两者兼有。本公司以客观事实为依据、以关键管理人员决定的对金融资产进行管理的特定业务目标为基础，确定管理金融资产的业务模式。 </w:t>
      </w:r>
    </w:p>
    <w:p w14:paraId="56A11978">
      <w:pPr>
        <w:snapToGrid w:val="0"/>
        <w:spacing w:after="216" w:afterLines="90"/>
        <w:rPr>
          <w:rFonts w:ascii="Arial Narrow" w:hAnsi="Arial Narrow" w:eastAsia="仿宋_GB2312"/>
          <w:sz w:val="24"/>
        </w:rPr>
      </w:pPr>
      <w:r>
        <w:rPr>
          <w:rFonts w:ascii="Arial Narrow" w:hAnsi="Arial Narrow" w:eastAsia="仿宋_GB2312"/>
          <w:sz w:val="24"/>
        </w:rPr>
        <w:t>本公司对金融资产的合同现金流量特征进行评估，以确定相关金融资产在特定日期产生的合同现金流量是否仅为对本金和以未偿付本金金额为基础的利息的支付。其中，本金是指金融资产在初始确认时的公允价值；利息包括对货币时间价值、与特定时期未偿付本金金额相关的信用风险、以及其他基本借贷风险、成本和利润的对价。此外，本公司对可能导致金融资产合同现金流量的时间分布或金额发生变更的合同条款进行评估，以确定其是否满足上述合同现金流量特征的要求。</w:t>
      </w:r>
    </w:p>
    <w:p w14:paraId="7D5AE688">
      <w:pPr>
        <w:snapToGrid w:val="0"/>
        <w:spacing w:after="216" w:afterLines="90"/>
        <w:rPr>
          <w:rFonts w:ascii="Arial Narrow" w:hAnsi="Arial Narrow" w:eastAsia="仿宋_GB2312"/>
          <w:sz w:val="24"/>
        </w:rPr>
      </w:pPr>
      <w:r>
        <w:rPr>
          <w:rFonts w:ascii="Arial Narrow" w:hAnsi="Arial Narrow" w:eastAsia="仿宋_GB2312"/>
          <w:sz w:val="24"/>
        </w:rPr>
        <w:t xml:space="preserve">仅在本公司改变管理金融资产的业务模式时，所有受影响的相关金融资产在业务模式发生变更后的首个报告期间的第一天进行重分类，否则金融资产在初始确认后不得进行重分类。 </w:t>
      </w:r>
    </w:p>
    <w:p w14:paraId="234AFCB9">
      <w:pPr>
        <w:snapToGrid w:val="0"/>
        <w:spacing w:after="216" w:afterLines="90"/>
        <w:rPr>
          <w:rFonts w:ascii="Arial Narrow" w:hAnsi="Arial Narrow" w:eastAsia="仿宋_GB2312"/>
          <w:sz w:val="24"/>
        </w:rPr>
      </w:pPr>
      <w:r>
        <w:rPr>
          <w:rFonts w:ascii="Arial Narrow" w:hAnsi="Arial Narrow" w:eastAsia="仿宋_GB2312"/>
          <w:sz w:val="24"/>
        </w:rPr>
        <w:t>金融资产在初始确认时以公允价值计量。对于以公允价值计量且其变动计入当期损益的金融资产，相关交易费用直接计入当期损益；对于其他类别的金融资产，相关交易费用计入初始确认金额。因销售产品或提供劳务而产生的、未包含或不考虑重大融资成分的应收账款，本公司按照预期有权收取的对价金额作为初始确认金额。</w:t>
      </w:r>
    </w:p>
    <w:p w14:paraId="0ECE0EDD">
      <w:pPr>
        <w:pStyle w:val="5"/>
      </w:pPr>
      <w:r>
        <w:t>金融负债分类和计量</w:t>
      </w:r>
    </w:p>
    <w:p w14:paraId="121CFCF8">
      <w:pPr>
        <w:snapToGrid w:val="0"/>
        <w:spacing w:after="216" w:afterLines="90"/>
        <w:rPr>
          <w:rFonts w:ascii="Arial Narrow" w:hAnsi="Arial Narrow" w:eastAsia="仿宋_GB2312"/>
          <w:sz w:val="24"/>
        </w:rPr>
      </w:pPr>
      <w:r>
        <w:rPr>
          <w:rFonts w:ascii="Arial Narrow" w:hAnsi="Arial Narrow" w:eastAsia="仿宋_GB2312"/>
          <w:sz w:val="24"/>
        </w:rPr>
        <w:t>本公司的金融负债于初始确认时分类为：以公允价值计量且其变动计入当期损益的金融负债、以摊余成本计量的金融负债。对于未划分为以公允价值计量且其变动计入当期损益的金融负债的，相关交易费用计入其初始确认金额。</w:t>
      </w:r>
    </w:p>
    <w:p w14:paraId="7D2170E9">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以公允价值计量且其变动计入当期损益的金融负债</w:t>
      </w:r>
    </w:p>
    <w:p w14:paraId="06F58B0A">
      <w:pPr>
        <w:snapToGrid w:val="0"/>
        <w:spacing w:after="216" w:afterLines="90"/>
        <w:rPr>
          <w:rFonts w:ascii="Arial Narrow" w:hAnsi="Arial Narrow" w:eastAsia="仿宋_GB2312"/>
          <w:sz w:val="24"/>
        </w:rPr>
      </w:pPr>
      <w:r>
        <w:rPr>
          <w:rFonts w:ascii="Arial Narrow" w:hAnsi="Arial Narrow" w:eastAsia="仿宋_GB2312"/>
          <w:sz w:val="24"/>
        </w:rPr>
        <w:t>以公允价值计量且其变动计入当期损益的金融负债，包括交易性金融负债和初始确认时指定为以公允价值计量且其变动计入当期损益的金融负债。对于此类金融负债，按照公允价值进行后续计量，公允价值变动形成的利得或损失以及与该等金融负债相关的股利和利息支出计入当期损益。</w:t>
      </w:r>
    </w:p>
    <w:p w14:paraId="14E3C3CB">
      <w:pPr>
        <w:keepNext/>
        <w:widowControl/>
        <w:snapToGrid w:val="0"/>
        <w:spacing w:after="216" w:afterLines="90"/>
        <w:rPr>
          <w:rFonts w:ascii="Arial Narrow" w:hAnsi="Arial Narrow" w:eastAsia="仿宋_GB2312"/>
          <w:b/>
          <w:sz w:val="24"/>
        </w:rPr>
      </w:pPr>
      <w:r>
        <w:rPr>
          <w:rFonts w:ascii="Arial Narrow" w:hAnsi="Arial Narrow" w:eastAsia="仿宋_GB2312"/>
          <w:b/>
          <w:sz w:val="24"/>
        </w:rPr>
        <w:t>以摊余成本计量的金融负债</w:t>
      </w:r>
    </w:p>
    <w:p w14:paraId="00DB0F54">
      <w:pPr>
        <w:snapToGrid w:val="0"/>
        <w:spacing w:after="216" w:afterLines="90"/>
        <w:rPr>
          <w:rFonts w:ascii="Arial Narrow" w:hAnsi="Arial Narrow" w:eastAsia="仿宋_GB2312"/>
          <w:sz w:val="24"/>
        </w:rPr>
      </w:pPr>
      <w:r>
        <w:rPr>
          <w:rFonts w:ascii="Arial Narrow" w:hAnsi="Arial Narrow" w:eastAsia="仿宋_GB2312"/>
          <w:sz w:val="24"/>
        </w:rPr>
        <w:t>其他金融负债采用实际利率法，按摊余成本进行后续计量，终止确认或摊销产生的利得或损失计入当期损益。</w:t>
      </w:r>
    </w:p>
    <w:p w14:paraId="58A8922E">
      <w:pPr>
        <w:keepNext/>
        <w:widowControl/>
        <w:snapToGrid w:val="0"/>
        <w:spacing w:after="216" w:afterLines="90"/>
        <w:rPr>
          <w:rFonts w:ascii="Arial Narrow" w:hAnsi="Arial Narrow" w:eastAsia="仿宋_GB2312"/>
          <w:b/>
          <w:sz w:val="24"/>
        </w:rPr>
      </w:pPr>
      <w:r>
        <w:rPr>
          <w:rFonts w:ascii="Arial Narrow" w:hAnsi="Arial Narrow" w:eastAsia="仿宋_GB2312"/>
          <w:b/>
          <w:sz w:val="24"/>
        </w:rPr>
        <w:t>金融负债与权益工具的区分</w:t>
      </w:r>
    </w:p>
    <w:p w14:paraId="55FCC2EE">
      <w:pPr>
        <w:keepNext/>
        <w:widowControl/>
        <w:snapToGrid w:val="0"/>
        <w:spacing w:after="216" w:afterLines="90"/>
        <w:rPr>
          <w:rFonts w:ascii="Arial Narrow" w:hAnsi="Arial Narrow" w:eastAsia="仿宋_GB2312"/>
          <w:sz w:val="24"/>
        </w:rPr>
      </w:pPr>
      <w:r>
        <w:rPr>
          <w:rFonts w:ascii="Arial Narrow" w:hAnsi="Arial Narrow" w:eastAsia="仿宋_GB2312"/>
          <w:sz w:val="24"/>
        </w:rPr>
        <w:t>金融负债，是指符合下列条件之一的负债：</w:t>
      </w:r>
    </w:p>
    <w:p w14:paraId="2765AC23">
      <w:pPr>
        <w:snapToGrid w:val="0"/>
        <w:spacing w:after="216" w:afterLines="90"/>
        <w:rPr>
          <w:rFonts w:ascii="Arial Narrow" w:hAnsi="Arial Narrow" w:eastAsia="仿宋_GB2312" w:cs="宋体"/>
          <w:sz w:val="24"/>
        </w:rPr>
      </w:pPr>
      <w:r>
        <w:rPr>
          <w:rFonts w:hint="eastAsia" w:ascii="Arial Narrow" w:hAnsi="Arial Narrow" w:eastAsia="仿宋_GB2312" w:cs="宋体"/>
          <w:sz w:val="24"/>
        </w:rPr>
        <w:t>①</w:t>
      </w:r>
      <w:r>
        <w:rPr>
          <w:rFonts w:ascii="Arial Narrow" w:hAnsi="Arial Narrow" w:eastAsia="仿宋_GB2312" w:cs="宋体"/>
          <w:sz w:val="24"/>
        </w:rPr>
        <w:t>向其他方交付现金或其他金融资产的合同义务</w:t>
      </w:r>
      <w:r>
        <w:rPr>
          <w:rFonts w:hint="eastAsia" w:ascii="Arial Narrow" w:hAnsi="Arial Narrow" w:eastAsia="仿宋_GB2312" w:cs="宋体"/>
          <w:sz w:val="24"/>
        </w:rPr>
        <w:t>；</w:t>
      </w:r>
      <w:bookmarkStart w:id="4" w:name="OLE_LINK4"/>
      <w:r>
        <w:rPr>
          <w:rFonts w:hint="eastAsia" w:ascii="Arial Narrow" w:hAnsi="Arial Narrow" w:eastAsia="仿宋_GB2312" w:cs="宋体"/>
          <w:sz w:val="24"/>
        </w:rPr>
        <w:t>②</w:t>
      </w:r>
      <w:bookmarkEnd w:id="4"/>
      <w:r>
        <w:rPr>
          <w:rFonts w:ascii="Arial Narrow" w:hAnsi="Arial Narrow" w:eastAsia="仿宋_GB2312" w:cs="宋体"/>
          <w:sz w:val="24"/>
        </w:rPr>
        <w:t>在潜在不利条件下，与其他方交换金融资产或金融负债的合同义务</w:t>
      </w:r>
      <w:r>
        <w:rPr>
          <w:rFonts w:hint="eastAsia" w:ascii="Arial Narrow" w:hAnsi="Arial Narrow" w:eastAsia="仿宋_GB2312" w:cs="宋体"/>
          <w:sz w:val="24"/>
        </w:rPr>
        <w:t>；③</w:t>
      </w:r>
      <w:r>
        <w:rPr>
          <w:rFonts w:ascii="Arial Narrow" w:hAnsi="Arial Narrow" w:eastAsia="仿宋_GB2312" w:cs="宋体"/>
          <w:sz w:val="24"/>
        </w:rPr>
        <w:t>将来须用或可用企业自身权益工具进行结算的非衍生工具合同，且企业根据该合同将交付可变数量的自身权益工具</w:t>
      </w:r>
      <w:r>
        <w:rPr>
          <w:rFonts w:hint="eastAsia" w:ascii="Arial Narrow" w:hAnsi="Arial Narrow" w:eastAsia="仿宋_GB2312" w:cs="宋体"/>
          <w:sz w:val="24"/>
        </w:rPr>
        <w:t>；④</w:t>
      </w:r>
      <w:r>
        <w:rPr>
          <w:rFonts w:ascii="Arial Narrow" w:hAnsi="Arial Narrow" w:eastAsia="仿宋_GB2312" w:cs="宋体"/>
          <w:sz w:val="24"/>
        </w:rPr>
        <w:t>将来须用或可用企业自身权益工具进行结算的衍生工具合同，但以固定数量的自身权益工具交换固定金额的现金或其他金融资产的衍生工具合同除外。</w:t>
      </w:r>
    </w:p>
    <w:p w14:paraId="02899190">
      <w:pPr>
        <w:snapToGrid w:val="0"/>
        <w:spacing w:after="216" w:afterLines="90"/>
        <w:rPr>
          <w:rFonts w:ascii="Arial Narrow" w:hAnsi="Arial Narrow" w:eastAsia="仿宋_GB2312"/>
          <w:sz w:val="24"/>
        </w:rPr>
      </w:pPr>
      <w:r>
        <w:rPr>
          <w:rFonts w:ascii="Arial Narrow" w:hAnsi="Arial Narrow" w:eastAsia="仿宋_GB2312"/>
          <w:sz w:val="24"/>
        </w:rPr>
        <w:t>权益工具，是指能证明拥有某个企业在扣除所有负债后的资产中剩余权益的合同。</w:t>
      </w:r>
    </w:p>
    <w:p w14:paraId="72A1E26E">
      <w:pPr>
        <w:snapToGrid w:val="0"/>
        <w:spacing w:after="216" w:afterLines="90"/>
        <w:rPr>
          <w:rFonts w:ascii="Arial Narrow" w:hAnsi="Arial Narrow" w:eastAsia="仿宋_GB2312"/>
          <w:sz w:val="24"/>
        </w:rPr>
      </w:pPr>
      <w:r>
        <w:rPr>
          <w:rFonts w:ascii="Arial Narrow" w:hAnsi="Arial Narrow" w:eastAsia="仿宋_GB2312"/>
          <w:sz w:val="24"/>
        </w:rPr>
        <w:t>如果本公司不能无条件地避免以交付现金或其他金融资产来履行一项合同义务，则该合同义务符合金融负债的定义。</w:t>
      </w:r>
    </w:p>
    <w:p w14:paraId="47787ABE">
      <w:pPr>
        <w:snapToGrid w:val="0"/>
        <w:spacing w:after="216" w:afterLines="90"/>
        <w:rPr>
          <w:rFonts w:ascii="Arial Narrow" w:hAnsi="Arial Narrow" w:eastAsia="仿宋_GB2312"/>
          <w:sz w:val="24"/>
        </w:rPr>
      </w:pPr>
      <w:r>
        <w:rPr>
          <w:rFonts w:ascii="Arial Narrow" w:hAnsi="Arial Narrow" w:eastAsia="仿宋_GB2312"/>
          <w:sz w:val="24"/>
        </w:rPr>
        <w:t>如果一项金融工具须用或可用本公司自身权益工具进行结算，需要考虑用于结算该工具的本公司自身权益工具，是作为现金或其他金融资产的替代品，还是为了使该工具持有方享有在发行方扣除所有负债后的资产中的剩余权益。如果是前者，该工具是本公司的金融负债；如果是后者，该工具是本公司的权益工具。</w:t>
      </w:r>
    </w:p>
    <w:p w14:paraId="4307D1ED">
      <w:pPr>
        <w:pStyle w:val="5"/>
      </w:pPr>
      <w:r>
        <w:t>金融工具的公允价值</w:t>
      </w:r>
    </w:p>
    <w:p w14:paraId="1E0D4432">
      <w:pPr>
        <w:snapToGrid w:val="0"/>
        <w:spacing w:after="216" w:afterLines="90"/>
        <w:rPr>
          <w:rFonts w:ascii="Arial Narrow" w:hAnsi="Arial Narrow" w:eastAsia="仿宋_GB2312"/>
          <w:sz w:val="24"/>
        </w:rPr>
      </w:pPr>
      <w:r>
        <w:rPr>
          <w:rFonts w:ascii="Arial Narrow" w:hAnsi="Arial Narrow" w:eastAsia="仿宋_GB2312"/>
          <w:sz w:val="24"/>
        </w:rPr>
        <w:t>金融资产和金融负债的公允价值确定方法见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四、28</w:t>
      </w:r>
      <w:r>
        <w:rPr>
          <w:rFonts w:ascii="Arial Narrow" w:hAnsi="Arial Narrow" w:eastAsia="仿宋_GB2312"/>
          <w:sz w:val="24"/>
        </w:rPr>
        <w:t>。</w:t>
      </w:r>
    </w:p>
    <w:p w14:paraId="7DFDF67F">
      <w:pPr>
        <w:pStyle w:val="5"/>
      </w:pPr>
      <w:bookmarkStart w:id="5" w:name="_Ref78786867"/>
      <w:r>
        <w:t>金融资产减值</w:t>
      </w:r>
      <w:bookmarkEnd w:id="5"/>
    </w:p>
    <w:p w14:paraId="12E65928">
      <w:pPr>
        <w:keepNext/>
        <w:widowControl/>
        <w:snapToGrid w:val="0"/>
        <w:spacing w:after="216" w:afterLines="90"/>
        <w:rPr>
          <w:rFonts w:ascii="Arial Narrow" w:hAnsi="Arial Narrow" w:eastAsia="仿宋_GB2312"/>
          <w:sz w:val="24"/>
        </w:rPr>
      </w:pPr>
      <w:r>
        <w:rPr>
          <w:rFonts w:ascii="Arial Narrow" w:hAnsi="Arial Narrow" w:eastAsia="仿宋_GB2312"/>
          <w:sz w:val="24"/>
        </w:rPr>
        <w:t xml:space="preserve">本公司以预期信用损失为基础，对下列项目进行减值会计处理并确认损失准备： </w:t>
      </w:r>
    </w:p>
    <w:p w14:paraId="29F7001E">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以摊余成本计量的金融资产； </w:t>
      </w:r>
    </w:p>
    <w:p w14:paraId="03CC354D">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以公允价值计量且其变动计入其他综合收益的应收款项和债权投资； </w:t>
      </w:r>
    </w:p>
    <w:p w14:paraId="4C257981">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《企业会计准则第14号——收入》定义的合同资产； </w:t>
      </w:r>
    </w:p>
    <w:p w14:paraId="54B31BFC">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租赁应收款；</w:t>
      </w:r>
    </w:p>
    <w:p w14:paraId="76456F61">
      <w:pPr>
        <w:pStyle w:val="15"/>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财务担保合同（以公允价值计量且其变动计入当期损益、金融资产转移不符合终止确认条件或继续涉入被转移金融资产所形成的除外）。 </w:t>
      </w:r>
    </w:p>
    <w:p w14:paraId="60CEDE76">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预期信用损失的计量</w:t>
      </w:r>
    </w:p>
    <w:p w14:paraId="7B394961">
      <w:pPr>
        <w:snapToGrid w:val="0"/>
        <w:spacing w:after="216" w:afterLines="90"/>
        <w:rPr>
          <w:rFonts w:ascii="Arial Narrow" w:hAnsi="Arial Narrow" w:eastAsia="仿宋_GB2312"/>
          <w:sz w:val="24"/>
        </w:rPr>
      </w:pPr>
      <w:r>
        <w:rPr>
          <w:rFonts w:ascii="Arial Narrow" w:hAnsi="Arial Narrow" w:eastAsia="仿宋_GB2312"/>
          <w:sz w:val="24"/>
        </w:rPr>
        <w:t xml:space="preserve">预期信用损失，是指以发生违约的风险为权重的金融工具信用损失的加权平均值。信用损失，是指本公司按照原实际利率折现的、根据合同应收的所有合同现金流量与预期收取的所有现金流量之间的差额，即全部现金短缺的现值。 </w:t>
      </w:r>
    </w:p>
    <w:p w14:paraId="5FC0F962">
      <w:pPr>
        <w:snapToGrid w:val="0"/>
        <w:spacing w:after="216" w:afterLines="90"/>
        <w:rPr>
          <w:rFonts w:ascii="Arial Narrow" w:hAnsi="Arial Narrow" w:eastAsia="仿宋_GB2312"/>
          <w:sz w:val="24"/>
        </w:rPr>
      </w:pPr>
      <w:r>
        <w:rPr>
          <w:rFonts w:ascii="Arial Narrow" w:hAnsi="Arial Narrow" w:eastAsia="仿宋_GB2312"/>
          <w:sz w:val="24"/>
        </w:rPr>
        <w:t>本公司考虑有关过去事项、当前状况以及对未来经济状况的预测等合理且有依据的信息，以发生违约的风险为权重，计算合同应收的现金流量与预期能收到的现金流量之间差额的现值的概率加权金额，确认预期信用损失。</w:t>
      </w:r>
    </w:p>
    <w:p w14:paraId="092C1B37">
      <w:pPr>
        <w:snapToGrid w:val="0"/>
        <w:spacing w:after="216" w:afterLines="90"/>
        <w:rPr>
          <w:rFonts w:ascii="Arial Narrow" w:hAnsi="Arial Narrow" w:eastAsia="仿宋_GB2312"/>
          <w:kern w:val="0"/>
          <w:sz w:val="24"/>
        </w:rPr>
      </w:pPr>
      <w:r>
        <w:rPr>
          <w:rFonts w:ascii="Arial Narrow" w:hAnsi="Arial Narrow" w:eastAsia="仿宋_GB2312"/>
          <w:kern w:val="0"/>
          <w:sz w:val="24"/>
        </w:rPr>
        <w:t>本公司对于处于不同阶段的金融工具的预期信用损失分别进行计量。金融工具自初始确认后信用风险未显著增加的，处于第一阶段，本公司按照未来12个月内的预期信用损失计量损失准备；金融工具自初始确认后信用风险已显著增加但尚未发生信用减值的，处于第二阶段，本公司按照该工具整个存续期的预期信用损失计量损失准备；金融工具自初始确认后已经发生信用减值的，处于第三阶段，本公司按照该工具整个存续期的预期信用损失计量损失准备。</w:t>
      </w:r>
    </w:p>
    <w:p w14:paraId="7C1CD50F">
      <w:pPr>
        <w:snapToGrid w:val="0"/>
        <w:spacing w:after="216" w:afterLines="90"/>
        <w:rPr>
          <w:rFonts w:ascii="Arial Narrow" w:hAnsi="Arial Narrow" w:eastAsia="仿宋_GB2312"/>
          <w:kern w:val="0"/>
          <w:sz w:val="24"/>
          <w:highlight w:val="yellow"/>
        </w:rPr>
      </w:pPr>
      <w:r>
        <w:rPr>
          <w:rFonts w:ascii="Arial Narrow" w:hAnsi="Arial Narrow" w:eastAsia="仿宋_GB2312"/>
          <w:kern w:val="0"/>
          <w:sz w:val="24"/>
        </w:rPr>
        <w:t>对于在资产负债表日具有较低信用风险的金融工具，本公司假设其信用风险自初始确认后并未显著增加，按照未来12个月内的预期信用损失计量损失准备。</w:t>
      </w:r>
    </w:p>
    <w:p w14:paraId="7926969C">
      <w:pPr>
        <w:snapToGrid w:val="0"/>
        <w:spacing w:after="216" w:afterLines="90"/>
        <w:rPr>
          <w:rFonts w:ascii="Arial Narrow" w:hAnsi="Arial Narrow" w:eastAsia="仿宋_GB2312"/>
          <w:sz w:val="24"/>
        </w:rPr>
      </w:pPr>
      <w:r>
        <w:rPr>
          <w:rFonts w:ascii="Arial Narrow" w:hAnsi="Arial Narrow" w:eastAsia="仿宋_GB2312"/>
          <w:sz w:val="24"/>
        </w:rPr>
        <w:t>整个存续期预期信用损失，是指因金融工具整个预计存续期内所有可能发生的违约事件而导致的预期信用损失。未来12个月内预期信用损失，是指因资产负债表日后12个月内（若金融工具的预计存续期少于12个月，则为预计存续期）可能发生的金融工具违约事件而导致的预期信用损失，是整个存续期预期信用损失的一部分。</w:t>
      </w:r>
    </w:p>
    <w:p w14:paraId="586CC9BE">
      <w:pPr>
        <w:snapToGrid w:val="0"/>
        <w:spacing w:after="216" w:afterLines="90"/>
        <w:rPr>
          <w:rFonts w:ascii="Arial Narrow" w:hAnsi="Arial Narrow" w:eastAsia="仿宋_GB2312"/>
          <w:sz w:val="24"/>
        </w:rPr>
      </w:pPr>
      <w:r>
        <w:rPr>
          <w:rFonts w:ascii="Arial Narrow" w:hAnsi="Arial Narrow" w:eastAsia="仿宋_GB2312"/>
          <w:sz w:val="24"/>
        </w:rPr>
        <w:t>在计量预期信用损失时，本公司需考虑的最长期限为企业面临信用风险的最长合同期限（包括考虑续约选择权）。</w:t>
      </w:r>
    </w:p>
    <w:p w14:paraId="60846D97">
      <w:pPr>
        <w:snapToGrid w:val="0"/>
        <w:spacing w:after="216" w:afterLines="90"/>
        <w:rPr>
          <w:rFonts w:ascii="Arial Narrow" w:hAnsi="Arial Narrow" w:eastAsia="仿宋_GB2312"/>
          <w:sz w:val="24"/>
        </w:rPr>
      </w:pPr>
      <w:r>
        <w:rPr>
          <w:rFonts w:ascii="Arial Narrow" w:hAnsi="Arial Narrow" w:eastAsia="仿宋_GB2312"/>
          <w:sz w:val="24"/>
        </w:rPr>
        <w:t>本公司对于处于第一阶段和第二阶段、以及较低信用风险的金融工具，按照其未扣除减值准备的账面余额和实际利率计算利息收入。对于处于第三阶段的金融工具，按照其账面余额减已计提减值准备后的摊余成本和实际利率计算利息收入。</w:t>
      </w:r>
    </w:p>
    <w:p w14:paraId="41C11770">
      <w:pPr>
        <w:snapToGrid w:val="0"/>
        <w:spacing w:after="216" w:afterLines="90"/>
        <w:rPr>
          <w:rFonts w:ascii="Arial Narrow" w:hAnsi="Arial Narrow" w:eastAsia="仿宋_GB2312"/>
          <w:sz w:val="24"/>
        </w:rPr>
      </w:pPr>
      <w:r>
        <w:rPr>
          <w:rFonts w:hint="eastAsia" w:ascii="Arial Narrow" w:hAnsi="Arial Narrow" w:eastAsia="仿宋_GB2312"/>
          <w:sz w:val="24"/>
        </w:rPr>
        <w:t>应收票据、应收账款和合同资产</w:t>
      </w:r>
    </w:p>
    <w:p w14:paraId="27AD0E50">
      <w:pPr>
        <w:snapToGrid w:val="0"/>
        <w:spacing w:after="216" w:afterLines="90"/>
        <w:rPr>
          <w:rFonts w:ascii="Arial Narrow" w:hAnsi="Arial Narrow" w:eastAsia="仿宋_GB2312"/>
          <w:color w:val="000000" w:themeColor="text1"/>
          <w:sz w:val="24"/>
          <w14:textFill>
            <w14:solidFill>
              <w14:schemeClr w14:val="tx1"/>
            </w14:solidFill>
          </w14:textFill>
        </w:rPr>
      </w:pPr>
      <w:r>
        <w:rPr>
          <w:rFonts w:hint="eastAsia" w:ascii="Arial Narrow" w:hAnsi="Arial Narrow" w:eastAsia="仿宋_GB2312"/>
          <w:color w:val="000000" w:themeColor="text1"/>
          <w:sz w:val="24"/>
          <w14:textFill>
            <w14:solidFill>
              <w14:schemeClr w14:val="tx1"/>
            </w14:solidFill>
          </w14:textFill>
        </w:rPr>
        <w:t>对于应收票据、应收账款和合同资产，</w:t>
      </w:r>
      <w:r>
        <w:rPr>
          <w:rFonts w:hint="eastAsia" w:ascii="Arial Narrow" w:hAnsi="Arial Narrow" w:eastAsia="仿宋_GB2312"/>
          <w:color w:val="FF0000"/>
          <w:sz w:val="24"/>
        </w:rPr>
        <w:t>无论是否存在重大融资成分，本公司始终按照相当于整个存续期内预期信用损失的金额计量其损失准备。</w:t>
      </w:r>
    </w:p>
    <w:p w14:paraId="350AD8BF">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highlight w:val="yellow"/>
          <w14:textFill>
            <w14:solidFill>
              <w14:schemeClr w14:val="tx1"/>
            </w14:solidFill>
          </w14:textFill>
        </w:rPr>
        <w:t>当信用风险特征显著不同且可以合理成本评估预期信用损失的信息时，按单项金融工具评估相关金融工具的信用风险自初始确认后是否已显著增加，计量预期信用损失。</w:t>
      </w:r>
    </w:p>
    <w:p w14:paraId="7C29EE60">
      <w:pPr>
        <w:snapToGrid w:val="0"/>
        <w:spacing w:after="216" w:afterLines="90"/>
        <w:rPr>
          <w:rFonts w:ascii="Arial Narrow" w:hAnsi="Arial Narrow" w:eastAsia="仿宋_GB2312"/>
          <w:color w:val="FF0000"/>
          <w:sz w:val="24"/>
        </w:rPr>
      </w:pPr>
      <w:r>
        <w:rPr>
          <w:rFonts w:hint="eastAsia" w:ascii="Arial Narrow" w:hAnsi="Arial Narrow" w:eastAsia="仿宋_GB2312"/>
          <w:color w:val="000000" w:themeColor="text1"/>
          <w:sz w:val="24"/>
          <w14:textFill>
            <w14:solidFill>
              <w14:schemeClr w14:val="tx1"/>
            </w14:solidFill>
          </w14:textFill>
        </w:rPr>
        <w:t>当单项金融资产无法以合理成本评估预期信用损失的信息时，本公司依据信用风险特征对应收票据、应收账款和合同资产划分组合，在组合基础上计算预期信用损失，确定组合的依据如下：</w:t>
      </w:r>
    </w:p>
    <w:p w14:paraId="6FAAD4A7">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A、应收票据</w:t>
      </w:r>
    </w:p>
    <w:p w14:paraId="07AD0D92">
      <w:pPr>
        <w:pStyle w:val="15"/>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应收票据组合1：银行承兑汇票</w:t>
      </w:r>
    </w:p>
    <w:p w14:paraId="14EE5A1B">
      <w:pPr>
        <w:pStyle w:val="15"/>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应收票据组合2：商业承兑汇票</w:t>
      </w:r>
    </w:p>
    <w:p w14:paraId="17037CE7">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B、应收账款</w:t>
      </w:r>
    </w:p>
    <w:p w14:paraId="7BDB5B24">
      <w:pPr>
        <w:pStyle w:val="15"/>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应收账款组合1：</w:t>
      </w:r>
      <w:r>
        <w:rPr>
          <w:rFonts w:hint="eastAsia" w:ascii="Arial Narrow" w:hAnsi="Arial Narrow" w:eastAsia="仿宋_GB2312"/>
          <w:color w:val="FF0000"/>
          <w:sz w:val="24"/>
          <w:szCs w:val="24"/>
        </w:rPr>
        <w:t>账龄组合</w:t>
      </w:r>
    </w:p>
    <w:p w14:paraId="2944813F">
      <w:pPr>
        <w:pStyle w:val="15"/>
        <w:widowControl/>
        <w:numPr>
          <w:ilvl w:val="0"/>
          <w:numId w:val="8"/>
        </w:numPr>
        <w:snapToGrid w:val="0"/>
        <w:spacing w:after="216" w:afterLines="90"/>
        <w:ind w:left="480" w:hanging="480" w:hangingChars="200"/>
        <w:jc w:val="left"/>
        <w:rPr>
          <w:rFonts w:ascii="Arial Narrow" w:hAnsi="Arial Narrow" w:eastAsia="仿宋_GB2312"/>
          <w:color w:val="FF0000"/>
          <w:sz w:val="24"/>
          <w:szCs w:val="24"/>
        </w:rPr>
      </w:pPr>
      <w:r>
        <w:rPr>
          <w:rFonts w:ascii="Arial Narrow" w:hAnsi="Arial Narrow" w:eastAsia="仿宋_GB2312"/>
          <w:color w:val="FF0000"/>
          <w:sz w:val="24"/>
          <w:szCs w:val="24"/>
        </w:rPr>
        <w:t>应收账款组合2：</w:t>
      </w:r>
      <w:r>
        <w:rPr>
          <w:rFonts w:hint="eastAsia" w:ascii="Arial Narrow" w:hAnsi="Arial Narrow" w:eastAsia="仿宋_GB2312"/>
          <w:color w:val="FF0000"/>
          <w:sz w:val="24"/>
          <w:szCs w:val="24"/>
        </w:rPr>
        <w:t>低风险组合</w:t>
      </w:r>
    </w:p>
    <w:p w14:paraId="441F0974">
      <w:pPr>
        <w:keepNext/>
        <w:widowControl/>
        <w:snapToGrid w:val="0"/>
        <w:spacing w:after="216" w:afterLines="90"/>
        <w:rPr>
          <w:rFonts w:ascii="Arial Narrow" w:hAnsi="Arial Narrow" w:eastAsia="仿宋_GB2312"/>
          <w:color w:val="FF0000"/>
          <w:sz w:val="24"/>
        </w:rPr>
      </w:pPr>
      <w:r>
        <w:rPr>
          <w:rFonts w:ascii="Arial Narrow" w:hAnsi="Arial Narrow" w:eastAsia="仿宋_GB2312"/>
          <w:color w:val="FF0000"/>
          <w:sz w:val="24"/>
        </w:rPr>
        <w:t>C、合同资产</w:t>
      </w:r>
    </w:p>
    <w:p w14:paraId="75BA907D">
      <w:pPr>
        <w:pStyle w:val="15"/>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合同资产组合1：</w:t>
      </w:r>
      <w:r>
        <w:rPr>
          <w:rFonts w:hint="eastAsia" w:ascii="Arial Narrow" w:hAnsi="Arial Narrow" w:eastAsia="仿宋_GB2312"/>
          <w:color w:val="FF0000"/>
          <w:sz w:val="24"/>
          <w:szCs w:val="24"/>
        </w:rPr>
        <w:t>工程项目</w:t>
      </w:r>
    </w:p>
    <w:p w14:paraId="1145F417">
      <w:pPr>
        <w:pStyle w:val="15"/>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合同资产组合2：</w:t>
      </w:r>
      <w:r>
        <w:rPr>
          <w:rFonts w:hint="eastAsia" w:ascii="Arial Narrow" w:hAnsi="Arial Narrow" w:eastAsia="仿宋_GB2312"/>
          <w:color w:val="FF0000"/>
          <w:sz w:val="24"/>
          <w:szCs w:val="24"/>
        </w:rPr>
        <w:t>新能源补贴</w:t>
      </w:r>
    </w:p>
    <w:p w14:paraId="43B1C064">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对于划分为组合的应收票据</w:t>
      </w:r>
      <w:r>
        <w:rPr>
          <w:rFonts w:hint="eastAsia" w:ascii="Arial Narrow" w:hAnsi="Arial Narrow" w:eastAsia="仿宋_GB2312"/>
          <w:color w:val="FF0000"/>
          <w:sz w:val="24"/>
        </w:rPr>
        <w:t>、合同资产</w:t>
      </w:r>
      <w:r>
        <w:rPr>
          <w:rFonts w:ascii="Arial Narrow" w:hAnsi="Arial Narrow" w:eastAsia="仿宋_GB2312"/>
          <w:color w:val="FF0000"/>
          <w:sz w:val="24"/>
        </w:rPr>
        <w:t>，本公司参考历史信用损失经验，结合当前状况以及对未来经济状况的预测，通过违约风险敞口和整个存续期预期信用损失率，计算预期信用损失。</w:t>
      </w:r>
    </w:p>
    <w:p w14:paraId="152E9259">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对于划分为组合的应收账款，本公司参考历史信用损失经验，结合当前状况以及对未来经济状况的预测，编制应收账款账龄与整个存续期预期信用损失率对照表，计算预期信用损失。</w:t>
      </w:r>
    </w:p>
    <w:p w14:paraId="36B127E4">
      <w:pPr>
        <w:snapToGrid w:val="0"/>
        <w:spacing w:after="216" w:afterLines="90"/>
        <w:rPr>
          <w:rFonts w:ascii="Arial Narrow" w:hAnsi="Arial Narrow" w:eastAsia="仿宋_GB2312"/>
          <w:sz w:val="24"/>
        </w:rPr>
      </w:pPr>
      <w:r>
        <w:rPr>
          <w:rFonts w:hint="eastAsia" w:ascii="Arial Narrow" w:hAnsi="Arial Narrow" w:eastAsia="仿宋_GB2312"/>
          <w:sz w:val="24"/>
        </w:rPr>
        <w:t>其他应收款</w:t>
      </w:r>
    </w:p>
    <w:p w14:paraId="45541B36">
      <w:pPr>
        <w:snapToGrid w:val="0"/>
        <w:spacing w:after="216" w:afterLines="90"/>
        <w:rPr>
          <w:rFonts w:ascii="Arial Narrow" w:hAnsi="Arial Narrow" w:eastAsia="仿宋_GB2312"/>
          <w:sz w:val="24"/>
        </w:rPr>
      </w:pPr>
      <w:r>
        <w:rPr>
          <w:rFonts w:hint="eastAsia" w:ascii="Arial Narrow" w:hAnsi="Arial Narrow" w:eastAsia="仿宋_GB2312"/>
          <w:color w:val="000000" w:themeColor="text1"/>
          <w:sz w:val="24"/>
          <w14:textFill>
            <w14:solidFill>
              <w14:schemeClr w14:val="tx1"/>
            </w14:solidFill>
          </w14:textFill>
        </w:rPr>
        <w:t>本公司</w:t>
      </w:r>
      <w:r>
        <w:rPr>
          <w:rFonts w:ascii="Arial Narrow" w:hAnsi="Arial Narrow" w:eastAsia="仿宋_GB2312"/>
          <w:sz w:val="24"/>
        </w:rPr>
        <w:t>依据信用风险特征将其他应收款划分为若干组合，在组合基础上计算预期信用损失，确定组合的依据如下：</w:t>
      </w:r>
    </w:p>
    <w:p w14:paraId="46A4C819">
      <w:pPr>
        <w:pStyle w:val="15"/>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其他应收款组合1：</w:t>
      </w:r>
      <w:r>
        <w:rPr>
          <w:rFonts w:hint="eastAsia" w:ascii="Arial Narrow" w:hAnsi="Arial Narrow" w:eastAsia="仿宋_GB2312"/>
          <w:color w:val="FF0000"/>
          <w:sz w:val="24"/>
          <w:szCs w:val="24"/>
        </w:rPr>
        <w:t>账龄组合</w:t>
      </w:r>
    </w:p>
    <w:p w14:paraId="3A9D4CFC">
      <w:pPr>
        <w:pStyle w:val="15"/>
        <w:widowControl/>
        <w:numPr>
          <w:ilvl w:val="0"/>
          <w:numId w:val="8"/>
        </w:numPr>
        <w:snapToGrid w:val="0"/>
        <w:spacing w:after="216" w:afterLines="90"/>
        <w:ind w:firstLineChars="0"/>
        <w:jc w:val="left"/>
        <w:rPr>
          <w:rFonts w:ascii="Arial Narrow" w:hAnsi="Arial Narrow" w:eastAsia="仿宋_GB2312"/>
          <w:color w:val="FF0000"/>
          <w:sz w:val="24"/>
          <w:szCs w:val="24"/>
        </w:rPr>
      </w:pPr>
      <w:r>
        <w:rPr>
          <w:rFonts w:ascii="Arial Narrow" w:hAnsi="Arial Narrow" w:eastAsia="仿宋_GB2312"/>
          <w:color w:val="FF0000"/>
          <w:sz w:val="24"/>
          <w:szCs w:val="24"/>
        </w:rPr>
        <w:t>其他应收款组合2：</w:t>
      </w:r>
      <w:r>
        <w:rPr>
          <w:rFonts w:hint="eastAsia" w:ascii="Arial Narrow" w:hAnsi="Arial Narrow" w:eastAsia="仿宋_GB2312"/>
          <w:color w:val="FF0000"/>
          <w:sz w:val="24"/>
          <w:szCs w:val="24"/>
        </w:rPr>
        <w:t>低风险组合</w:t>
      </w:r>
    </w:p>
    <w:p w14:paraId="3F9F3A96">
      <w:pPr>
        <w:snapToGrid w:val="0"/>
        <w:spacing w:after="216" w:afterLines="90"/>
        <w:rPr>
          <w:rFonts w:ascii="Arial Narrow" w:hAnsi="Arial Narrow" w:eastAsia="仿宋_GB2312"/>
          <w:sz w:val="24"/>
        </w:rPr>
      </w:pPr>
      <w:r>
        <w:rPr>
          <w:rFonts w:ascii="Arial Narrow" w:hAnsi="Arial Narrow" w:eastAsia="仿宋_GB2312"/>
          <w:sz w:val="24"/>
        </w:rPr>
        <w:t>对划分为组合的其他应收款，本公司通过违约风险敞口和未来12个月内或整个存续期预期信用损失率，计算预期信用损失。</w:t>
      </w:r>
    </w:p>
    <w:p w14:paraId="5A975A91">
      <w:pPr>
        <w:snapToGrid w:val="0"/>
        <w:spacing w:after="216" w:afterLines="90"/>
        <w:rPr>
          <w:rFonts w:ascii="Arial Narrow" w:hAnsi="Arial Narrow" w:eastAsia="仿宋_GB2312"/>
          <w:sz w:val="24"/>
        </w:rPr>
      </w:pPr>
      <w:r>
        <w:rPr>
          <w:rFonts w:hint="eastAsia" w:ascii="Arial Narrow" w:hAnsi="Arial Narrow" w:eastAsia="仿宋_GB2312"/>
          <w:sz w:val="24"/>
        </w:rPr>
        <w:t>债权投资、其他债权投资</w:t>
      </w:r>
    </w:p>
    <w:p w14:paraId="7B7A50DA">
      <w:pPr>
        <w:snapToGrid w:val="0"/>
        <w:spacing w:after="216" w:afterLines="90"/>
        <w:rPr>
          <w:rFonts w:ascii="Arial Narrow" w:hAnsi="Arial Narrow" w:eastAsia="仿宋_GB2312"/>
          <w:sz w:val="24"/>
        </w:rPr>
      </w:pPr>
      <w:r>
        <w:rPr>
          <w:rFonts w:ascii="Arial Narrow" w:hAnsi="Arial Narrow" w:eastAsia="仿宋_GB2312"/>
          <w:sz w:val="24"/>
        </w:rPr>
        <w:t>对于债权投资和其他债权投资，本公司按照投资的性质，根据交易对手和风险敞口的各种类型，通过违约风险敞口和未来12个月内或整个存续期预期信用损失率，计算预期信用损失。</w:t>
      </w:r>
    </w:p>
    <w:p w14:paraId="3CC26059">
      <w:pPr>
        <w:keepNext/>
        <w:widowControl/>
        <w:snapToGrid w:val="0"/>
        <w:spacing w:after="216" w:afterLines="90"/>
        <w:rPr>
          <w:rFonts w:ascii="Arial Narrow" w:hAnsi="Arial Narrow" w:eastAsia="仿宋_GB2312"/>
          <w:b/>
          <w:sz w:val="24"/>
        </w:rPr>
      </w:pPr>
      <w:r>
        <w:rPr>
          <w:rFonts w:ascii="Arial Narrow" w:hAnsi="Arial Narrow" w:eastAsia="仿宋_GB2312"/>
          <w:b/>
          <w:sz w:val="24"/>
        </w:rPr>
        <w:t>信用风险显著增加的评估</w:t>
      </w:r>
    </w:p>
    <w:p w14:paraId="07F716C5">
      <w:pPr>
        <w:snapToGrid w:val="0"/>
        <w:spacing w:after="216" w:afterLines="90"/>
        <w:rPr>
          <w:rFonts w:ascii="Arial Narrow" w:hAnsi="Arial Narrow" w:eastAsia="仿宋_GB2312"/>
          <w:sz w:val="24"/>
        </w:rPr>
      </w:pPr>
      <w:r>
        <w:rPr>
          <w:rFonts w:ascii="Arial Narrow" w:hAnsi="Arial Narrow" w:eastAsia="仿宋_GB2312"/>
          <w:sz w:val="24"/>
        </w:rPr>
        <w:t xml:space="preserve">本公司通过比较金融工具在资产负债表日发生违约的风险与在初始确认日发生违约的风险，以确定金融工具预计存续期内发生违约风险的相对变化，以评估金融工具的信用风险自初始确认后是否已显著增加。 </w:t>
      </w:r>
    </w:p>
    <w:p w14:paraId="2D312E47">
      <w:pPr>
        <w:snapToGrid w:val="0"/>
        <w:spacing w:after="216" w:afterLines="90"/>
        <w:rPr>
          <w:rFonts w:ascii="Arial Narrow" w:hAnsi="Arial Narrow" w:eastAsia="仿宋_GB2312"/>
          <w:sz w:val="24"/>
        </w:rPr>
      </w:pPr>
      <w:r>
        <w:rPr>
          <w:rFonts w:ascii="Arial Narrow" w:hAnsi="Arial Narrow" w:eastAsia="仿宋_GB2312"/>
          <w:sz w:val="24"/>
        </w:rPr>
        <w:t xml:space="preserve">在确定信用风险自初始确认后是否显著增加时，本公司考虑无须付出不必要的额外成本或努力即可获得的合理且有依据的信息，包括前瞻性信息。本公司考虑的信息包括： </w:t>
      </w:r>
    </w:p>
    <w:p w14:paraId="52C921CC">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债务人未能按合同到期日支付本金和利息的情况； </w:t>
      </w:r>
    </w:p>
    <w:p w14:paraId="09227E4E">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已发生的或预期的金融工具的外部或内部信用评级（如有）的严重恶化； </w:t>
      </w:r>
    </w:p>
    <w:p w14:paraId="0B543F18">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已发生的或预期的债务人经营成果的严重恶化； </w:t>
      </w:r>
    </w:p>
    <w:p w14:paraId="3A053D82">
      <w:pPr>
        <w:pStyle w:val="15"/>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现存的或预期的技术、市场、经济或法律环境变化，并将对债务人对本公司的还款能力产生重大不利影响。 </w:t>
      </w:r>
    </w:p>
    <w:p w14:paraId="76156A22">
      <w:pPr>
        <w:snapToGrid w:val="0"/>
        <w:spacing w:after="216" w:afterLines="90"/>
        <w:rPr>
          <w:rFonts w:ascii="Arial Narrow" w:hAnsi="Arial Narrow" w:eastAsia="仿宋_GB2312"/>
          <w:sz w:val="24"/>
        </w:rPr>
      </w:pPr>
      <w:r>
        <w:rPr>
          <w:rFonts w:ascii="Arial Narrow" w:hAnsi="Arial Narrow" w:eastAsia="仿宋_GB2312"/>
          <w:sz w:val="24"/>
        </w:rPr>
        <w:t>根据金融工具的性质，本公司以单项金融工具或金融工具组合为基础评估信用风险是否显著增加。以金融工具组合为基础进行评估时，本公司可基于共同信用风险特征对金融工具进行分类，例如逾期信息和信用风险评级。</w:t>
      </w:r>
    </w:p>
    <w:p w14:paraId="2E958640">
      <w:pPr>
        <w:snapToGrid w:val="0"/>
        <w:spacing w:after="216" w:afterLines="90"/>
        <w:rPr>
          <w:rFonts w:ascii="Arial Narrow" w:hAnsi="Arial Narrow" w:eastAsia="仿宋_GB2312"/>
          <w:sz w:val="24"/>
        </w:rPr>
      </w:pPr>
      <w:r>
        <w:rPr>
          <w:rFonts w:ascii="Arial Narrow" w:hAnsi="Arial Narrow" w:eastAsia="仿宋_GB2312"/>
          <w:sz w:val="24"/>
        </w:rPr>
        <w:t>如果逾期超过</w:t>
      </w:r>
      <w:r>
        <w:rPr>
          <w:rFonts w:ascii="Arial Narrow" w:hAnsi="Arial Narrow" w:eastAsia="仿宋_GB2312"/>
          <w:color w:val="FF0000"/>
          <w:sz w:val="24"/>
        </w:rPr>
        <w:t>30日</w:t>
      </w:r>
      <w:r>
        <w:rPr>
          <w:rFonts w:ascii="Arial Narrow" w:hAnsi="Arial Narrow" w:eastAsia="仿宋_GB2312"/>
          <w:sz w:val="24"/>
        </w:rPr>
        <w:t>，本公司确定金融工具的信用风险已经显著增加。</w:t>
      </w:r>
    </w:p>
    <w:p w14:paraId="519F7ED2">
      <w:pPr>
        <w:keepNext/>
        <w:widowControl/>
        <w:snapToGrid w:val="0"/>
        <w:spacing w:after="216" w:afterLines="90"/>
        <w:rPr>
          <w:rFonts w:ascii="Arial Narrow" w:hAnsi="Arial Narrow" w:eastAsia="仿宋_GB2312"/>
          <w:b/>
          <w:sz w:val="24"/>
        </w:rPr>
      </w:pPr>
      <w:r>
        <w:rPr>
          <w:rFonts w:ascii="Arial Narrow" w:hAnsi="Arial Narrow" w:eastAsia="仿宋_GB2312"/>
          <w:b/>
          <w:sz w:val="24"/>
        </w:rPr>
        <w:t>已发生信用减值的金融资产</w:t>
      </w:r>
    </w:p>
    <w:p w14:paraId="6ED11641">
      <w:pPr>
        <w:snapToGrid w:val="0"/>
        <w:spacing w:after="216" w:afterLines="90"/>
        <w:rPr>
          <w:rFonts w:ascii="Arial Narrow" w:hAnsi="Arial Narrow" w:eastAsia="仿宋_GB2312"/>
          <w:sz w:val="24"/>
        </w:rPr>
      </w:pPr>
      <w:r>
        <w:rPr>
          <w:rFonts w:ascii="Arial Narrow" w:hAnsi="Arial Narrow" w:eastAsia="仿宋_GB2312"/>
          <w:sz w:val="24"/>
        </w:rPr>
        <w:t>本公司在资产负债表日评估以摊余成本计量的金融资产和以公允价值计量且其变动计入其他综合收益的债权投资是否已发生信用减值。当对金融资产预期未来现金流量具有不利影响的一项或多项事件发生时，该金融资产成为已发生信用减值的金融资产。金融资产已发生信用减值的证据包括下列可观察信息：</w:t>
      </w:r>
    </w:p>
    <w:p w14:paraId="664F9EE4">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发行方或债务人发生重大财务困难； </w:t>
      </w:r>
    </w:p>
    <w:p w14:paraId="178F8498">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债务人违反合同，如偿付利息或本金违约或逾期等； </w:t>
      </w:r>
    </w:p>
    <w:p w14:paraId="77DE870B">
      <w:pPr>
        <w:pStyle w:val="15"/>
        <w:widowControl/>
        <w:numPr>
          <w:ilvl w:val="0"/>
          <w:numId w:val="8"/>
        </w:numPr>
        <w:snapToGrid w:val="0"/>
        <w:spacing w:after="216" w:afterLines="90"/>
        <w:ind w:left="0" w:firstLine="0" w:firstLineChars="0"/>
        <w:jc w:val="left"/>
        <w:rPr>
          <w:rFonts w:ascii="Arial Narrow" w:hAnsi="Arial Narrow" w:eastAsia="仿宋_GB2312"/>
          <w:sz w:val="24"/>
          <w:szCs w:val="24"/>
        </w:rPr>
      </w:pPr>
      <w:r>
        <w:rPr>
          <w:rFonts w:ascii="Arial Narrow" w:hAnsi="Arial Narrow" w:eastAsia="仿宋_GB2312"/>
          <w:sz w:val="24"/>
          <w:szCs w:val="24"/>
        </w:rPr>
        <w:t xml:space="preserve">本公司出于与债务人财务困难有关的经济或合同考虑，给予债务人在任何其他情况下都不会做出的让步； </w:t>
      </w:r>
    </w:p>
    <w:p w14:paraId="2EEFAA4E">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债务人很可能破产或进行其他财务重组； </w:t>
      </w:r>
    </w:p>
    <w:p w14:paraId="3B654F2C">
      <w:pPr>
        <w:pStyle w:val="15"/>
        <w:widowControl/>
        <w:numPr>
          <w:ilvl w:val="0"/>
          <w:numId w:val="8"/>
        </w:numPr>
        <w:snapToGrid w:val="0"/>
        <w:spacing w:after="216" w:afterLines="90"/>
        <w:ind w:left="480" w:hanging="480" w:hangingChars="200"/>
        <w:jc w:val="left"/>
        <w:rPr>
          <w:rFonts w:ascii="Arial Narrow" w:hAnsi="Arial Narrow" w:eastAsia="仿宋_GB2312"/>
          <w:sz w:val="24"/>
          <w:szCs w:val="24"/>
        </w:rPr>
      </w:pPr>
      <w:r>
        <w:rPr>
          <w:rFonts w:ascii="Arial Narrow" w:hAnsi="Arial Narrow" w:eastAsia="仿宋_GB2312"/>
          <w:sz w:val="24"/>
          <w:szCs w:val="24"/>
        </w:rPr>
        <w:t xml:space="preserve">发行方或债务人财务困难导致该金融资产的活跃市场消失。 </w:t>
      </w:r>
    </w:p>
    <w:p w14:paraId="389B26D9">
      <w:pPr>
        <w:keepNext/>
        <w:widowControl/>
        <w:snapToGrid w:val="0"/>
        <w:spacing w:after="216" w:afterLines="90"/>
        <w:rPr>
          <w:rFonts w:ascii="Arial Narrow" w:hAnsi="Arial Narrow" w:eastAsia="仿宋_GB2312"/>
          <w:b/>
          <w:sz w:val="24"/>
        </w:rPr>
      </w:pPr>
      <w:r>
        <w:rPr>
          <w:rFonts w:ascii="Arial Narrow" w:hAnsi="Arial Narrow" w:eastAsia="仿宋_GB2312"/>
          <w:b/>
          <w:sz w:val="24"/>
        </w:rPr>
        <w:t>预期信用损失准备的列报</w:t>
      </w:r>
    </w:p>
    <w:p w14:paraId="332E20D5">
      <w:pPr>
        <w:snapToGrid w:val="0"/>
        <w:spacing w:after="216" w:afterLines="90"/>
        <w:rPr>
          <w:rFonts w:ascii="Arial Narrow" w:hAnsi="Arial Narrow" w:eastAsia="仿宋_GB2312"/>
          <w:sz w:val="24"/>
        </w:rPr>
      </w:pPr>
      <w:r>
        <w:rPr>
          <w:rFonts w:ascii="Arial Narrow" w:hAnsi="Arial Narrow" w:eastAsia="仿宋_GB2312"/>
          <w:sz w:val="24"/>
        </w:rPr>
        <w:t xml:space="preserve">为反映金融工具的信用风险自初始确认后的变化，本公司在每个资产负债表日重新计量预期信用损失，由此形成的损失准备的增加或转回金额，应当作为减值损失或利得计入当期损益。对于以摊余成本计量的金融资产，损失准备抵减该金融资产在资产负债表中列示的账面价值；对于以公允价值计量且其变动计入其他综合收益的债权投资，本公司在其他综合收益中确认其损失准备，不抵减该金融资产的账面价值。 </w:t>
      </w:r>
    </w:p>
    <w:p w14:paraId="0BAE6898">
      <w:pPr>
        <w:keepNext/>
        <w:widowControl/>
        <w:snapToGrid w:val="0"/>
        <w:spacing w:after="216" w:afterLines="90"/>
        <w:rPr>
          <w:rFonts w:ascii="Arial Narrow" w:hAnsi="Arial Narrow" w:eastAsia="仿宋_GB2312"/>
          <w:b/>
          <w:sz w:val="24"/>
        </w:rPr>
      </w:pPr>
      <w:r>
        <w:rPr>
          <w:rFonts w:ascii="Arial Narrow" w:hAnsi="Arial Narrow" w:eastAsia="仿宋_GB2312"/>
          <w:b/>
          <w:sz w:val="24"/>
        </w:rPr>
        <w:t>核销</w:t>
      </w:r>
    </w:p>
    <w:p w14:paraId="3CEF4132">
      <w:pPr>
        <w:snapToGrid w:val="0"/>
        <w:spacing w:after="216" w:afterLines="90"/>
        <w:rPr>
          <w:rFonts w:ascii="Arial Narrow" w:hAnsi="Arial Narrow" w:eastAsia="仿宋_GB2312"/>
          <w:sz w:val="24"/>
        </w:rPr>
      </w:pPr>
      <w:r>
        <w:rPr>
          <w:rFonts w:ascii="Arial Narrow" w:hAnsi="Arial Narrow" w:eastAsia="仿宋_GB2312"/>
          <w:sz w:val="24"/>
        </w:rPr>
        <w:t xml:space="preserve">如果本公司不再合理预期金融资产合同现金流量能够全部或部分收回，则直接减记该金融资产的账面余额。这种减记构成相关金融资产的终止确认。这种情况通常发生在本公司确定债务人没有资产或收入来源可产生足够的现金流量以偿还将被减记的金额。但是，按照本公司收回到期款项的程序，被减记的金融资产仍可能受到执行活动的影响。 </w:t>
      </w:r>
    </w:p>
    <w:p w14:paraId="41A4FAEC">
      <w:pPr>
        <w:snapToGrid w:val="0"/>
        <w:spacing w:after="216" w:afterLines="90"/>
        <w:rPr>
          <w:rFonts w:ascii="Arial Narrow" w:hAnsi="Arial Narrow" w:eastAsia="仿宋_GB2312"/>
          <w:sz w:val="24"/>
        </w:rPr>
      </w:pPr>
      <w:r>
        <w:rPr>
          <w:rFonts w:ascii="Arial Narrow" w:hAnsi="Arial Narrow" w:eastAsia="仿宋_GB2312"/>
          <w:sz w:val="24"/>
        </w:rPr>
        <w:t xml:space="preserve">已减记的金融资产以后又收回的，作为减值损失的转回计入收回当期的损益。 </w:t>
      </w:r>
    </w:p>
    <w:p w14:paraId="713B0ED1">
      <w:pPr>
        <w:pStyle w:val="5"/>
      </w:pPr>
      <w:r>
        <w:t>金融资产转移</w:t>
      </w:r>
    </w:p>
    <w:p w14:paraId="01B45507">
      <w:pPr>
        <w:snapToGrid w:val="0"/>
        <w:spacing w:after="216" w:afterLines="90"/>
        <w:rPr>
          <w:rFonts w:ascii="Arial Narrow" w:hAnsi="Arial Narrow" w:eastAsia="仿宋_GB2312"/>
          <w:sz w:val="24"/>
        </w:rPr>
      </w:pPr>
      <w:r>
        <w:rPr>
          <w:rFonts w:ascii="Arial Narrow" w:hAnsi="Arial Narrow" w:eastAsia="仿宋_GB2312"/>
          <w:sz w:val="24"/>
        </w:rPr>
        <w:t>金融资产转移，是指将金融资产让与或交付给该金融资产发行方以外的另一方（转入方）。</w:t>
      </w:r>
    </w:p>
    <w:p w14:paraId="7E2E8CA2">
      <w:pPr>
        <w:snapToGrid w:val="0"/>
        <w:spacing w:after="216" w:afterLines="90"/>
        <w:rPr>
          <w:rFonts w:ascii="Arial Narrow" w:hAnsi="Arial Narrow" w:eastAsia="仿宋_GB2312"/>
          <w:sz w:val="24"/>
        </w:rPr>
      </w:pPr>
      <w:r>
        <w:rPr>
          <w:rFonts w:ascii="Arial Narrow" w:hAnsi="Arial Narrow" w:eastAsia="仿宋_GB2312"/>
          <w:sz w:val="24"/>
        </w:rPr>
        <w:t>本公司已将金融资产所有权上几乎所有的风险和报酬转移给转入方的，终止确认该金融资产；保留了金融资产所有权上几乎所有的风险和报酬的，不终止确认该金融资产。</w:t>
      </w:r>
    </w:p>
    <w:p w14:paraId="5AD631AA">
      <w:pPr>
        <w:snapToGrid w:val="0"/>
        <w:spacing w:after="216" w:afterLines="90"/>
        <w:rPr>
          <w:rFonts w:ascii="Arial Narrow" w:hAnsi="Arial Narrow" w:eastAsia="仿宋_GB2312"/>
          <w:sz w:val="24"/>
        </w:rPr>
      </w:pPr>
      <w:r>
        <w:rPr>
          <w:rFonts w:ascii="Arial Narrow" w:hAnsi="Arial Narrow" w:eastAsia="仿宋_GB2312"/>
          <w:sz w:val="24"/>
        </w:rPr>
        <w:t>本公司既没有转移也没有保留金融资产所有权上几乎所有的风险和报酬的，分别下列情况处理：放弃了对该金融资产控制的，终止确认该金融资产并确认产生的资产和负债；未放弃对该金融资产控制的，按照其继续涉入所转移金融资产的程度确认有关金融资产，并相应确认有关负债。</w:t>
      </w:r>
    </w:p>
    <w:p w14:paraId="663C3F9D">
      <w:pPr>
        <w:pStyle w:val="5"/>
      </w:pPr>
      <w:r>
        <w:t>金融资产和金融负债的抵销</w:t>
      </w:r>
    </w:p>
    <w:p w14:paraId="306169B7">
      <w:pPr>
        <w:snapToGrid w:val="0"/>
        <w:spacing w:after="216" w:afterLines="90"/>
        <w:rPr>
          <w:rFonts w:ascii="Arial Narrow" w:hAnsi="Arial Narrow" w:eastAsia="仿宋_GB2312"/>
          <w:sz w:val="24"/>
        </w:rPr>
      </w:pPr>
      <w:r>
        <w:rPr>
          <w:rFonts w:ascii="Arial Narrow" w:hAnsi="Arial Narrow" w:eastAsia="仿宋_GB2312"/>
          <w:sz w:val="24"/>
        </w:rPr>
        <w:t>当本公司具有抵销已确认金融资产和金融负债的法定权利，且目前可执行该种法定权利，同时本公司计划以净额结算或同时变现该金融资产和清偿该金融负债时，金融资产和金融负债以相互抵销后的金额在资产负债表内列示。除此以外，金融资产和金融负债在资产负债表内分别列示，不予相互抵销。</w:t>
      </w:r>
    </w:p>
    <w:p w14:paraId="26768B6C">
      <w:pPr>
        <w:pStyle w:val="4"/>
        <w:spacing w:before="120" w:after="216"/>
      </w:pPr>
      <w:r>
        <w:t>存货</w:t>
      </w:r>
    </w:p>
    <w:p w14:paraId="2B2391F2">
      <w:pPr>
        <w:pStyle w:val="5"/>
        <w:numPr>
          <w:ilvl w:val="3"/>
          <w:numId w:val="9"/>
        </w:numPr>
      </w:pPr>
      <w:r>
        <w:t>存货的分类</w:t>
      </w:r>
    </w:p>
    <w:p w14:paraId="0EA2BC5F">
      <w:pPr>
        <w:snapToGrid w:val="0"/>
        <w:spacing w:after="216" w:afterLines="90"/>
        <w:rPr>
          <w:rFonts w:ascii="Arial Narrow" w:hAnsi="Arial Narrow" w:eastAsia="仿宋_GB2312"/>
          <w:sz w:val="24"/>
        </w:rPr>
      </w:pPr>
      <w:r>
        <w:rPr>
          <w:rFonts w:ascii="Arial Narrow" w:hAnsi="Arial Narrow" w:eastAsia="仿宋_GB2312"/>
          <w:sz w:val="24"/>
        </w:rPr>
        <w:t>本公司存货分为</w:t>
      </w:r>
      <w:r>
        <w:rPr>
          <w:rFonts w:hint="eastAsia" w:ascii="Arial Narrow" w:hAnsi="Arial Narrow" w:eastAsia="仿宋_GB2312"/>
          <w:sz w:val="24"/>
        </w:rPr>
        <w:t>原材料、自制半成品及在产品、库存商品（产成品）、合同履约成本、低值易耗品、包装物</w:t>
      </w:r>
      <w:r>
        <w:rPr>
          <w:rFonts w:ascii="Arial Narrow" w:hAnsi="Arial Narrow" w:eastAsia="仿宋_GB2312"/>
          <w:sz w:val="24"/>
        </w:rPr>
        <w:t>等</w:t>
      </w:r>
      <w:r>
        <w:rPr>
          <w:rFonts w:hint="eastAsia" w:ascii="Arial Narrow" w:hAnsi="Arial Narrow" w:eastAsia="仿宋_GB2312"/>
          <w:sz w:val="24"/>
        </w:rPr>
        <w:t>。</w:t>
      </w:r>
    </w:p>
    <w:p w14:paraId="1421389E">
      <w:pPr>
        <w:pStyle w:val="5"/>
      </w:pPr>
      <w:r>
        <w:t>存货发出的计价及摊销</w:t>
      </w:r>
    </w:p>
    <w:p w14:paraId="5985D06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本公司存货盘存制度采用永续盘存制，存货取得时按实际成本计价。原材料、库存商品等发出时采用</w:t>
      </w:r>
      <w:r>
        <w:rPr>
          <w:rFonts w:hint="eastAsia" w:ascii="Arial Narrow" w:hAnsi="Arial Narrow" w:eastAsia="仿宋_GB2312"/>
          <w:sz w:val="24"/>
        </w:rPr>
        <w:t>加权平均法</w:t>
      </w:r>
      <w:r>
        <w:rPr>
          <w:rFonts w:ascii="Arial Narrow" w:hAnsi="Arial Narrow" w:eastAsia="仿宋_GB2312"/>
          <w:sz w:val="24"/>
        </w:rPr>
        <w:t>计价</w:t>
      </w:r>
      <w:r>
        <w:rPr>
          <w:rFonts w:hint="eastAsia" w:ascii="Arial Narrow" w:hAnsi="Arial Narrow" w:eastAsia="仿宋_GB2312"/>
          <w:sz w:val="24"/>
        </w:rPr>
        <w:t>；</w:t>
      </w:r>
      <w:r>
        <w:rPr>
          <w:rFonts w:ascii="Arial Narrow" w:hAnsi="Arial Narrow" w:eastAsia="仿宋_GB2312"/>
          <w:sz w:val="24"/>
        </w:rPr>
        <w:t>低值易耗品领用时采用一次转销法摊销；周转用包装物按照预计的使用次数分次计入成本费用。</w:t>
      </w:r>
    </w:p>
    <w:p w14:paraId="05816097">
      <w:pPr>
        <w:pStyle w:val="5"/>
      </w:pPr>
      <w:r>
        <w:t>存货跌价准备计提方法</w:t>
      </w:r>
    </w:p>
    <w:p w14:paraId="473273A9">
      <w:pPr>
        <w:snapToGrid w:val="0"/>
        <w:spacing w:after="216" w:afterLines="90"/>
        <w:rPr>
          <w:rFonts w:ascii="Arial Narrow" w:hAnsi="Arial Narrow" w:eastAsia="仿宋_GB2312"/>
          <w:sz w:val="24"/>
        </w:rPr>
      </w:pPr>
      <w:r>
        <w:rPr>
          <w:rFonts w:ascii="Arial Narrow" w:hAnsi="Arial Narrow" w:eastAsia="仿宋_GB2312"/>
          <w:sz w:val="24"/>
        </w:rPr>
        <w:t>资产负债表日，存货成本高于其可变现净值的，计提存货跌价准备。本公司通常按照单个存货项目计提存货跌价准备，资产负债表日，以前减记存货价值的影响因素已经消失的，存货跌价准备在原已计提的金额内转回。</w:t>
      </w:r>
    </w:p>
    <w:p w14:paraId="2946504C">
      <w:pPr>
        <w:pStyle w:val="5"/>
      </w:pPr>
      <w:r>
        <w:t>存货可变现净值的确认方法</w:t>
      </w:r>
    </w:p>
    <w:p w14:paraId="7C4FCD30">
      <w:pPr>
        <w:snapToGrid w:val="0"/>
        <w:spacing w:after="216" w:afterLines="90"/>
        <w:rPr>
          <w:rFonts w:ascii="Arial Narrow" w:hAnsi="Arial Narrow" w:eastAsia="仿宋_GB2312" w:cs="Arial"/>
          <w:snapToGrid w:val="0"/>
          <w:color w:val="0000FF"/>
          <w:sz w:val="24"/>
        </w:rPr>
      </w:pPr>
      <w:r>
        <w:rPr>
          <w:rFonts w:ascii="Arial Narrow" w:hAnsi="Arial Narrow" w:eastAsia="仿宋_GB2312"/>
          <w:sz w:val="24"/>
        </w:rPr>
        <w:t>存货可变现净值是按存货的估计售价减去至完工时估计将要发生的成本、估计的销售费用以及相关税费后的金额。在确定存货的可变现净值时，以取得的确凿证据为基础，同时考虑持有存货的目的以及资产负债表日后事项的影响。</w:t>
      </w:r>
    </w:p>
    <w:p w14:paraId="0B7E9AA1">
      <w:pPr>
        <w:pStyle w:val="4"/>
        <w:spacing w:before="120" w:after="216"/>
      </w:pPr>
      <w:r>
        <w:t>长期股权投资</w:t>
      </w:r>
    </w:p>
    <w:p w14:paraId="12FEBC3A">
      <w:pPr>
        <w:snapToGrid w:val="0"/>
        <w:spacing w:after="216" w:afterLines="90"/>
        <w:rPr>
          <w:rFonts w:ascii="Arial Narrow" w:hAnsi="Arial Narrow" w:eastAsia="仿宋_GB2312"/>
          <w:sz w:val="24"/>
        </w:rPr>
      </w:pPr>
      <w:r>
        <w:rPr>
          <w:rFonts w:ascii="Arial Narrow" w:hAnsi="Arial Narrow" w:eastAsia="仿宋_GB2312"/>
          <w:sz w:val="24"/>
        </w:rPr>
        <w:t>本公司长期股权投资包括对被投资单位实施控制、重大影响的权益性投资，以及对合营企业的权益性投资。本公司能够对被投资单位施加重大影响的，为本公司的联营企业。</w:t>
      </w:r>
    </w:p>
    <w:p w14:paraId="5E8C9105">
      <w:pPr>
        <w:pStyle w:val="5"/>
        <w:numPr>
          <w:ilvl w:val="3"/>
          <w:numId w:val="10"/>
        </w:numPr>
      </w:pPr>
      <w:r>
        <w:t>投资成本确定</w:t>
      </w:r>
    </w:p>
    <w:p w14:paraId="51A45710">
      <w:pPr>
        <w:snapToGrid w:val="0"/>
        <w:spacing w:after="216" w:afterLines="90"/>
        <w:ind w:left="-2" w:leftChars="-1"/>
        <w:rPr>
          <w:rFonts w:ascii="Arial Narrow" w:hAnsi="Arial Narrow" w:eastAsia="仿宋_GB2312"/>
          <w:sz w:val="24"/>
        </w:rPr>
      </w:pPr>
      <w:r>
        <w:rPr>
          <w:rFonts w:ascii="Arial Narrow" w:hAnsi="Arial Narrow" w:eastAsia="仿宋_GB2312"/>
          <w:sz w:val="24"/>
        </w:rPr>
        <w:t xml:space="preserve">对于企业合并形成的长期股权投资：同一控制下企业合并取得的长期股权投资，在合并日按照取得被合并方所有者权益在最终控制方合并财务报表中的账面价值份额作为投资成本；非同一控制下企业合并取得的长期股权投资，按照合并成本作为长期股权投资的投资成本。通过多次交易分步实现非同一控制下企业合并，长期股权投资成本为购买日之前所持被购买方的股权投资的账面价值与购买日新增投资成本之和。 </w:t>
      </w:r>
    </w:p>
    <w:p w14:paraId="28ACF062">
      <w:pPr>
        <w:snapToGrid w:val="0"/>
        <w:spacing w:after="216" w:afterLines="90"/>
        <w:ind w:left="-2" w:leftChars="-1"/>
        <w:rPr>
          <w:rFonts w:ascii="Arial Narrow" w:hAnsi="Arial Narrow" w:eastAsia="仿宋_GB2312"/>
          <w:sz w:val="24"/>
        </w:rPr>
      </w:pPr>
      <w:r>
        <w:rPr>
          <w:rFonts w:ascii="Arial Narrow" w:hAnsi="Arial Narrow" w:eastAsia="仿宋_GB2312"/>
          <w:sz w:val="24"/>
        </w:rPr>
        <w:t>对于以企业合并以外的其他方式取得的长期股权投资：支付现金取得的长期股权投资，按照实际支付的购买价款作为初始投资成本；发行权益性证券取得的长期股权投资，以发行权益性证券的公允价值作为初始投资成本。</w:t>
      </w:r>
    </w:p>
    <w:p w14:paraId="0D8EA4D7">
      <w:pPr>
        <w:pStyle w:val="5"/>
      </w:pPr>
      <w:r>
        <w:t>后续计量及损益确认方法</w:t>
      </w:r>
    </w:p>
    <w:p w14:paraId="3456794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本公司能够对被投资单位实施控制的长期股权投资采用成本法核算；对联营企业和合营企业的投资采用权益法核算。</w:t>
      </w:r>
    </w:p>
    <w:p w14:paraId="7477D3A9">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采用成本法核算的长期股权投资，除取得投资时实际支付的价款或对价中包含的已宣告但尚未发放的现金股利或利润外，被投资单位宣告分派的现金股利或利润，确认为投资收益计入当期损益。</w:t>
      </w:r>
    </w:p>
    <w:p w14:paraId="33FFFB0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长期股权投资采用权益法核算时，对长期股权投资的投资成本大于投资时应享有被投资单位可辨认净资产公允价值份额的，不调整长期股权投资的投资成本；对长期股权投资的投资成本小于投资时应享有被投资单位可辨认净资产公允价值份额的，对长期股权投资的账面价值进行调整，差额计入投资当期的损益。</w:t>
      </w:r>
    </w:p>
    <w:p w14:paraId="7E4ED08D">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采用权益法核算时，按照应享有或应分担的被投资单位实现的净损益和其他综合收益的份额，分别确认投资收益和其他综合收益，同时调整长期股权投资的账面价值；按照被投资单位宣告分派的利润或现金股利计算应享有的部分，相应减少长期股权投资的账面价值；被投资单位除净损益、其他综合收益和利润分配以外所有者权益的其他变动，调整长期股权投资的账面价值并计入所有者权益。在确认应享有被投资单位净损益的份额时，以取得投资时被投资单位各项可辨认资产等的公允价值为基础，并按照本公司的会计政策及会计期间，对被投资单位的净利润进行调整后确认。</w:t>
      </w:r>
    </w:p>
    <w:p w14:paraId="30A39F38">
      <w:pPr>
        <w:tabs>
          <w:tab w:val="left" w:pos="618"/>
        </w:tabs>
        <w:snapToGrid w:val="0"/>
        <w:spacing w:after="216" w:afterLines="90"/>
        <w:rPr>
          <w:rFonts w:ascii="Arial Narrow" w:hAnsi="Arial Narrow" w:eastAsia="仿宋_GB2312"/>
          <w:sz w:val="24"/>
        </w:rPr>
      </w:pPr>
      <w:r>
        <w:rPr>
          <w:rFonts w:hint="eastAsia" w:ascii="Arial Narrow" w:hAnsi="Arial Narrow" w:eastAsia="仿宋_GB2312"/>
          <w:sz w:val="24"/>
        </w:rPr>
        <w:t>因追加投资等原因能够对被投资单位施加重大影响或实施共同控制但不构成控制的，在转换日，按照原股权的公允价值加上新增投资成本之和，作为改按权益法核算的初始投资成本。原股权分类为以公允价值计量且其变动计入其他综合收益的非交易性权益工具投资，与其相关的原计入其他综合收益的累计公允价值变动在改按权益法核算时转入留存收益。</w:t>
      </w:r>
      <w:r>
        <w:rPr>
          <w:rFonts w:ascii="Arial Narrow" w:hAnsi="Arial Narrow" w:eastAsia="仿宋_GB2312"/>
          <w:sz w:val="24"/>
        </w:rPr>
        <w:t xml:space="preserve"> </w:t>
      </w:r>
    </w:p>
    <w:p w14:paraId="101FF3B3">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本公司与联营企业及合营企业之间发生的未实现内部交易损益按照持股比例计算归属于本公司的部分，在抵销基础上确认投资损益。但本公司与被投资单位发生的未实现内部交易损失，属于所转让资产减值损失的，不予以抵销。</w:t>
      </w:r>
    </w:p>
    <w:p w14:paraId="03CE9506">
      <w:pPr>
        <w:pStyle w:val="5"/>
      </w:pPr>
      <w:r>
        <w:t>确定对被投资单位具有控制、共同控制、重大影响的依据</w:t>
      </w:r>
    </w:p>
    <w:p w14:paraId="2737C0A7">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控制是指本公司拥有对被投资单位的权力，通过参与被投资单位的相关活动而享有可变回报，并且有能力运用对被投资单位的权力影响其回报金额。子公司，是指被本公司控制的主体（含企业、被投资单位中可分割的部分，以及企业所控制的结构化主体等）。</w:t>
      </w:r>
    </w:p>
    <w:p w14:paraId="20E6865C">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共同控制，是指按照相关约定对某项安排所共有的控制，并且该安排的相关活动必须经过分享控制权的参与方一致同意后才能决策。在判断是否存在共同控制时，首先判断所有参与方或参与方组合是否集体控制该安排，如果所有参与方或一组参与方必须一致行动才能决定某项安排的相关活动，则认为所有参与方或一组参与方集体控制该安排。其次再判断该安排相关活动的决策是否必须经过这些集体控制该安排的参与方一致同意。如果存在两个或两个以上的参与方组合能够集体控制某项安排的，不构成共同控制。判断是否存在共同控制时，不考虑享有的保护性权利。</w:t>
      </w:r>
    </w:p>
    <w:p w14:paraId="46BD3A08">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重大影响，是指投资方对被投资单位的财务和经营政策有参与决策的权力，但并不能够控制或者与其他方一起共同控制这些政策的制定。在确定能否对被投资单位施加重大影响时，考虑投资方直接或间接持有被投资单位的表决权股份以及投资方及其他方持有的当期可执行潜在表决权在假定转换为对被投资方单位的股权后产生的影响，包括被投资单位发行的当期可转换的认股权证、股份期权及可转换公司债券等的影响。</w:t>
      </w:r>
    </w:p>
    <w:p w14:paraId="6468311A">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当本公司直接或通过子公司间接拥有被投资单位20%（含20%）以上但低于50%的表决权股份时，除非有明确证据表明该种情况下不能参与被投资单位的生产经营决策，不形成重大影响外，均确定对被投资单位具有重大影响；本公司拥有被投资单位20%（不含）以下的表决权股份，一般不认为对被投资单位具有重大影响，除非有明确证据表明该种情况下能够参与被投资单位的生产经营决策，形成重大影响。</w:t>
      </w:r>
    </w:p>
    <w:p w14:paraId="0C309761">
      <w:pPr>
        <w:pStyle w:val="5"/>
      </w:pPr>
      <w:r>
        <w:t>长期股权投资的处置</w:t>
      </w:r>
    </w:p>
    <w:p w14:paraId="3F2C0B0D">
      <w:pPr>
        <w:snapToGrid w:val="0"/>
        <w:spacing w:after="216" w:afterLines="90"/>
        <w:rPr>
          <w:rFonts w:ascii="Arial Narrow" w:hAnsi="Arial Narrow" w:eastAsia="仿宋_GB2312"/>
          <w:sz w:val="24"/>
        </w:rPr>
      </w:pPr>
      <w:r>
        <w:rPr>
          <w:rFonts w:ascii="Arial Narrow" w:hAnsi="Arial Narrow" w:eastAsia="仿宋_GB2312"/>
          <w:sz w:val="24"/>
        </w:rPr>
        <w:t>处置长期股权投资，其账面价值与实际取得价款的差额，应当计入损益。采用权益法核算的长期股权投资，因被投资单位除净损益以外所有者权益的其他变动而计入所有者权益的，处置该项投资时将原计入所有者权益的部分按相应比例转入当期损益。</w:t>
      </w:r>
    </w:p>
    <w:p w14:paraId="17B0CF03">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处置部分股权投资等原因丧失了对被投资单位的共同控制或重大影响的，处置后的剩余股权在丧失共同控制或重大影响之日改按《企业会计准则第22号—金融工具确认和计量》进行会计处理，公允价值与账面价值之间的差额计入当期损益。</w:t>
      </w:r>
      <w:r>
        <w:rPr>
          <w:rFonts w:ascii="Arial Narrow" w:hAnsi="Arial Narrow" w:eastAsia="仿宋_GB2312"/>
          <w:sz w:val="24"/>
        </w:rPr>
        <w:t xml:space="preserve">原股权投资因采用权益法核算而确认的其他综合收益，应当在终止采用权益法核算时采用与被投资单位直接处置相关资产或负债相同的基础进行会计处理；原股权投资相关的其他所有者权益变动转入当期损益。 </w:t>
      </w:r>
    </w:p>
    <w:p w14:paraId="75025F08">
      <w:pPr>
        <w:snapToGrid w:val="0"/>
        <w:spacing w:after="216" w:afterLines="90"/>
        <w:ind w:left="-2" w:leftChars="-1" w:firstLine="2"/>
        <w:rPr>
          <w:rFonts w:ascii="Arial Narrow" w:hAnsi="Arial Narrow" w:eastAsia="仿宋_GB2312"/>
          <w:sz w:val="24"/>
        </w:rPr>
      </w:pPr>
      <w:r>
        <w:rPr>
          <w:rFonts w:ascii="Arial Narrow" w:hAnsi="Arial Narrow" w:eastAsia="仿宋_GB2312"/>
          <w:sz w:val="24"/>
        </w:rPr>
        <w:t xml:space="preserve">因处置部分股权投资等原因丧失了对被投资单位的控制的，处置后的剩余股权能够对被投资单位实施共同控制或施加重大影响的，改按权益法核算，并对该剩余股权视同自取得时即采用权益法核算进行调整；处置后的剩余股权不能对被投资单位实施共同控制或施加重大影响的，改按《企业会计准则第22号—金融工具确认和计量》的有关规定进行会计处理，其在丧失控制之日的公允价值与账面价值间的差额计入当期损益。 </w:t>
      </w:r>
    </w:p>
    <w:p w14:paraId="3AFD8FDE">
      <w:pPr>
        <w:snapToGrid w:val="0"/>
        <w:spacing w:after="216" w:afterLines="90"/>
        <w:ind w:left="-2" w:leftChars="-1" w:firstLine="2"/>
        <w:rPr>
          <w:rFonts w:ascii="Arial Narrow" w:hAnsi="Arial Narrow" w:eastAsia="仿宋_GB2312"/>
          <w:sz w:val="24"/>
        </w:rPr>
      </w:pPr>
      <w:r>
        <w:rPr>
          <w:rFonts w:hint="eastAsia" w:ascii="Arial Narrow" w:hAnsi="Arial Narrow" w:eastAsia="仿宋_GB2312"/>
          <w:sz w:val="24"/>
        </w:rPr>
        <w:t>因其他投资方增资而导致本公司持股比例下降、从而丧失控制权但能对被投资单位实施共同控制或施加重大影响的，按照新的持股比例确认本公司应享有的被投资单位因增资扩股而增加净资产的份额，与应结转持股比例下降部分所对应的长期股权投资原账面价值之间的差额计入当期损益；然后，按照新的持股比例视同自取得投资时即采用权益法核算进行调整。</w:t>
      </w:r>
    </w:p>
    <w:p w14:paraId="7704B7E7">
      <w:pPr>
        <w:pStyle w:val="5"/>
      </w:pPr>
      <w:r>
        <w:t>减值测试方法及减值准备计提方法</w:t>
      </w:r>
    </w:p>
    <w:p w14:paraId="0B101ED2">
      <w:pPr>
        <w:tabs>
          <w:tab w:val="left" w:pos="618"/>
        </w:tabs>
        <w:snapToGrid w:val="0"/>
        <w:spacing w:after="216" w:afterLines="90"/>
        <w:rPr>
          <w:rFonts w:ascii="Arial Narrow" w:hAnsi="Arial Narrow" w:eastAsia="仿宋_GB2312"/>
          <w:sz w:val="24"/>
        </w:rPr>
      </w:pPr>
      <w:r>
        <w:rPr>
          <w:rFonts w:ascii="Arial Narrow" w:hAnsi="Arial Narrow" w:eastAsia="仿宋_GB2312"/>
          <w:sz w:val="24"/>
        </w:rPr>
        <w:t>对子公司、联营企业及合营企业的投资，本公司计提资产减值的方法见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四、18</w:t>
      </w:r>
      <w:r>
        <w:rPr>
          <w:rFonts w:ascii="Arial Narrow" w:hAnsi="Arial Narrow" w:eastAsia="仿宋_GB2312"/>
          <w:sz w:val="24"/>
        </w:rPr>
        <w:t>。</w:t>
      </w:r>
    </w:p>
    <w:p w14:paraId="047B022F">
      <w:pPr>
        <w:pStyle w:val="4"/>
        <w:spacing w:before="120" w:after="216"/>
      </w:pPr>
      <w:r>
        <w:t>投资性房地产</w:t>
      </w:r>
    </w:p>
    <w:p w14:paraId="4D40063B">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投资性房地产是指为赚取租金或资本增值，或两者兼有而持有的房地产。本公司投资性房地产包括已出租的土地使用权、持有并准备增值后转让的土地使用权、已出租的建筑物。</w:t>
      </w:r>
    </w:p>
    <w:p w14:paraId="2C3BDE00">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本公司投资性房地产按照取得时的成本进行初始计量，</w:t>
      </w:r>
      <w:r>
        <w:rPr>
          <w:rFonts w:hint="eastAsia" w:ascii="Arial Narrow" w:hAnsi="Arial Narrow" w:eastAsia="仿宋_GB2312"/>
          <w:sz w:val="24"/>
        </w:rPr>
        <w:t>在资产负债表日采用公允价值模式进行后续计量，不对投资性房地产计提折旧或进行摊销。</w:t>
      </w:r>
      <w:r>
        <w:rPr>
          <w:rFonts w:ascii="Arial Narrow" w:hAnsi="Arial Narrow" w:eastAsia="仿宋_GB2312"/>
          <w:color w:val="0000FF"/>
          <w:sz w:val="24"/>
        </w:rPr>
        <w:t xml:space="preserve"> </w:t>
      </w:r>
    </w:p>
    <w:p w14:paraId="0FC0744E">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本公司投资性房地产所在地有活跃的房地产交易市场，而且本公司能够从房地产交易市场上取得同类或类似房地产的市场价格及其他相关信息，从而能够对投资性房地产的公允价值作出合理估计，因此本公司对投资性房地产采用公允价值模式进行后续计量，公允价值的变动计入当期损益。</w:t>
      </w:r>
    </w:p>
    <w:p w14:paraId="653A80B1">
      <w:pPr>
        <w:snapToGrid w:val="0"/>
        <w:spacing w:after="216" w:afterLines="90"/>
        <w:rPr>
          <w:rFonts w:ascii="Arial Narrow" w:hAnsi="Arial Narrow" w:eastAsia="仿宋_GB2312" w:cs="Arial"/>
          <w:snapToGrid w:val="0"/>
          <w:sz w:val="24"/>
        </w:rPr>
      </w:pPr>
      <w:r>
        <w:rPr>
          <w:rFonts w:ascii="Arial Narrow" w:hAnsi="Arial Narrow" w:eastAsia="仿宋_GB2312" w:cs="Arial"/>
          <w:snapToGrid w:val="0"/>
          <w:sz w:val="24"/>
        </w:rPr>
        <w:t>确定投资性房地产的公允价值时，参照活跃市场上同类或类似房地产的现行市场价格；无法取得同类或类似房地产的现行市场价格的，参照活跃市场上同类或类或类似房地产的最近交易价格，并考虑交易情况、交易日期、所在区域等因素，从而对投资性房地产的公允价值作出合理的估计；或基于预计未来获得的租金收益和有关现金流量的现值确定其公允价值。</w:t>
      </w:r>
    </w:p>
    <w:p w14:paraId="5F106397">
      <w:pPr>
        <w:snapToGrid w:val="0"/>
        <w:spacing w:before="120" w:beforeLines="50" w:after="216" w:afterLines="90" w:line="340" w:lineRule="atLeast"/>
        <w:rPr>
          <w:rFonts w:ascii="Arial Narrow" w:hAnsi="Arial Narrow" w:eastAsia="仿宋_GB2312"/>
          <w:color w:val="0000FF"/>
          <w:sz w:val="24"/>
        </w:rPr>
      </w:pPr>
      <w:r>
        <w:rPr>
          <w:rFonts w:ascii="Arial Narrow" w:hAnsi="Arial Narrow" w:eastAsia="仿宋_GB2312"/>
          <w:sz w:val="24"/>
        </w:rPr>
        <w:t>投资性房地产出售、转让、报废或毁损的处置收入扣除其账面价值和相关税费后的差额计入当期损益。</w:t>
      </w:r>
    </w:p>
    <w:p w14:paraId="12C97704">
      <w:pPr>
        <w:pStyle w:val="4"/>
        <w:spacing w:before="120" w:after="216"/>
      </w:pPr>
      <w:r>
        <w:t>固定资产</w:t>
      </w:r>
    </w:p>
    <w:p w14:paraId="324499DF">
      <w:pPr>
        <w:pStyle w:val="5"/>
        <w:numPr>
          <w:ilvl w:val="3"/>
          <w:numId w:val="11"/>
        </w:numPr>
      </w:pPr>
      <w:r>
        <w:t>固定资产的确认条件</w:t>
      </w:r>
    </w:p>
    <w:p w14:paraId="0CCFC27A">
      <w:pPr>
        <w:tabs>
          <w:tab w:val="left" w:pos="630"/>
        </w:tabs>
        <w:snapToGrid w:val="0"/>
        <w:spacing w:after="216" w:afterLines="90" w:line="340" w:lineRule="atLeast"/>
        <w:rPr>
          <w:rFonts w:ascii="Arial Narrow" w:hAnsi="Arial Narrow" w:eastAsia="仿宋_GB2312"/>
          <w:sz w:val="24"/>
        </w:rPr>
      </w:pPr>
      <w:r>
        <w:rPr>
          <w:rFonts w:ascii="Arial Narrow" w:hAnsi="Arial Narrow" w:eastAsia="仿宋_GB2312"/>
          <w:sz w:val="24"/>
        </w:rPr>
        <w:t>本公司固定资产是指为生产商品、提供劳务、出租或经营管理而持有的，使用寿命超过一个会计年度的有形资产。</w:t>
      </w:r>
    </w:p>
    <w:p w14:paraId="19647A38">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与该固定资产有关的经济利益很可能流入企业，并且该固定资产的成本能够可靠地计量时，固定资产才能予以确认。</w:t>
      </w:r>
    </w:p>
    <w:p w14:paraId="3EB17D27">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本公司固定资产按照取得时的实际成本进行初始计量。</w:t>
      </w:r>
    </w:p>
    <w:p w14:paraId="3A1B0D98">
      <w:pPr>
        <w:pStyle w:val="5"/>
      </w:pPr>
      <w:r>
        <w:t>固定资产分类及折旧政策</w:t>
      </w:r>
    </w:p>
    <w:p w14:paraId="3AE5648C">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 xml:space="preserve">本公司采用年限平均法计提折旧。固定资产自达到预定可使用状态时开始计提折旧，终止确认时或划分为持有待售非流动资产时停止计提折旧。在不考虑减值准备的情况下，按固定资产类别、预计使用寿命和预计残值，本公司确定各类固定资产的年折旧率如下： </w:t>
      </w:r>
    </w:p>
    <w:tbl>
      <w:tblPr>
        <w:tblStyle w:val="12"/>
        <w:tblW w:w="8363"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98"/>
        <w:gridCol w:w="2109"/>
        <w:gridCol w:w="2128"/>
        <w:gridCol w:w="2128"/>
      </w:tblGrid>
      <w:tr w14:paraId="2A24AC8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998" w:type="dxa"/>
            <w:tcBorders>
              <w:top w:val="single" w:color="auto" w:sz="8" w:space="0"/>
              <w:bottom w:val="single" w:color="auto" w:sz="4" w:space="0"/>
            </w:tcBorders>
            <w:shd w:val="clear" w:color="auto" w:fill="auto"/>
            <w:vAlign w:val="center"/>
          </w:tcPr>
          <w:p w14:paraId="2FBEABA5">
            <w:pPr>
              <w:adjustRightInd w:val="0"/>
              <w:snapToGrid w:val="0"/>
              <w:jc w:val="left"/>
              <w:rPr>
                <w:rFonts w:ascii="Arial Narrow" w:hAnsi="Arial Narrow" w:eastAsia="仿宋_GB2312"/>
                <w:b/>
                <w:szCs w:val="21"/>
              </w:rPr>
            </w:pPr>
            <w:r>
              <w:rPr>
                <w:rFonts w:ascii="Arial Narrow" w:hAnsi="Arial Narrow" w:eastAsia="仿宋_GB2312"/>
                <w:b/>
                <w:szCs w:val="21"/>
              </w:rPr>
              <w:t>固定资产类别</w:t>
            </w:r>
          </w:p>
        </w:tc>
        <w:tc>
          <w:tcPr>
            <w:tcW w:w="2109" w:type="dxa"/>
            <w:tcBorders>
              <w:top w:val="single" w:color="auto" w:sz="8" w:space="0"/>
              <w:bottom w:val="single" w:color="auto" w:sz="4" w:space="0"/>
            </w:tcBorders>
            <w:shd w:val="clear" w:color="auto" w:fill="auto"/>
            <w:vAlign w:val="center"/>
          </w:tcPr>
          <w:p w14:paraId="40CBB3E8">
            <w:pPr>
              <w:adjustRightInd w:val="0"/>
              <w:snapToGrid w:val="0"/>
              <w:jc w:val="right"/>
              <w:rPr>
                <w:rFonts w:ascii="Arial Narrow" w:hAnsi="Arial Narrow" w:eastAsia="仿宋_GB2312"/>
                <w:b/>
                <w:szCs w:val="21"/>
              </w:rPr>
            </w:pPr>
            <w:r>
              <w:rPr>
                <w:rFonts w:ascii="Arial Narrow" w:hAnsi="Arial Narrow" w:eastAsia="仿宋_GB2312"/>
                <w:b/>
                <w:szCs w:val="21"/>
              </w:rPr>
              <w:t>使用年限</w:t>
            </w:r>
            <w:r>
              <w:rPr>
                <w:rFonts w:hint="eastAsia" w:ascii="Arial Narrow" w:hAnsi="Arial Narrow" w:eastAsia="仿宋_GB2312"/>
                <w:b/>
                <w:szCs w:val="21"/>
              </w:rPr>
              <w:t>（年）</w:t>
            </w:r>
          </w:p>
        </w:tc>
        <w:tc>
          <w:tcPr>
            <w:tcW w:w="2128" w:type="dxa"/>
            <w:tcBorders>
              <w:top w:val="single" w:color="auto" w:sz="8" w:space="0"/>
              <w:bottom w:val="single" w:color="auto" w:sz="4" w:space="0"/>
            </w:tcBorders>
            <w:shd w:val="clear" w:color="auto" w:fill="auto"/>
            <w:vAlign w:val="center"/>
          </w:tcPr>
          <w:p w14:paraId="61C19263">
            <w:pPr>
              <w:adjustRightInd w:val="0"/>
              <w:snapToGrid w:val="0"/>
              <w:jc w:val="right"/>
              <w:rPr>
                <w:rFonts w:ascii="Arial Narrow" w:hAnsi="Arial Narrow" w:eastAsia="仿宋_GB2312" w:cs="Arial"/>
                <w:b/>
                <w:szCs w:val="21"/>
              </w:rPr>
            </w:pPr>
            <w:r>
              <w:rPr>
                <w:rFonts w:ascii="Arial Narrow" w:hAnsi="Arial Narrow" w:eastAsia="仿宋_GB2312" w:cs="Arial"/>
                <w:b/>
                <w:szCs w:val="21"/>
              </w:rPr>
              <w:t>残值率</w:t>
            </w:r>
            <w:r>
              <w:rPr>
                <w:rFonts w:ascii="Arial Narrow" w:hAnsi="Arial Narrow" w:eastAsia="仿宋_GB2312"/>
                <w:b/>
                <w:szCs w:val="21"/>
              </w:rPr>
              <w:t>%</w:t>
            </w:r>
          </w:p>
        </w:tc>
        <w:tc>
          <w:tcPr>
            <w:tcW w:w="2128" w:type="dxa"/>
            <w:tcBorders>
              <w:top w:val="single" w:color="auto" w:sz="8" w:space="0"/>
              <w:bottom w:val="single" w:color="auto" w:sz="4" w:space="0"/>
            </w:tcBorders>
            <w:shd w:val="clear" w:color="auto" w:fill="auto"/>
            <w:vAlign w:val="center"/>
          </w:tcPr>
          <w:p w14:paraId="5A19C844">
            <w:pPr>
              <w:adjustRightInd w:val="0"/>
              <w:snapToGrid w:val="0"/>
              <w:jc w:val="right"/>
              <w:rPr>
                <w:rFonts w:ascii="Arial Narrow" w:hAnsi="Arial Narrow" w:eastAsia="仿宋_GB2312"/>
                <w:b/>
                <w:szCs w:val="21"/>
              </w:rPr>
            </w:pPr>
            <w:r>
              <w:rPr>
                <w:rFonts w:ascii="Arial Narrow" w:hAnsi="Arial Narrow" w:eastAsia="仿宋_GB2312"/>
                <w:b/>
                <w:szCs w:val="21"/>
              </w:rPr>
              <w:t>年折旧率%</w:t>
            </w:r>
          </w:p>
        </w:tc>
      </w:tr>
      <w:tr w14:paraId="59F86B3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tcBorders>
              <w:top w:val="single" w:color="auto" w:sz="4" w:space="0"/>
            </w:tcBorders>
            <w:vAlign w:val="center"/>
          </w:tcPr>
          <w:p w14:paraId="5BFC5A83">
            <w:pPr>
              <w:adjustRightInd w:val="0"/>
              <w:snapToGrid w:val="0"/>
              <w:jc w:val="left"/>
              <w:rPr>
                <w:rFonts w:ascii="Arial Narrow" w:hAnsi="Arial Narrow" w:eastAsia="仿宋_GB2312"/>
                <w:szCs w:val="21"/>
              </w:rPr>
            </w:pPr>
            <w:r>
              <w:rPr>
                <w:rFonts w:ascii="Arial Narrow" w:hAnsi="Arial Narrow" w:eastAsia="仿宋_GB2312"/>
                <w:szCs w:val="21"/>
              </w:rPr>
              <w:t>房屋</w:t>
            </w:r>
            <w:r>
              <w:rPr>
                <w:rFonts w:hint="eastAsia" w:ascii="Arial Narrow" w:hAnsi="Arial Narrow" w:eastAsia="仿宋_GB2312"/>
                <w:szCs w:val="21"/>
              </w:rPr>
              <w:t>及</w:t>
            </w:r>
            <w:r>
              <w:rPr>
                <w:rFonts w:ascii="Arial Narrow" w:hAnsi="Arial Narrow" w:eastAsia="仿宋_GB2312"/>
                <w:szCs w:val="21"/>
              </w:rPr>
              <w:t>建筑物</w:t>
            </w:r>
          </w:p>
        </w:tc>
        <w:tc>
          <w:tcPr>
            <w:tcW w:w="2109" w:type="dxa"/>
            <w:tcBorders>
              <w:top w:val="single" w:color="auto" w:sz="4" w:space="0"/>
            </w:tcBorders>
            <w:vAlign w:val="center"/>
          </w:tcPr>
          <w:p w14:paraId="7B2943C1">
            <w:pPr>
              <w:jc w:val="right"/>
              <w:rPr>
                <w:rFonts w:ascii="Arial Narrow" w:hAnsi="Arial Narrow" w:eastAsia="仿宋_GB2312"/>
                <w:szCs w:val="21"/>
              </w:rPr>
            </w:pPr>
            <w:r>
              <w:rPr>
                <w:rFonts w:ascii="Arial Narrow" w:hAnsi="Arial Narrow"/>
                <w:szCs w:val="21"/>
              </w:rPr>
              <w:t>8-55</w:t>
            </w:r>
            <w:r>
              <w:rPr>
                <w:rFonts w:ascii="Arial Narrow" w:hAnsi="Arial Narrow" w:eastAsia="仿宋_GB2312"/>
                <w:szCs w:val="21"/>
              </w:rPr>
              <w:t xml:space="preserve"> </w:t>
            </w:r>
          </w:p>
        </w:tc>
        <w:tc>
          <w:tcPr>
            <w:tcW w:w="2128" w:type="dxa"/>
            <w:tcBorders>
              <w:top w:val="single" w:color="auto" w:sz="4" w:space="0"/>
            </w:tcBorders>
            <w:vAlign w:val="center"/>
          </w:tcPr>
          <w:p w14:paraId="79194017">
            <w:pPr>
              <w:jc w:val="right"/>
              <w:rPr>
                <w:rFonts w:ascii="Arial Narrow" w:hAnsi="Arial Narrow" w:eastAsia="仿宋_GB2312"/>
                <w:szCs w:val="21"/>
              </w:rPr>
            </w:pPr>
            <w:r>
              <w:rPr>
                <w:rFonts w:ascii="Arial Narrow" w:hAnsi="Arial Narrow"/>
                <w:szCs w:val="21"/>
              </w:rPr>
              <w:t>0-10</w:t>
            </w:r>
          </w:p>
        </w:tc>
        <w:tc>
          <w:tcPr>
            <w:tcW w:w="2128" w:type="dxa"/>
            <w:tcBorders>
              <w:top w:val="single" w:color="auto" w:sz="4" w:space="0"/>
            </w:tcBorders>
            <w:vAlign w:val="center"/>
          </w:tcPr>
          <w:p w14:paraId="58BCB1A8">
            <w:pPr>
              <w:jc w:val="right"/>
              <w:rPr>
                <w:rFonts w:ascii="Arial Narrow" w:hAnsi="Arial Narrow" w:eastAsia="仿宋_GB2312"/>
                <w:szCs w:val="21"/>
              </w:rPr>
            </w:pPr>
            <w:r>
              <w:rPr>
                <w:rFonts w:ascii="Arial Narrow" w:hAnsi="Arial Narrow"/>
                <w:szCs w:val="21"/>
              </w:rPr>
              <w:t>1.64-12.50</w:t>
            </w:r>
          </w:p>
        </w:tc>
      </w:tr>
      <w:tr w14:paraId="630CE9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2A373B56">
            <w:pPr>
              <w:adjustRightInd w:val="0"/>
              <w:snapToGrid w:val="0"/>
              <w:jc w:val="left"/>
              <w:rPr>
                <w:rFonts w:ascii="Arial Narrow" w:hAnsi="Arial Narrow" w:eastAsia="仿宋_GB2312"/>
                <w:szCs w:val="21"/>
              </w:rPr>
            </w:pPr>
            <w:r>
              <w:rPr>
                <w:rFonts w:ascii="Arial Narrow" w:hAnsi="Arial Narrow" w:eastAsia="仿宋_GB2312"/>
                <w:szCs w:val="21"/>
              </w:rPr>
              <w:t>机器设备</w:t>
            </w:r>
          </w:p>
        </w:tc>
        <w:tc>
          <w:tcPr>
            <w:tcW w:w="2109" w:type="dxa"/>
            <w:vAlign w:val="center"/>
          </w:tcPr>
          <w:p w14:paraId="23EC17DA">
            <w:pPr>
              <w:jc w:val="right"/>
              <w:rPr>
                <w:rFonts w:ascii="Arial Narrow" w:hAnsi="Arial Narrow" w:eastAsia="仿宋_GB2312"/>
                <w:szCs w:val="21"/>
              </w:rPr>
            </w:pPr>
            <w:r>
              <w:rPr>
                <w:rFonts w:ascii="Arial Narrow" w:hAnsi="Arial Narrow"/>
                <w:szCs w:val="21"/>
              </w:rPr>
              <w:t>6-30</w:t>
            </w:r>
          </w:p>
        </w:tc>
        <w:tc>
          <w:tcPr>
            <w:tcW w:w="2128" w:type="dxa"/>
            <w:vAlign w:val="center"/>
          </w:tcPr>
          <w:p w14:paraId="335BD638">
            <w:pPr>
              <w:jc w:val="right"/>
              <w:rPr>
                <w:rFonts w:ascii="Arial Narrow" w:hAnsi="Arial Narrow" w:eastAsia="仿宋_GB2312"/>
                <w:szCs w:val="21"/>
              </w:rPr>
            </w:pPr>
            <w:r>
              <w:rPr>
                <w:rFonts w:ascii="Arial Narrow" w:hAnsi="Arial Narrow"/>
                <w:szCs w:val="21"/>
              </w:rPr>
              <w:t>0-10</w:t>
            </w:r>
          </w:p>
        </w:tc>
        <w:tc>
          <w:tcPr>
            <w:tcW w:w="2128" w:type="dxa"/>
            <w:vAlign w:val="center"/>
          </w:tcPr>
          <w:p w14:paraId="6535FBE2">
            <w:pPr>
              <w:jc w:val="right"/>
              <w:rPr>
                <w:rFonts w:ascii="Arial Narrow" w:hAnsi="Arial Narrow" w:eastAsia="仿宋_GB2312"/>
                <w:szCs w:val="21"/>
              </w:rPr>
            </w:pPr>
            <w:r>
              <w:rPr>
                <w:rFonts w:ascii="Arial Narrow" w:hAnsi="Arial Narrow"/>
                <w:szCs w:val="21"/>
              </w:rPr>
              <w:t>3.00-16.67</w:t>
            </w:r>
          </w:p>
        </w:tc>
      </w:tr>
      <w:tr w14:paraId="78D464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015D9938">
            <w:pPr>
              <w:adjustRightInd w:val="0"/>
              <w:snapToGrid w:val="0"/>
              <w:jc w:val="left"/>
              <w:rPr>
                <w:rFonts w:ascii="Arial Narrow" w:hAnsi="Arial Narrow" w:eastAsia="仿宋_GB2312"/>
                <w:szCs w:val="21"/>
              </w:rPr>
            </w:pPr>
            <w:r>
              <w:rPr>
                <w:rFonts w:ascii="Arial Narrow" w:hAnsi="Arial Narrow" w:eastAsia="仿宋_GB2312"/>
                <w:szCs w:val="21"/>
              </w:rPr>
              <w:t>运输工具</w:t>
            </w:r>
          </w:p>
        </w:tc>
        <w:tc>
          <w:tcPr>
            <w:tcW w:w="2109" w:type="dxa"/>
            <w:vAlign w:val="center"/>
          </w:tcPr>
          <w:p w14:paraId="7ECB9FB4">
            <w:pPr>
              <w:jc w:val="right"/>
              <w:rPr>
                <w:rFonts w:ascii="Arial Narrow" w:hAnsi="Arial Narrow" w:eastAsia="仿宋_GB2312"/>
                <w:szCs w:val="21"/>
              </w:rPr>
            </w:pPr>
            <w:r>
              <w:rPr>
                <w:rFonts w:ascii="Arial Narrow" w:hAnsi="Arial Narrow"/>
                <w:szCs w:val="21"/>
              </w:rPr>
              <w:t>6-10</w:t>
            </w:r>
          </w:p>
        </w:tc>
        <w:tc>
          <w:tcPr>
            <w:tcW w:w="2128" w:type="dxa"/>
            <w:vAlign w:val="center"/>
          </w:tcPr>
          <w:p w14:paraId="64BABC98">
            <w:pPr>
              <w:jc w:val="right"/>
              <w:rPr>
                <w:rFonts w:ascii="Arial Narrow" w:hAnsi="Arial Narrow" w:eastAsia="仿宋_GB2312"/>
                <w:szCs w:val="21"/>
              </w:rPr>
            </w:pPr>
            <w:r>
              <w:rPr>
                <w:rFonts w:ascii="Arial Narrow" w:hAnsi="Arial Narrow"/>
                <w:szCs w:val="21"/>
              </w:rPr>
              <w:t>3-10</w:t>
            </w:r>
          </w:p>
        </w:tc>
        <w:tc>
          <w:tcPr>
            <w:tcW w:w="2128" w:type="dxa"/>
            <w:vAlign w:val="center"/>
          </w:tcPr>
          <w:p w14:paraId="6AE1F081">
            <w:pPr>
              <w:jc w:val="right"/>
              <w:rPr>
                <w:rFonts w:ascii="Arial Narrow" w:hAnsi="Arial Narrow" w:eastAsia="仿宋_GB2312"/>
                <w:szCs w:val="21"/>
              </w:rPr>
            </w:pPr>
            <w:r>
              <w:rPr>
                <w:rFonts w:ascii="Arial Narrow" w:hAnsi="Arial Narrow"/>
                <w:szCs w:val="21"/>
              </w:rPr>
              <w:t>9.00-16.17</w:t>
            </w:r>
          </w:p>
        </w:tc>
      </w:tr>
      <w:tr w14:paraId="6A51360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0713C7A0">
            <w:pPr>
              <w:adjustRightInd w:val="0"/>
              <w:snapToGrid w:val="0"/>
              <w:jc w:val="left"/>
              <w:rPr>
                <w:rFonts w:ascii="Arial Narrow" w:hAnsi="Arial Narrow" w:eastAsia="仿宋_GB2312"/>
                <w:szCs w:val="21"/>
              </w:rPr>
            </w:pPr>
            <w:r>
              <w:rPr>
                <w:rFonts w:ascii="Arial Narrow" w:hAnsi="Arial Narrow" w:eastAsia="仿宋_GB2312"/>
                <w:szCs w:val="21"/>
              </w:rPr>
              <w:t>电子设备</w:t>
            </w:r>
          </w:p>
        </w:tc>
        <w:tc>
          <w:tcPr>
            <w:tcW w:w="2109" w:type="dxa"/>
            <w:vAlign w:val="center"/>
          </w:tcPr>
          <w:p w14:paraId="1CDDFE4C">
            <w:pPr>
              <w:jc w:val="right"/>
              <w:rPr>
                <w:rFonts w:ascii="Arial Narrow" w:hAnsi="Arial Narrow" w:eastAsia="仿宋_GB2312"/>
                <w:szCs w:val="21"/>
              </w:rPr>
            </w:pPr>
            <w:r>
              <w:rPr>
                <w:rFonts w:ascii="Arial Narrow" w:hAnsi="Arial Narrow"/>
                <w:szCs w:val="21"/>
              </w:rPr>
              <w:t>5</w:t>
            </w:r>
          </w:p>
        </w:tc>
        <w:tc>
          <w:tcPr>
            <w:tcW w:w="2128" w:type="dxa"/>
            <w:vAlign w:val="center"/>
          </w:tcPr>
          <w:p w14:paraId="0B7173CB">
            <w:pPr>
              <w:jc w:val="right"/>
              <w:rPr>
                <w:rFonts w:ascii="Arial Narrow" w:hAnsi="Arial Narrow" w:eastAsia="仿宋_GB2312"/>
                <w:szCs w:val="21"/>
              </w:rPr>
            </w:pPr>
            <w:r>
              <w:rPr>
                <w:rFonts w:ascii="Arial Narrow" w:hAnsi="Arial Narrow"/>
                <w:szCs w:val="21"/>
              </w:rPr>
              <w:t>0-10</w:t>
            </w:r>
          </w:p>
        </w:tc>
        <w:tc>
          <w:tcPr>
            <w:tcW w:w="2128" w:type="dxa"/>
            <w:vAlign w:val="center"/>
          </w:tcPr>
          <w:p w14:paraId="1A73DF7B">
            <w:pPr>
              <w:jc w:val="right"/>
              <w:rPr>
                <w:rFonts w:ascii="Arial Narrow" w:hAnsi="Arial Narrow" w:eastAsia="仿宋_GB2312"/>
                <w:szCs w:val="21"/>
              </w:rPr>
            </w:pPr>
            <w:r>
              <w:rPr>
                <w:rFonts w:ascii="Arial Narrow" w:hAnsi="Arial Narrow"/>
                <w:szCs w:val="21"/>
              </w:rPr>
              <w:t>18.00-20.00</w:t>
            </w:r>
          </w:p>
        </w:tc>
      </w:tr>
      <w:tr w14:paraId="2E8445E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48922A78">
            <w:pPr>
              <w:adjustRightInd w:val="0"/>
              <w:snapToGrid w:val="0"/>
              <w:jc w:val="left"/>
              <w:rPr>
                <w:rFonts w:ascii="Arial Narrow" w:hAnsi="Arial Narrow" w:eastAsia="仿宋_GB2312"/>
                <w:szCs w:val="21"/>
                <w:highlight w:val="yellow"/>
              </w:rPr>
            </w:pPr>
            <w:r>
              <w:rPr>
                <w:rFonts w:ascii="Arial Narrow" w:hAnsi="Arial Narrow" w:eastAsia="仿宋_GB2312"/>
                <w:szCs w:val="21"/>
                <w:highlight w:val="yellow"/>
              </w:rPr>
              <w:t>办公设备</w:t>
            </w:r>
          </w:p>
        </w:tc>
        <w:tc>
          <w:tcPr>
            <w:tcW w:w="2109" w:type="dxa"/>
            <w:vAlign w:val="center"/>
          </w:tcPr>
          <w:p w14:paraId="2A741077">
            <w:pPr>
              <w:jc w:val="right"/>
              <w:rPr>
                <w:rFonts w:ascii="Arial Narrow" w:hAnsi="Arial Narrow" w:eastAsia="仿宋_GB2312"/>
                <w:szCs w:val="21"/>
                <w:highlight w:val="yellow"/>
              </w:rPr>
            </w:pPr>
            <w:r>
              <w:rPr>
                <w:rFonts w:hint="eastAsia" w:ascii="Arial Narrow" w:hAnsi="Arial Narrow" w:eastAsia="仿宋_GB2312"/>
                <w:szCs w:val="21"/>
                <w:highlight w:val="yellow"/>
              </w:rPr>
              <w:t>3</w:t>
            </w:r>
            <w:r>
              <w:rPr>
                <w:rFonts w:ascii="Arial Narrow" w:hAnsi="Arial Narrow" w:eastAsia="仿宋_GB2312"/>
                <w:szCs w:val="21"/>
                <w:highlight w:val="yellow"/>
              </w:rPr>
              <w:t>-5</w:t>
            </w:r>
          </w:p>
        </w:tc>
        <w:tc>
          <w:tcPr>
            <w:tcW w:w="2128" w:type="dxa"/>
            <w:vAlign w:val="center"/>
          </w:tcPr>
          <w:p w14:paraId="41A87B06">
            <w:pPr>
              <w:jc w:val="right"/>
              <w:rPr>
                <w:rFonts w:ascii="Arial Narrow" w:hAnsi="Arial Narrow" w:eastAsia="仿宋_GB2312"/>
                <w:szCs w:val="21"/>
                <w:highlight w:val="yellow"/>
              </w:rPr>
            </w:pPr>
            <w:r>
              <w:rPr>
                <w:rFonts w:hint="eastAsia" w:ascii="Arial Narrow" w:hAnsi="Arial Narrow" w:eastAsia="仿宋_GB2312"/>
                <w:szCs w:val="21"/>
                <w:highlight w:val="yellow"/>
              </w:rPr>
              <w:t>0</w:t>
            </w:r>
            <w:r>
              <w:rPr>
                <w:rFonts w:ascii="Arial Narrow" w:hAnsi="Arial Narrow" w:eastAsia="仿宋_GB2312"/>
                <w:szCs w:val="21"/>
                <w:highlight w:val="yellow"/>
              </w:rPr>
              <w:t>-10</w:t>
            </w:r>
          </w:p>
        </w:tc>
        <w:tc>
          <w:tcPr>
            <w:tcW w:w="2128" w:type="dxa"/>
            <w:vAlign w:val="center"/>
          </w:tcPr>
          <w:p w14:paraId="77846E31">
            <w:pPr>
              <w:jc w:val="right"/>
              <w:rPr>
                <w:rFonts w:ascii="Arial Narrow" w:hAnsi="Arial Narrow" w:eastAsia="仿宋_GB2312"/>
                <w:szCs w:val="21"/>
                <w:highlight w:val="yellow"/>
              </w:rPr>
            </w:pPr>
            <w:r>
              <w:rPr>
                <w:rFonts w:hint="eastAsia" w:ascii="Arial Narrow" w:hAnsi="Arial Narrow" w:eastAsia="仿宋_GB2312"/>
                <w:szCs w:val="21"/>
                <w:highlight w:val="yellow"/>
              </w:rPr>
              <w:t>1</w:t>
            </w:r>
            <w:r>
              <w:rPr>
                <w:rFonts w:ascii="Arial Narrow" w:hAnsi="Arial Narrow" w:eastAsia="仿宋_GB2312"/>
                <w:szCs w:val="21"/>
                <w:highlight w:val="yellow"/>
              </w:rPr>
              <w:t>8.00-33.33</w:t>
            </w:r>
          </w:p>
        </w:tc>
      </w:tr>
      <w:tr w14:paraId="41F1A3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98" w:type="dxa"/>
            <w:vAlign w:val="center"/>
          </w:tcPr>
          <w:p w14:paraId="2163659C">
            <w:pPr>
              <w:adjustRightInd w:val="0"/>
              <w:snapToGrid w:val="0"/>
              <w:jc w:val="left"/>
              <w:rPr>
                <w:rFonts w:ascii="Arial Narrow" w:hAnsi="Arial Narrow" w:eastAsia="仿宋_GB2312"/>
                <w:szCs w:val="21"/>
                <w:highlight w:val="yellow"/>
              </w:rPr>
            </w:pPr>
            <w:r>
              <w:rPr>
                <w:rFonts w:hint="eastAsia" w:ascii="Arial Narrow" w:hAnsi="Arial Narrow" w:eastAsia="仿宋_GB2312"/>
                <w:szCs w:val="21"/>
                <w:highlight w:val="yellow"/>
              </w:rPr>
              <w:t>其他</w:t>
            </w:r>
          </w:p>
        </w:tc>
        <w:tc>
          <w:tcPr>
            <w:tcW w:w="2109" w:type="dxa"/>
            <w:vAlign w:val="center"/>
          </w:tcPr>
          <w:p w14:paraId="7D3DDC12">
            <w:pPr>
              <w:jc w:val="right"/>
              <w:rPr>
                <w:rFonts w:ascii="Arial Narrow" w:hAnsi="Arial Narrow" w:eastAsia="仿宋_GB2312"/>
                <w:szCs w:val="21"/>
                <w:highlight w:val="yellow"/>
              </w:rPr>
            </w:pPr>
            <w:r>
              <w:rPr>
                <w:rFonts w:hint="eastAsia" w:ascii="Arial Narrow" w:hAnsi="Arial Narrow" w:eastAsia="仿宋_GB2312"/>
                <w:szCs w:val="21"/>
                <w:highlight w:val="yellow"/>
              </w:rPr>
              <w:t>5</w:t>
            </w:r>
            <w:r>
              <w:rPr>
                <w:rFonts w:ascii="Arial Narrow" w:hAnsi="Arial Narrow" w:eastAsia="仿宋_GB2312"/>
                <w:szCs w:val="21"/>
                <w:highlight w:val="yellow"/>
              </w:rPr>
              <w:t>-10</w:t>
            </w:r>
          </w:p>
        </w:tc>
        <w:tc>
          <w:tcPr>
            <w:tcW w:w="2128" w:type="dxa"/>
            <w:vAlign w:val="center"/>
          </w:tcPr>
          <w:p w14:paraId="4930ACE7">
            <w:pPr>
              <w:jc w:val="right"/>
              <w:rPr>
                <w:rFonts w:ascii="Arial Narrow" w:hAnsi="Arial Narrow" w:eastAsia="仿宋_GB2312"/>
                <w:szCs w:val="21"/>
                <w:highlight w:val="yellow"/>
              </w:rPr>
            </w:pPr>
            <w:r>
              <w:rPr>
                <w:rFonts w:hint="eastAsia" w:ascii="Arial Narrow" w:hAnsi="Arial Narrow" w:eastAsia="仿宋_GB2312"/>
                <w:szCs w:val="21"/>
                <w:highlight w:val="yellow"/>
              </w:rPr>
              <w:t>0</w:t>
            </w:r>
          </w:p>
        </w:tc>
        <w:tc>
          <w:tcPr>
            <w:tcW w:w="2128" w:type="dxa"/>
            <w:vAlign w:val="center"/>
          </w:tcPr>
          <w:p w14:paraId="6B65F840">
            <w:pPr>
              <w:jc w:val="right"/>
              <w:rPr>
                <w:rFonts w:ascii="Arial Narrow" w:hAnsi="Arial Narrow" w:eastAsia="仿宋_GB2312"/>
                <w:szCs w:val="21"/>
                <w:highlight w:val="yellow"/>
              </w:rPr>
            </w:pPr>
            <w:r>
              <w:rPr>
                <w:rFonts w:hint="eastAsia" w:ascii="Arial Narrow" w:hAnsi="Arial Narrow" w:eastAsia="仿宋_GB2312"/>
                <w:szCs w:val="21"/>
                <w:highlight w:val="yellow"/>
              </w:rPr>
              <w:t>1</w:t>
            </w:r>
            <w:r>
              <w:rPr>
                <w:rFonts w:ascii="Arial Narrow" w:hAnsi="Arial Narrow" w:eastAsia="仿宋_GB2312"/>
                <w:szCs w:val="21"/>
                <w:highlight w:val="yellow"/>
              </w:rPr>
              <w:t>0.00-20.00</w:t>
            </w:r>
          </w:p>
        </w:tc>
      </w:tr>
    </w:tbl>
    <w:p w14:paraId="1732BA76">
      <w:pPr>
        <w:snapToGrid w:val="0"/>
        <w:spacing w:before="120" w:beforeLines="50" w:after="216" w:afterLines="90" w:line="340" w:lineRule="atLeast"/>
        <w:rPr>
          <w:rFonts w:ascii="Arial Narrow" w:hAnsi="Arial Narrow" w:eastAsia="仿宋_GB2312"/>
          <w:sz w:val="24"/>
        </w:rPr>
      </w:pPr>
      <w:r>
        <w:rPr>
          <w:rFonts w:ascii="Arial Narrow" w:hAnsi="Arial Narrow" w:eastAsia="仿宋_GB2312"/>
          <w:sz w:val="24"/>
        </w:rPr>
        <w:t>其中，已计提减值准备的固定资产，还应扣除已计提的固定资产减值准备累计金额计算确定折旧率。</w:t>
      </w:r>
    </w:p>
    <w:p w14:paraId="6A204E72">
      <w:pPr>
        <w:pStyle w:val="5"/>
      </w:pPr>
      <w:r>
        <w:t>固定资产的减值测试方法、减值准备计提方法见</w:t>
      </w:r>
      <w:r>
        <w:rPr>
          <w:color w:val="FF0000"/>
        </w:rPr>
        <w:t>附注</w:t>
      </w:r>
      <w:r>
        <w:rPr>
          <w:rFonts w:hint="eastAsia" w:cs="Arial"/>
          <w:snapToGrid w:val="0"/>
          <w:color w:val="FF0000"/>
        </w:rPr>
        <w:t>四、18</w:t>
      </w:r>
      <w:r>
        <w:t xml:space="preserve">。 </w:t>
      </w:r>
    </w:p>
    <w:p w14:paraId="746E56B5">
      <w:pPr>
        <w:pStyle w:val="5"/>
        <w:rPr>
          <w:spacing w:val="-2"/>
        </w:rPr>
      </w:pPr>
      <w:r>
        <w:rPr>
          <w:spacing w:val="-2"/>
        </w:rPr>
        <w:t>每年年度终了，本公司对固定资产的使用寿命、预计净残值和折旧方法进行复核。</w:t>
      </w:r>
    </w:p>
    <w:p w14:paraId="48016227">
      <w:pPr>
        <w:snapToGrid w:val="0"/>
        <w:spacing w:after="216" w:afterLines="90"/>
        <w:rPr>
          <w:rFonts w:ascii="Arial Narrow" w:hAnsi="Arial Narrow" w:eastAsia="仿宋_GB2312"/>
          <w:sz w:val="24"/>
        </w:rPr>
      </w:pPr>
      <w:r>
        <w:rPr>
          <w:rFonts w:ascii="Arial Narrow" w:hAnsi="Arial Narrow" w:eastAsia="仿宋_GB2312"/>
          <w:sz w:val="24"/>
        </w:rPr>
        <w:t>使用寿命预计数与原先估计数有差异的，调整固定资产使用寿命；预计净残值预计数与原先估计数有差异的，调整预计净残值。</w:t>
      </w:r>
    </w:p>
    <w:p w14:paraId="781F4A81">
      <w:pPr>
        <w:pStyle w:val="5"/>
      </w:pPr>
      <w:r>
        <w:t>大修理费用</w:t>
      </w:r>
    </w:p>
    <w:p w14:paraId="637A3CFC">
      <w:pPr>
        <w:snapToGrid w:val="0"/>
        <w:spacing w:after="216" w:afterLines="90"/>
        <w:rPr>
          <w:rFonts w:ascii="Arial Narrow" w:hAnsi="Arial Narrow" w:eastAsia="仿宋_GB2312" w:cs="宋体"/>
          <w:kern w:val="0"/>
          <w:sz w:val="24"/>
        </w:rPr>
      </w:pPr>
      <w:r>
        <w:rPr>
          <w:rFonts w:ascii="Arial Narrow" w:hAnsi="Arial Narrow" w:eastAsia="仿宋_GB2312" w:cs="宋体"/>
          <w:kern w:val="0"/>
          <w:sz w:val="24"/>
        </w:rPr>
        <w:t>本公司对</w:t>
      </w:r>
      <w:r>
        <w:rPr>
          <w:rFonts w:ascii="Arial Narrow" w:hAnsi="Arial Narrow" w:eastAsia="仿宋_GB2312"/>
          <w:sz w:val="24"/>
        </w:rPr>
        <w:t>固定资产</w:t>
      </w:r>
      <w:r>
        <w:rPr>
          <w:rFonts w:ascii="Arial Narrow" w:hAnsi="Arial Narrow" w:eastAsia="仿宋_GB2312" w:cs="宋体"/>
          <w:kern w:val="0"/>
          <w:sz w:val="24"/>
        </w:rPr>
        <w:t>进行定期检查发生的大修理费用，有确凿证据表明符合固定资产确认条件的部分，计入固定资产成本，不符合固定资产确认条件的计入当期损益。固定资产在定期大修理间隔期间，照提折旧。</w:t>
      </w:r>
    </w:p>
    <w:p w14:paraId="1DE0C354">
      <w:pPr>
        <w:pStyle w:val="4"/>
        <w:spacing w:before="120" w:after="216"/>
      </w:pPr>
      <w:r>
        <w:t>在建工程</w:t>
      </w:r>
    </w:p>
    <w:p w14:paraId="181E3123">
      <w:pPr>
        <w:snapToGrid w:val="0"/>
        <w:spacing w:after="216" w:afterLines="90"/>
        <w:jc w:val="left"/>
        <w:rPr>
          <w:rFonts w:ascii="Arial Narrow" w:hAnsi="Arial Narrow" w:eastAsia="仿宋_GB2312"/>
          <w:sz w:val="24"/>
        </w:rPr>
      </w:pPr>
      <w:r>
        <w:rPr>
          <w:rFonts w:ascii="Arial Narrow" w:hAnsi="Arial Narrow" w:eastAsia="仿宋_GB2312"/>
          <w:sz w:val="24"/>
        </w:rPr>
        <w:t>本公司在建工程成本按实际工程支出确定</w:t>
      </w:r>
      <w:r>
        <w:rPr>
          <w:rFonts w:ascii="Arial Narrow" w:hAnsi="Arial Narrow" w:eastAsia="仿宋_GB2312" w:cs="宋体"/>
          <w:sz w:val="24"/>
        </w:rPr>
        <w:t>，</w:t>
      </w:r>
      <w:r>
        <w:rPr>
          <w:rFonts w:ascii="Arial Narrow" w:hAnsi="Arial Narrow" w:eastAsia="仿宋_GB2312" w:cs="仿宋_GB2312"/>
          <w:sz w:val="24"/>
        </w:rPr>
        <w:t>包括在建期间发生的各项必要工程支出、工程达到预定可使用状态前的应予资本化的借款费用以及其他相关费用等。</w:t>
      </w:r>
    </w:p>
    <w:p w14:paraId="594FC017">
      <w:pPr>
        <w:snapToGrid w:val="0"/>
        <w:spacing w:after="216" w:afterLines="90"/>
        <w:jc w:val="left"/>
        <w:rPr>
          <w:rFonts w:ascii="Arial Narrow" w:hAnsi="Arial Narrow" w:eastAsia="仿宋_GB2312"/>
          <w:sz w:val="24"/>
        </w:rPr>
      </w:pPr>
      <w:r>
        <w:rPr>
          <w:rFonts w:ascii="Arial Narrow" w:hAnsi="Arial Narrow" w:eastAsia="仿宋_GB2312"/>
          <w:sz w:val="24"/>
        </w:rPr>
        <w:t>在建工程在达到预定可使用状态时转入固定资产。</w:t>
      </w:r>
    </w:p>
    <w:p w14:paraId="63890AEB">
      <w:pPr>
        <w:snapToGrid w:val="0"/>
        <w:spacing w:after="216" w:afterLines="90"/>
        <w:jc w:val="left"/>
        <w:rPr>
          <w:rFonts w:ascii="Arial Narrow" w:hAnsi="Arial Narrow" w:eastAsia="仿宋_GB2312"/>
          <w:sz w:val="24"/>
        </w:rPr>
      </w:pPr>
      <w:r>
        <w:rPr>
          <w:rFonts w:ascii="Arial Narrow" w:hAnsi="Arial Narrow" w:eastAsia="仿宋_GB2312"/>
          <w:sz w:val="24"/>
        </w:rPr>
        <w:t>在建工程计提资产减值方法见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四、18</w:t>
      </w:r>
      <w:r>
        <w:rPr>
          <w:rFonts w:ascii="Arial Narrow" w:hAnsi="Arial Narrow" w:eastAsia="仿宋_GB2312"/>
          <w:sz w:val="24"/>
        </w:rPr>
        <w:t>。</w:t>
      </w:r>
    </w:p>
    <w:p w14:paraId="1B74CE09">
      <w:pPr>
        <w:pStyle w:val="4"/>
        <w:spacing w:before="120" w:after="216"/>
      </w:pPr>
      <w:r>
        <w:t>借款费用</w:t>
      </w:r>
    </w:p>
    <w:p w14:paraId="06863522">
      <w:pPr>
        <w:pStyle w:val="5"/>
        <w:numPr>
          <w:ilvl w:val="3"/>
          <w:numId w:val="12"/>
        </w:numPr>
      </w:pPr>
      <w:r>
        <w:t>借款费用资本化的确认原则</w:t>
      </w:r>
    </w:p>
    <w:p w14:paraId="65B11451">
      <w:pPr>
        <w:keepNext/>
        <w:widowControl/>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借款费用，可直接归属于符合资本化条件的资产的购建或者生产的，予以资本化，计入相关资产成本；其他借款费用，在发生时根据其发生额确认为费用，计入当期损益。借款费用同时满足下列条件的，开始资本化：</w:t>
      </w:r>
    </w:p>
    <w:p w14:paraId="71337004">
      <w:pPr>
        <w:keepNext/>
        <w:widowControl/>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资产支出已经发生，资产支出包括为购建或者生产符合资本化条件的资产而以支付现金、转移非现金资产或者承担带息债务形式发生的支出；</w:t>
      </w:r>
      <w:r>
        <w:rPr>
          <w:rFonts w:hint="eastAsia" w:ascii="Arial Narrow" w:hAnsi="Arial Narrow" w:eastAsia="仿宋_GB2312"/>
          <w:sz w:val="24"/>
        </w:rPr>
        <w:t>②</w:t>
      </w:r>
      <w:r>
        <w:rPr>
          <w:rFonts w:ascii="Arial Narrow" w:hAnsi="Arial Narrow" w:eastAsia="仿宋_GB2312"/>
          <w:sz w:val="24"/>
        </w:rPr>
        <w:t>借款费用已经发生；</w:t>
      </w:r>
      <w:r>
        <w:rPr>
          <w:rFonts w:hint="eastAsia" w:ascii="Arial Narrow" w:hAnsi="Arial Narrow" w:eastAsia="仿宋_GB2312"/>
          <w:sz w:val="24"/>
        </w:rPr>
        <w:t>③</w:t>
      </w:r>
      <w:r>
        <w:rPr>
          <w:rFonts w:ascii="Arial Narrow" w:hAnsi="Arial Narrow" w:eastAsia="仿宋_GB2312"/>
          <w:sz w:val="24"/>
        </w:rPr>
        <w:t>为使资产达到预定可使用或者可销售状态所必要的购建或者生产活动已经开始。</w:t>
      </w:r>
    </w:p>
    <w:p w14:paraId="5D5D34AD">
      <w:pPr>
        <w:pStyle w:val="5"/>
      </w:pPr>
      <w:r>
        <w:t>借款费用资本化期间</w:t>
      </w:r>
    </w:p>
    <w:p w14:paraId="5BBAA7FD">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购建或者生产符合资本化条件的资产达到预定可使用或者可销售状态时，借款费用停止资本化。在符合资本化条件的资产达到预定可使用或者可销售状态之后所发生的借款费用，在发生时根据其发生额确认为费用，计入当期损益。</w:t>
      </w:r>
    </w:p>
    <w:p w14:paraId="22CB7844">
      <w:pPr>
        <w:snapToGrid w:val="0"/>
        <w:spacing w:after="216" w:afterLines="90" w:line="340" w:lineRule="atLeast"/>
        <w:rPr>
          <w:rFonts w:ascii="Arial Narrow" w:hAnsi="Arial Narrow" w:eastAsia="仿宋_GB2312"/>
          <w:iCs/>
          <w:sz w:val="24"/>
        </w:rPr>
      </w:pPr>
      <w:r>
        <w:rPr>
          <w:rFonts w:ascii="Arial Narrow" w:hAnsi="Arial Narrow" w:eastAsia="仿宋_GB2312"/>
          <w:iCs/>
          <w:sz w:val="24"/>
        </w:rPr>
        <w:t>符合资本化条件的资产在购建或者生产过程中发生非正常中断、且中断时间连续超过3个月的，暂停借款费用的资本化；正常中断期间的借款费用继续资本化。</w:t>
      </w:r>
    </w:p>
    <w:p w14:paraId="3F70550A">
      <w:pPr>
        <w:pStyle w:val="4"/>
        <w:spacing w:before="120" w:after="216"/>
      </w:pPr>
      <w:bookmarkStart w:id="6" w:name="_Ref78787147"/>
      <w:r>
        <w:t>使用权资产</w:t>
      </w:r>
      <w:bookmarkEnd w:id="6"/>
    </w:p>
    <w:p w14:paraId="537B30BB">
      <w:pPr>
        <w:pStyle w:val="5"/>
        <w:numPr>
          <w:ilvl w:val="3"/>
          <w:numId w:val="13"/>
        </w:numPr>
      </w:pPr>
      <w:r>
        <w:t>使用权资产确认条件</w:t>
      </w:r>
    </w:p>
    <w:p w14:paraId="38095671">
      <w:pPr>
        <w:pStyle w:val="11"/>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本公司使用权资产是指本公司作为承租人可在租赁期内使用租赁资产的权利。</w:t>
      </w:r>
    </w:p>
    <w:p w14:paraId="59460517">
      <w:pPr>
        <w:pStyle w:val="11"/>
        <w:adjustRightInd w:val="0"/>
        <w:snapToGrid w:val="0"/>
        <w:spacing w:before="120" w:beforeLines="50" w:beforeAutospacing="0" w:after="216" w:afterLines="90" w:afterAutospacing="0"/>
        <w:jc w:val="both"/>
        <w:rPr>
          <w:rFonts w:ascii="Arial Narrow" w:hAnsi="Arial Narrow" w:eastAsia="仿宋_GB2312"/>
          <w:kern w:val="2"/>
        </w:rPr>
      </w:pPr>
      <w:r>
        <w:rPr>
          <w:rFonts w:ascii="Arial Narrow" w:hAnsi="Arial Narrow" w:eastAsia="仿宋_GB2312"/>
          <w:kern w:val="2"/>
        </w:rPr>
        <w:t>在租赁期开始日，使用权资产按照成本进行初始计量。该成本包括：租赁负债的初始计量金额；在租赁期开始日或之前支付的租赁付款额，存在租赁激励的，扣除已享受的租赁激励相关金额；本公司作为承租人发生的初始直接费用；本公司作为承租人为拆卸及移除租赁资产、复原租赁资产所在场地或将租赁资产恢复至租赁条款约定状态预计将发生的成本。本公司作为承租人按照《企业会计准则第13号——或有事项》对拆除复原等成本进行确认和计量。后续就租赁负债的任何重新计量作出调整。</w:t>
      </w:r>
    </w:p>
    <w:p w14:paraId="6E3E2D9A">
      <w:pPr>
        <w:pStyle w:val="5"/>
      </w:pPr>
      <w:r>
        <w:t>使用权资产的折旧方法</w:t>
      </w:r>
    </w:p>
    <w:p w14:paraId="62685C83">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采用直线法计提折旧。本公司作为承租人能够合理确定租赁期届满时取得租赁资产所有权的，在租赁资产剩余使用寿命内计提折旧。无法合理确定租赁期届满时能够取得租赁资产所有权的，在租赁期与租赁资产剩余使用寿命两者孰短的期间内计提折旧。</w:t>
      </w:r>
    </w:p>
    <w:p w14:paraId="58B1F943">
      <w:pPr>
        <w:pStyle w:val="5"/>
      </w:pPr>
      <w:r>
        <w:t>使用权资产的减值测试方法、减值准备计提方法见</w:t>
      </w:r>
      <w:r>
        <w:rPr>
          <w:color w:val="FF0000"/>
        </w:rPr>
        <w:t>附注</w:t>
      </w:r>
      <w:r>
        <w:rPr>
          <w:rFonts w:hint="eastAsia" w:cs="Arial"/>
          <w:snapToGrid w:val="0"/>
          <w:color w:val="FF0000"/>
        </w:rPr>
        <w:t>四、18</w:t>
      </w:r>
      <w:r>
        <w:t>。</w:t>
      </w:r>
    </w:p>
    <w:p w14:paraId="3EB459DB">
      <w:pPr>
        <w:pStyle w:val="4"/>
        <w:spacing w:before="120" w:after="216"/>
      </w:pPr>
      <w:r>
        <w:t>无形资产</w:t>
      </w:r>
    </w:p>
    <w:p w14:paraId="07114103">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本公司无形资产包括</w:t>
      </w:r>
      <w:r>
        <w:rPr>
          <w:rFonts w:hint="eastAsia" w:ascii="Arial Narrow" w:hAnsi="Arial Narrow" w:eastAsia="仿宋_GB2312"/>
          <w:color w:val="FF0000"/>
          <w:sz w:val="24"/>
        </w:rPr>
        <w:t>【土地使用权、专利权】</w:t>
      </w:r>
      <w:r>
        <w:rPr>
          <w:rFonts w:ascii="Arial Narrow" w:hAnsi="Arial Narrow" w:eastAsia="仿宋_GB2312"/>
          <w:sz w:val="24"/>
        </w:rPr>
        <w:t>等。</w:t>
      </w:r>
    </w:p>
    <w:p w14:paraId="3BF7BB53">
      <w:pPr>
        <w:snapToGrid w:val="0"/>
        <w:spacing w:after="216" w:afterLines="90"/>
        <w:rPr>
          <w:rFonts w:ascii="Arial Narrow" w:hAnsi="Arial Narrow" w:eastAsia="仿宋_GB2312"/>
          <w:sz w:val="24"/>
        </w:rPr>
      </w:pPr>
      <w:r>
        <w:rPr>
          <w:rFonts w:ascii="Arial Narrow" w:hAnsi="Arial Narrow" w:eastAsia="仿宋_GB2312"/>
          <w:sz w:val="24"/>
        </w:rPr>
        <w:t>本公司无形资产按照成本进行初始计量，并于取得无形资产时分析判断其使用寿命。使用寿命为有限的，自无形资产可供使用时起，采用能反映与该资产有关的经济利益的预期实现方式的摊销方法，在预计使用年限内摊销；无法可靠确定预期实现方式的，采用直线法摊销；使用寿命不确定的无形资产，不作摊销。</w:t>
      </w:r>
    </w:p>
    <w:p w14:paraId="034C86A0">
      <w:pPr>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本公司于每年年度终了，对使用寿命有限的无形资产的使用寿命及摊销方法进行复核，与以前估计不同的，调整原先估计数，并按会计估计变更处理。</w:t>
      </w:r>
    </w:p>
    <w:p w14:paraId="29D55F46">
      <w:pPr>
        <w:snapToGrid w:val="0"/>
        <w:spacing w:after="216" w:afterLines="90"/>
        <w:rPr>
          <w:rFonts w:ascii="Arial Narrow" w:hAnsi="Arial Narrow" w:eastAsia="仿宋_GB2312"/>
          <w:sz w:val="24"/>
        </w:rPr>
      </w:pPr>
      <w:r>
        <w:rPr>
          <w:rFonts w:ascii="Arial Narrow" w:hAnsi="Arial Narrow" w:eastAsia="仿宋_GB2312"/>
          <w:sz w:val="24"/>
        </w:rPr>
        <w:t>资产负债表日，预计某项无形资产已经不能给企业带来未来经济利益的，将该项无形资产的账面价值全部转入当期损益。</w:t>
      </w:r>
    </w:p>
    <w:p w14:paraId="79B4CE48">
      <w:pPr>
        <w:snapToGrid w:val="0"/>
        <w:spacing w:after="216" w:afterLines="90"/>
        <w:rPr>
          <w:rFonts w:ascii="Arial Narrow" w:hAnsi="Arial Narrow" w:eastAsia="仿宋_GB2312"/>
          <w:sz w:val="24"/>
        </w:rPr>
      </w:pPr>
      <w:r>
        <w:rPr>
          <w:rFonts w:ascii="Arial Narrow" w:hAnsi="Arial Narrow" w:eastAsia="仿宋_GB2312"/>
          <w:sz w:val="24"/>
        </w:rPr>
        <w:t>无形资产计提资产减值方法见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四、18</w:t>
      </w:r>
      <w:r>
        <w:rPr>
          <w:rFonts w:ascii="Arial Narrow" w:hAnsi="Arial Narrow" w:eastAsia="仿宋_GB2312"/>
          <w:sz w:val="24"/>
        </w:rPr>
        <w:t>。</w:t>
      </w:r>
    </w:p>
    <w:p w14:paraId="33E427EB">
      <w:pPr>
        <w:pStyle w:val="4"/>
        <w:spacing w:before="120" w:after="216"/>
      </w:pPr>
      <w:r>
        <w:t>研究开发支出</w:t>
      </w:r>
    </w:p>
    <w:p w14:paraId="6230412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本公司将内部研究开发项目的支出，区分为研究阶段支出和开发阶段支出。</w:t>
      </w:r>
    </w:p>
    <w:p w14:paraId="703F7856">
      <w:pPr>
        <w:snapToGrid w:val="0"/>
        <w:spacing w:after="216" w:afterLines="90" w:line="340" w:lineRule="atLeast"/>
        <w:rPr>
          <w:rFonts w:ascii="Arial Narrow" w:hAnsi="Arial Narrow" w:eastAsia="仿宋_GB2312"/>
          <w:sz w:val="24"/>
        </w:rPr>
      </w:pPr>
      <w:r>
        <w:rPr>
          <w:rFonts w:ascii="Arial Narrow" w:hAnsi="Arial Narrow" w:eastAsia="仿宋_GB2312"/>
          <w:sz w:val="24"/>
        </w:rPr>
        <w:t>研究阶段的支出，于发生时计入当期损益。</w:t>
      </w:r>
    </w:p>
    <w:p w14:paraId="4DF863EB">
      <w:pPr>
        <w:snapToGrid w:val="0"/>
        <w:spacing w:after="216" w:afterLines="90" w:line="340" w:lineRule="atLeast"/>
        <w:rPr>
          <w:rFonts w:ascii="Arial Narrow" w:hAnsi="Arial Narrow" w:eastAsia="仿宋_GB2312"/>
          <w:sz w:val="24"/>
        </w:rPr>
      </w:pPr>
      <w:r>
        <w:rPr>
          <w:rFonts w:ascii="Arial Narrow" w:hAnsi="Arial Narrow" w:eastAsia="仿宋_GB2312"/>
          <w:sz w:val="24"/>
        </w:rPr>
        <w:t>开发阶段的支出，同时满足下列条件的，才能予以资本化，即：完成该无形资产以使其能够使用或出售在技术上具有可行性；具有完成该无形资产并使用或出售的意图；无形资产产生经济利益的方式，包括能够证明运用该无形资产生产的产品存在市场或无形资产自身存在市场，无形资产将在内部使用的，能够证明其有用性；有足够的技术、财务资源和其他资源支持，以完成该无形资产的开发，并有能力使用或出售该无形资产；归属于该无形资产开发阶段的支出能够可靠地计量。不满足上述条件的开发支出计入当期损益。</w:t>
      </w:r>
    </w:p>
    <w:p w14:paraId="4D1DFEC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本公司相应项目在满足上述条件，通过技术可行性及经济可行性研究，形成项目立项后，进入开发阶段。</w:t>
      </w:r>
    </w:p>
    <w:p w14:paraId="12C3A196">
      <w:pPr>
        <w:snapToGrid w:val="0"/>
        <w:spacing w:after="216" w:afterLines="90" w:line="340" w:lineRule="atLeast"/>
        <w:rPr>
          <w:rFonts w:ascii="Arial Narrow" w:hAnsi="Arial Narrow" w:eastAsia="仿宋_GB2312"/>
          <w:sz w:val="24"/>
        </w:rPr>
      </w:pPr>
      <w:r>
        <w:rPr>
          <w:rFonts w:ascii="Arial Narrow" w:hAnsi="Arial Narrow" w:eastAsia="仿宋_GB2312"/>
          <w:sz w:val="24"/>
        </w:rPr>
        <w:t>已资本化的开发阶段的支出在资产负债表上列示为开发支出，自该项目达到预定用途之日转为无形资产。</w:t>
      </w:r>
    </w:p>
    <w:p w14:paraId="761ABF0C">
      <w:pPr>
        <w:pStyle w:val="4"/>
        <w:spacing w:before="120" w:after="216"/>
      </w:pPr>
      <w:r>
        <w:t>长期待摊费用</w:t>
      </w:r>
    </w:p>
    <w:p w14:paraId="19BCBC71">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本公司长期待摊费用包括：</w:t>
      </w:r>
      <w:r>
        <w:rPr>
          <w:rFonts w:hint="eastAsia" w:ascii="Arial Narrow" w:hAnsi="Arial Narrow" w:eastAsia="仿宋_GB2312"/>
          <w:color w:val="0000FF"/>
          <w:sz w:val="24"/>
        </w:rPr>
        <w:t>使用权资产</w:t>
      </w:r>
      <w:r>
        <w:rPr>
          <w:rFonts w:ascii="Arial Narrow" w:hAnsi="Arial Narrow" w:eastAsia="仿宋_GB2312"/>
          <w:color w:val="0000FF"/>
          <w:sz w:val="24"/>
        </w:rPr>
        <w:t>的改良支出……</w:t>
      </w:r>
    </w:p>
    <w:p w14:paraId="78960899">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本公司发生的长期待摊费用按实际成本计价，并按预计受益期限平均摊销，对不能使以后会计期间受益的长期待摊费用项目，在确定时将该项目的摊余价值全部计入当期损益。</w:t>
      </w:r>
    </w:p>
    <w:p w14:paraId="2ED4D5B6">
      <w:pPr>
        <w:pStyle w:val="4"/>
        <w:spacing w:before="120" w:after="216"/>
      </w:pPr>
      <w:bookmarkStart w:id="7" w:name="_Ref78786977"/>
      <w:r>
        <w:t>资产减值</w:t>
      </w:r>
      <w:bookmarkEnd w:id="7"/>
    </w:p>
    <w:p w14:paraId="361771F9">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本公司对</w:t>
      </w:r>
      <w:r>
        <w:rPr>
          <w:rFonts w:ascii="Arial Narrow" w:hAnsi="Arial Narrow" w:eastAsia="仿宋_GB2312"/>
          <w:color w:val="0000FF"/>
          <w:sz w:val="24"/>
        </w:rPr>
        <w:t>子公司、联营企业和合营企业的长期股权投资、采用成本模式进行后续计量的投资性房地产、固定资产、在建工程</w:t>
      </w:r>
      <w:r>
        <w:rPr>
          <w:rFonts w:hint="eastAsia" w:ascii="Arial Narrow" w:hAnsi="Arial Narrow" w:eastAsia="仿宋_GB2312"/>
          <w:color w:val="0000FF"/>
          <w:sz w:val="24"/>
        </w:rPr>
        <w:t>、</w:t>
      </w:r>
      <w:r>
        <w:rPr>
          <w:rFonts w:ascii="Arial Narrow" w:hAnsi="Arial Narrow" w:eastAsia="仿宋_GB2312"/>
          <w:color w:val="0000FF"/>
          <w:sz w:val="24"/>
        </w:rPr>
        <w:t>使用权资产、无形资产、商誉</w:t>
      </w:r>
      <w:r>
        <w:rPr>
          <w:rFonts w:ascii="Arial Narrow" w:hAnsi="Arial Narrow" w:eastAsia="仿宋_GB2312"/>
          <w:sz w:val="24"/>
        </w:rPr>
        <w:t>等（存货、按公允价值模式计量的投资性房地产、递延所得税资产、金融资产除外）的资产减值，按以下方法确定：</w:t>
      </w:r>
    </w:p>
    <w:p w14:paraId="3C7C228B">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本公司于资产负债表日判断资产是否存在可能发生减值的迹象，存在减值迹象的，本公司将估计其可收回金额，进行减值测试。对因企业合并所形成的商誉、使用寿命不确定的无形资产和尚未达到</w:t>
      </w:r>
      <w:r>
        <w:rPr>
          <w:rFonts w:hint="eastAsia" w:ascii="Arial Narrow" w:hAnsi="Arial Narrow" w:eastAsia="仿宋_GB2312"/>
          <w:sz w:val="24"/>
        </w:rPr>
        <w:t>预定用途</w:t>
      </w:r>
      <w:r>
        <w:rPr>
          <w:rFonts w:ascii="Arial Narrow" w:hAnsi="Arial Narrow" w:eastAsia="仿宋_GB2312"/>
          <w:sz w:val="24"/>
        </w:rPr>
        <w:t>的无形资产无论是否存在减值迹象，每年都进行减值测试。</w:t>
      </w:r>
    </w:p>
    <w:p w14:paraId="0145F41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可收回金额根据资产的公允价值减去处置费用后的净额与资产预计未来现金流量的现值两者之间较高者确定。本公司以单项资产为基础估计其可收回金额；难以对单项资产的可收回金额进行估计的，以该资产所属的资产组为基础确定资产组的可收回金额。资产组的认定，以资产组产生的主要现金流入是否独立于其他资产或者资产组的现金流入为依据。</w:t>
      </w:r>
    </w:p>
    <w:p w14:paraId="73B27FD4">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当资产或资产组的可收回金额低于其账面价值时，本公司将其账面价值减记至可收回金额，减记的金额计入当期损益，同时计提相应的资产减值准备。</w:t>
      </w:r>
    </w:p>
    <w:p w14:paraId="21DEE7EC">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就商誉的减值测试而言，对于因企业合并形成的商誉的账面价值，自购买日起按照合理的方法分摊至相关的资产组；难以分摊至相关的资产组的，将其分摊至相关的资产组组合。相关的资产组或资产组组合，是能够从企业合并的协同效应中受益的资产组或者资产组组合，且不大于本公司确定的报告分部。</w:t>
      </w:r>
    </w:p>
    <w:p w14:paraId="7F740A25">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减值测试时，如与商誉相关的资产组或者资产组组合存在减值迹象的，首先对不包含商誉的资产组或者资产组组合进行减值测试，计算可收回金额，确认相应的减值损失。然后对包含商誉的资产组或者资产组组合进行减值测试，比较其账面价值与可收回金额，如可收回金额低于账面价值的，确认商誉的减值损失。</w:t>
      </w:r>
    </w:p>
    <w:p w14:paraId="21B61D3D">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资产减值损失一经确认，在以后会计期间不再转回。</w:t>
      </w:r>
    </w:p>
    <w:p w14:paraId="628C60EF">
      <w:pPr>
        <w:pStyle w:val="4"/>
        <w:spacing w:before="120" w:after="216"/>
      </w:pPr>
      <w:r>
        <w:t>职工薪酬</w:t>
      </w:r>
    </w:p>
    <w:p w14:paraId="5B1B6B6A">
      <w:pPr>
        <w:pStyle w:val="5"/>
        <w:numPr>
          <w:ilvl w:val="3"/>
          <w:numId w:val="14"/>
        </w:numPr>
      </w:pPr>
      <w:r>
        <w:t>职工薪酬的范围</w:t>
      </w:r>
    </w:p>
    <w:p w14:paraId="45F4B79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职工薪酬，是指企业为获得职工提供的服务或解除劳动关系而给予的各种形式的报酬或补偿。职工薪酬包括短期薪酬、离职后福利、辞退福利和其他长期职工福利。企业提供给职工配偶、子女、受赡养人、已故员工遗属及其他受益人等的福利，也属于职工薪酬。</w:t>
      </w:r>
    </w:p>
    <w:p w14:paraId="5834263F">
      <w:pPr>
        <w:pStyle w:val="5"/>
      </w:pPr>
      <w:r>
        <w:t>短期薪酬</w:t>
      </w:r>
    </w:p>
    <w:p w14:paraId="63AC2B8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在职工提供服务的会计期间，将实际发生的职工工资、奖金、按规定的基准和比例为职工缴纳的医疗保险费、工伤保险费和生育保险费等社会保险费和住房公积金，确认为负债，并计入当期损益或相关资产成本。</w:t>
      </w:r>
    </w:p>
    <w:p w14:paraId="5F0EE8C8">
      <w:pPr>
        <w:pStyle w:val="5"/>
      </w:pPr>
      <w:r>
        <w:t>离职后福利</w:t>
      </w:r>
    </w:p>
    <w:p w14:paraId="5A051B78">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离职后福利计划包括设定提存计划和设定受益计划。其中，设定提存计划，是指向独立的基金缴存固定费用后，企业不再承担进一步支付义务的离职后福利计划；设定受益计划，是指除设定提存计划以外的离职后福利计划。</w:t>
      </w:r>
    </w:p>
    <w:p w14:paraId="10FBAA21">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w:t>
      </w:r>
    </w:p>
    <w:p w14:paraId="21BA7E2B">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设定提存计划包括基本养老保险、失业保险以及</w:t>
      </w:r>
      <w:r>
        <w:rPr>
          <w:rFonts w:ascii="Arial Narrow" w:hAnsi="Arial Narrow" w:eastAsia="仿宋_GB2312"/>
          <w:color w:val="FF0000"/>
          <w:sz w:val="24"/>
        </w:rPr>
        <w:t>企业年金计划</w:t>
      </w:r>
      <w:r>
        <w:rPr>
          <w:rFonts w:ascii="Arial Narrow" w:hAnsi="Arial Narrow" w:eastAsia="仿宋_GB2312"/>
          <w:sz w:val="24"/>
        </w:rPr>
        <w:t>等。</w:t>
      </w:r>
    </w:p>
    <w:p w14:paraId="0A870AB8">
      <w:pPr>
        <w:adjustRightInd w:val="0"/>
        <w:snapToGrid w:val="0"/>
        <w:spacing w:after="216" w:afterLines="90"/>
        <w:ind w:left="-2" w:leftChars="-1"/>
        <w:rPr>
          <w:rFonts w:ascii="Arial Narrow" w:hAnsi="Arial Narrow" w:eastAsia="仿宋_GB2312"/>
          <w:color w:val="FF0000"/>
          <w:sz w:val="24"/>
        </w:rPr>
      </w:pPr>
      <w:r>
        <w:rPr>
          <w:rFonts w:ascii="Arial Narrow" w:hAnsi="Arial Narrow" w:eastAsia="仿宋_GB2312"/>
          <w:color w:val="FF0000"/>
          <w:sz w:val="24"/>
        </w:rPr>
        <w:t>（除了基本养老保险之外，本公司依据国家企业年金制度的相关政策建立企业年金计划（“年金计划”），员工可以自愿参加该年金计划。除此之外，本公司并无其他重大职工社会保障承诺。）</w:t>
      </w:r>
    </w:p>
    <w:p w14:paraId="79B2F92D">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在职工提供服务的会计期间，根据设定提存计划计算的应缴存金额确认为负债，并计入当期损益或相关资产成本。</w:t>
      </w:r>
    </w:p>
    <w:p w14:paraId="177BC8BD">
      <w:pPr>
        <w:pStyle w:val="5"/>
      </w:pPr>
      <w:r>
        <w:t>辞退福利</w:t>
      </w:r>
    </w:p>
    <w:p w14:paraId="02D0C8AA">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本公司向职工提供辞退福利的，在下列两者孰早日确认辞退福利产生的职工薪酬负债，并计入当期损益：本公司不能单方面撤回因解除劳动关系计划或裁减建议所提供的辞退福利时；本公司确认与涉及支付辞退福利的重组相关的成本或费用时。</w:t>
      </w:r>
    </w:p>
    <w:p w14:paraId="1EAED89C">
      <w:pPr>
        <w:adjustRightInd w:val="0"/>
        <w:snapToGrid w:val="0"/>
        <w:spacing w:after="216" w:afterLines="90"/>
        <w:ind w:left="-2" w:leftChars="-1"/>
        <w:rPr>
          <w:rFonts w:ascii="Arial Narrow" w:hAnsi="Arial Narrow" w:eastAsia="仿宋_GB2312"/>
          <w:sz w:val="24"/>
        </w:rPr>
      </w:pPr>
      <w:r>
        <w:rPr>
          <w:rFonts w:ascii="Arial Narrow" w:hAnsi="Arial Narrow" w:eastAsia="仿宋_GB2312"/>
          <w:sz w:val="24"/>
        </w:rPr>
        <w:t>实行职工内部退休计划的，在正式退休日之前的经济补偿，属于辞退福利，自职工停止提供服务日至正常退休日期间，拟支付的内退职工工资和缴纳的社会保险费等一次性计入当期损益。正式退休日期之后的经济补偿（如正常养老退休金），按照离职后福利处理。</w:t>
      </w:r>
    </w:p>
    <w:p w14:paraId="34B88AA7">
      <w:pPr>
        <w:pStyle w:val="5"/>
      </w:pPr>
      <w:r>
        <w:t>其他长期福利</w:t>
      </w:r>
    </w:p>
    <w:p w14:paraId="26ABF91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向职工提供的其他长期职工福利，符合设定提存计划条件的，按照上述关于设定提存计划的有关规定进行处理。符合设定受益计划的，按照上述关于设定受益计划的有关规定进行处理，但相关职工薪酬成本中“重新计量设定受益计划净负债或净资产所产生的变动”部分计入当期损益或相关资产成本。</w:t>
      </w:r>
    </w:p>
    <w:p w14:paraId="7DD9EE20">
      <w:pPr>
        <w:pStyle w:val="4"/>
        <w:spacing w:before="120" w:after="216"/>
      </w:pPr>
      <w:r>
        <w:t>应付债券</w:t>
      </w:r>
    </w:p>
    <w:p w14:paraId="59B169B1">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本公司对外发行的债券按照公允价值扣除交易成本后的金额进行初始计量，并在债券存续期间采用实际利率法按摊余成本进行后续计量。</w:t>
      </w:r>
    </w:p>
    <w:p w14:paraId="0630988D">
      <w:pPr>
        <w:snapToGrid w:val="0"/>
        <w:spacing w:after="216" w:afterLines="90" w:line="340" w:lineRule="atLeast"/>
        <w:rPr>
          <w:rFonts w:ascii="Arial Narrow" w:hAnsi="Arial Narrow" w:eastAsia="仿宋_GB2312"/>
          <w:sz w:val="24"/>
        </w:rPr>
      </w:pPr>
      <w:r>
        <w:rPr>
          <w:rFonts w:ascii="Arial Narrow" w:hAnsi="Arial Narrow" w:eastAsia="仿宋_GB2312"/>
          <w:sz w:val="24"/>
        </w:rPr>
        <w:t>利息费用除在符合借款费用资本化条件时予以资本化外，直接计入当期损益。</w:t>
      </w:r>
    </w:p>
    <w:p w14:paraId="11590642">
      <w:pPr>
        <w:pStyle w:val="4"/>
        <w:spacing w:before="120" w:after="216"/>
      </w:pPr>
      <w:r>
        <w:t>预计负债</w:t>
      </w:r>
    </w:p>
    <w:p w14:paraId="200519D2">
      <w:pPr>
        <w:snapToGrid w:val="0"/>
        <w:spacing w:after="216" w:afterLines="90" w:line="340" w:lineRule="atLeast"/>
        <w:rPr>
          <w:rFonts w:ascii="Arial Narrow" w:hAnsi="Arial Narrow" w:eastAsia="仿宋_GB2312"/>
          <w:sz w:val="24"/>
        </w:rPr>
      </w:pPr>
      <w:r>
        <w:rPr>
          <w:rFonts w:ascii="Arial Narrow" w:hAnsi="Arial Narrow" w:eastAsia="仿宋_GB2312"/>
          <w:sz w:val="24"/>
        </w:rPr>
        <w:t>如果与或有事项相关的义务同时符合以下条件，本公司将其确认为预计负债：</w:t>
      </w:r>
    </w:p>
    <w:p w14:paraId="146FB0D8">
      <w:pPr>
        <w:snapToGrid w:val="0"/>
        <w:spacing w:after="216" w:afterLines="90" w:line="340" w:lineRule="atLeast"/>
        <w:rPr>
          <w:rFonts w:ascii="Arial Narrow" w:hAnsi="Arial Narrow" w:eastAsia="仿宋_GB2312"/>
          <w:sz w:val="24"/>
        </w:rPr>
      </w:pPr>
      <w:r>
        <w:rPr>
          <w:rFonts w:ascii="Arial Narrow" w:hAnsi="Arial Narrow" w:eastAsia="仿宋_GB2312"/>
          <w:sz w:val="24"/>
        </w:rPr>
        <w:t>（1）该义务是本公司承担的现时义务；（2）该义务的履行很可能导致经济利益流出本公司；（3）该义务的金额能够可靠地计量。</w:t>
      </w:r>
    </w:p>
    <w:p w14:paraId="1BE00851">
      <w:pPr>
        <w:snapToGrid w:val="0"/>
        <w:spacing w:after="216" w:afterLines="90" w:line="340" w:lineRule="atLeast"/>
        <w:rPr>
          <w:rFonts w:ascii="Arial Narrow" w:hAnsi="Arial Narrow" w:eastAsia="仿宋_GB2312"/>
          <w:sz w:val="24"/>
        </w:rPr>
      </w:pPr>
      <w:r>
        <w:rPr>
          <w:rFonts w:ascii="Arial Narrow" w:hAnsi="Arial Narrow" w:eastAsia="仿宋_GB2312"/>
          <w:sz w:val="24"/>
        </w:rPr>
        <w:t>预计负债按照履行相关现时义务所需支出的最佳估计数进行初始计量，并综合考虑与或有事项有关的风险、不确定性和货币时间价值等因素。货币时间价值影响重大的，通过对相关未来现金流出进行折现后确定最佳估计数。本公司于资产负债表日对预计负债的账面价值进行复核，并对账面价值进行调整以反映当前最佳估计数。</w:t>
      </w:r>
    </w:p>
    <w:p w14:paraId="7CABC797">
      <w:pPr>
        <w:snapToGrid w:val="0"/>
        <w:spacing w:after="216" w:afterLines="90" w:line="340" w:lineRule="atLeast"/>
        <w:rPr>
          <w:rFonts w:ascii="Arial Narrow" w:hAnsi="Arial Narrow" w:eastAsia="仿宋_GB2312"/>
          <w:sz w:val="24"/>
        </w:rPr>
      </w:pPr>
      <w:r>
        <w:rPr>
          <w:rFonts w:ascii="Arial Narrow" w:hAnsi="Arial Narrow" w:eastAsia="仿宋_GB2312"/>
          <w:sz w:val="24"/>
        </w:rPr>
        <w:t>如果清偿已确认预计负债所需支出全部或部分预期由第三方或其他方补偿，则补偿金额只能在基本确定能收到时，作为资产单独确认。确认的补偿金额不超过所确认负债的账面价值。</w:t>
      </w:r>
    </w:p>
    <w:p w14:paraId="6514E696">
      <w:pPr>
        <w:pStyle w:val="4"/>
        <w:spacing w:before="120" w:after="216"/>
        <w:rPr>
          <w:color w:val="FF0000"/>
        </w:rPr>
      </w:pPr>
      <w:r>
        <w:t>优先股、永续债等其他金融工具</w:t>
      </w:r>
    </w:p>
    <w:p w14:paraId="6DDEF6B6">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本公司发行的金融工具按照金融工具准则进行初始确认和计量；其后，于每个资产负债表日计提利息或分派股利，按照相关具体企业会计准则进行处理。即以所发行金融工具的分类为基础，确定该工具利息支出或股利分配等的会计处理。对于归类为权益工具的金融工具，其利息支出或股利分配都作为本公司的利润分配，其回购、注销等作为权益的变动处理；对于归类为金融负债的金融工具，其利息支出或股利分配原则上按照借款费用进行处理，其回购或赎回产生的利得或损失等计入当期损益。 </w:t>
      </w:r>
    </w:p>
    <w:p w14:paraId="1DAB8560">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本公司发行金融工具，其发生的手续费、佣金等交易费用，如分类为债务工具且以摊余成本计量的，计入所发行工具的初始计量金额；如分类为权益工具的，从权益中扣除。</w:t>
      </w:r>
    </w:p>
    <w:p w14:paraId="58288505">
      <w:pPr>
        <w:pStyle w:val="4"/>
        <w:spacing w:before="120" w:after="216"/>
      </w:pPr>
      <w:bookmarkStart w:id="8" w:name="_Ref78788233"/>
      <w:r>
        <w:t>收入的确认原则</w:t>
      </w:r>
      <w:bookmarkEnd w:id="8"/>
    </w:p>
    <w:p w14:paraId="16833E17">
      <w:pPr>
        <w:pStyle w:val="5"/>
        <w:numPr>
          <w:ilvl w:val="0"/>
          <w:numId w:val="0"/>
        </w:numPr>
      </w:pPr>
      <w:r>
        <w:t>一般原则</w:t>
      </w:r>
    </w:p>
    <w:p w14:paraId="43F1AA1C">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本公司在履行了合同中的履约义务，即在客户取得相关商品或服务的控制权时确认收入。</w:t>
      </w:r>
    </w:p>
    <w:p w14:paraId="2917BF07">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合同中包含两项或多项履约义务的，本公司在合同开始日，按照各单项履约义务所承诺商品或服务的单独售价的相对比例，将交易价格分摊至各单项履约义务，按照分摊至各单项履约义务的交易价格计量收入。 </w:t>
      </w:r>
    </w:p>
    <w:p w14:paraId="0F0834A1">
      <w:pPr>
        <w:snapToGrid w:val="0"/>
        <w:spacing w:after="216" w:afterLines="90" w:line="340" w:lineRule="atLeast"/>
        <w:rPr>
          <w:rFonts w:ascii="Arial Narrow" w:hAnsi="Arial Narrow" w:eastAsia="仿宋_GB2312"/>
          <w:sz w:val="24"/>
        </w:rPr>
      </w:pPr>
      <w:r>
        <w:rPr>
          <w:rFonts w:ascii="Arial Narrow" w:hAnsi="Arial Narrow" w:eastAsia="仿宋_GB2312"/>
          <w:sz w:val="24"/>
        </w:rPr>
        <w:t>满足下列条件之一时，本公司属于在某一时段内履行履约义务；否则，属于在某一时点履行履约义务：</w:t>
      </w:r>
    </w:p>
    <w:p w14:paraId="1CDE725A">
      <w:pPr>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客户在本公司履约的同时即取得并消耗本公司履约所带来的经济利益</w:t>
      </w:r>
      <w:r>
        <w:rPr>
          <w:rFonts w:hint="eastAsia" w:ascii="Arial Narrow" w:hAnsi="Arial Narrow" w:eastAsia="仿宋_GB2312"/>
          <w:sz w:val="24"/>
        </w:rPr>
        <w:t>；②</w:t>
      </w:r>
      <w:r>
        <w:rPr>
          <w:rFonts w:ascii="Arial Narrow" w:hAnsi="Arial Narrow" w:eastAsia="仿宋_GB2312"/>
          <w:sz w:val="24"/>
        </w:rPr>
        <w:t>客户能够控制本公司履约过程中在建的商品</w:t>
      </w:r>
      <w:r>
        <w:rPr>
          <w:rFonts w:hint="eastAsia" w:ascii="Arial Narrow" w:hAnsi="Arial Narrow" w:eastAsia="仿宋_GB2312"/>
          <w:sz w:val="24"/>
        </w:rPr>
        <w:t>；③</w:t>
      </w:r>
      <w:r>
        <w:rPr>
          <w:rFonts w:ascii="Arial Narrow" w:hAnsi="Arial Narrow" w:eastAsia="仿宋_GB2312"/>
          <w:sz w:val="24"/>
        </w:rPr>
        <w:t>本公司履约过程中所产出的商品具有不可替代用途，且本公司在整个合同期间内有权就累计至今已完成的履约部分收取款项。</w:t>
      </w:r>
    </w:p>
    <w:p w14:paraId="1CD59C7F">
      <w:pPr>
        <w:snapToGrid w:val="0"/>
        <w:spacing w:after="216" w:afterLines="90" w:line="340" w:lineRule="atLeast"/>
        <w:rPr>
          <w:rFonts w:ascii="Arial Narrow" w:hAnsi="Arial Narrow" w:eastAsia="仿宋_GB2312"/>
          <w:sz w:val="24"/>
        </w:rPr>
      </w:pPr>
      <w:r>
        <w:rPr>
          <w:rFonts w:ascii="Arial Narrow" w:hAnsi="Arial Narrow" w:eastAsia="仿宋_GB2312"/>
          <w:sz w:val="24"/>
        </w:rPr>
        <w:t xml:space="preserve">对于在某一时段内履行的履约义务，本公司在该段时间内按照履约进度确认收入。履约进度不能合理确定时，本公司已经发生的成本预计能够得到补偿的，按照已经发生的成本金额确认收入，直到履约进度能够合理确定为止。 </w:t>
      </w:r>
    </w:p>
    <w:p w14:paraId="49E177A6">
      <w:pPr>
        <w:snapToGrid w:val="0"/>
        <w:spacing w:after="216" w:afterLines="90" w:line="340" w:lineRule="atLeast"/>
        <w:rPr>
          <w:rFonts w:ascii="Arial Narrow" w:hAnsi="Arial Narrow" w:eastAsia="仿宋_GB2312"/>
          <w:sz w:val="24"/>
        </w:rPr>
      </w:pPr>
      <w:r>
        <w:rPr>
          <w:rFonts w:ascii="Arial Narrow" w:hAnsi="Arial Narrow" w:eastAsia="仿宋_GB2312"/>
          <w:sz w:val="24"/>
        </w:rPr>
        <w:t>对于在某一时点履行的履约义务，本公司在客户取得相关商品或服务控制权时点确认收入。在判断客户是否已取得商品或服务控制权时，本公司会考虑下列迹象：</w:t>
      </w:r>
    </w:p>
    <w:p w14:paraId="5AEF57A1">
      <w:pPr>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本公司就该商品或服务享有现时收款权利，即客户就该商品负有现时付款义务</w:t>
      </w:r>
      <w:r>
        <w:rPr>
          <w:rFonts w:hint="eastAsia" w:ascii="Arial Narrow" w:hAnsi="Arial Narrow" w:eastAsia="仿宋_GB2312"/>
          <w:sz w:val="24"/>
        </w:rPr>
        <w:t>；②</w:t>
      </w:r>
      <w:r>
        <w:rPr>
          <w:rFonts w:ascii="Arial Narrow" w:hAnsi="Arial Narrow" w:eastAsia="仿宋_GB2312"/>
          <w:sz w:val="24"/>
        </w:rPr>
        <w:t>本公司已将该商品的法定所有权转移给客户，即客户已拥有该商品的法定所有权</w:t>
      </w:r>
      <w:r>
        <w:rPr>
          <w:rFonts w:hint="eastAsia" w:ascii="Arial Narrow" w:hAnsi="Arial Narrow" w:eastAsia="仿宋_GB2312"/>
          <w:sz w:val="24"/>
        </w:rPr>
        <w:t>；③</w:t>
      </w:r>
      <w:r>
        <w:rPr>
          <w:rFonts w:ascii="Arial Narrow" w:hAnsi="Arial Narrow" w:eastAsia="仿宋_GB2312"/>
          <w:sz w:val="24"/>
        </w:rPr>
        <w:t>本公司已将该商品的实物转移给客户，即客户已实物占有该商品</w:t>
      </w:r>
      <w:r>
        <w:rPr>
          <w:rFonts w:hint="eastAsia" w:ascii="Arial Narrow" w:hAnsi="Arial Narrow" w:eastAsia="仿宋_GB2312"/>
          <w:sz w:val="24"/>
        </w:rPr>
        <w:t>；④</w:t>
      </w:r>
      <w:r>
        <w:rPr>
          <w:rFonts w:ascii="Arial Narrow" w:hAnsi="Arial Narrow" w:eastAsia="仿宋_GB2312"/>
          <w:sz w:val="24"/>
        </w:rPr>
        <w:t>本公司已将该商品所有权上的主要风险和报酬转移给客户，即客户已取得该商品所有权上的主要风险和报酬</w:t>
      </w:r>
      <w:r>
        <w:rPr>
          <w:rFonts w:hint="eastAsia" w:ascii="Arial Narrow" w:hAnsi="Arial Narrow" w:eastAsia="仿宋_GB2312"/>
          <w:sz w:val="24"/>
        </w:rPr>
        <w:t>；⑤</w:t>
      </w:r>
      <w:r>
        <w:rPr>
          <w:rFonts w:ascii="Arial Narrow" w:hAnsi="Arial Narrow" w:eastAsia="仿宋_GB2312"/>
          <w:sz w:val="24"/>
        </w:rPr>
        <w:t>客户已接受该商品或服务</w:t>
      </w:r>
      <w:r>
        <w:rPr>
          <w:rFonts w:hint="eastAsia" w:ascii="Arial Narrow" w:hAnsi="Arial Narrow" w:eastAsia="仿宋_GB2312"/>
          <w:sz w:val="24"/>
        </w:rPr>
        <w:t>；⑥</w:t>
      </w:r>
      <w:r>
        <w:rPr>
          <w:rFonts w:ascii="Arial Narrow" w:hAnsi="Arial Narrow" w:eastAsia="仿宋_GB2312"/>
          <w:sz w:val="24"/>
        </w:rPr>
        <w:t>其他表明客户已取得商品控制权的迹象。</w:t>
      </w:r>
    </w:p>
    <w:p w14:paraId="2B01ADD5">
      <w:pPr>
        <w:snapToGrid w:val="0"/>
        <w:spacing w:after="216" w:afterLines="90" w:line="340" w:lineRule="atLeast"/>
        <w:rPr>
          <w:rFonts w:ascii="Arial Narrow" w:hAnsi="Arial Narrow" w:eastAsia="仿宋_GB2312"/>
          <w:sz w:val="24"/>
        </w:rPr>
      </w:pPr>
      <w:r>
        <w:rPr>
          <w:rFonts w:ascii="Arial Narrow" w:hAnsi="Arial Narrow" w:eastAsia="仿宋_GB2312"/>
          <w:sz w:val="24"/>
        </w:rPr>
        <w:t>本公司已向客户转让商品或服务而有权收取对价的权利（且该权利取决于时间流逝之外的其他因素）作为合同资产，合同资产以预期信用损失为基础计提减值（参见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四、7、</w:t>
      </w:r>
      <w:r>
        <w:rPr>
          <w:rFonts w:hint="eastAsia" w:ascii="Arial Narrow" w:hAnsi="Arial Narrow" w:eastAsia="仿宋_GB2312"/>
          <w:color w:val="FF0000"/>
          <w:sz w:val="24"/>
        </w:rPr>
        <w:t>（</w:t>
      </w:r>
      <w:r>
        <w:rPr>
          <w:rFonts w:ascii="Arial Narrow" w:hAnsi="Arial Narrow" w:eastAsia="仿宋_GB2312"/>
          <w:color w:val="FF0000"/>
          <w:sz w:val="24"/>
        </w:rPr>
        <w:t>5</w:t>
      </w:r>
      <w:r>
        <w:rPr>
          <w:rFonts w:hint="eastAsia" w:ascii="Arial Narrow" w:hAnsi="Arial Narrow" w:eastAsia="仿宋_GB2312"/>
          <w:color w:val="FF0000"/>
          <w:sz w:val="24"/>
        </w:rPr>
        <w:t>）</w:t>
      </w:r>
      <w:r>
        <w:rPr>
          <w:rFonts w:ascii="Arial Narrow" w:hAnsi="Arial Narrow" w:eastAsia="仿宋_GB2312"/>
          <w:sz w:val="24"/>
        </w:rPr>
        <w:t>）。本公司拥有的、无条件（仅取决于时间流逝）向客户收取对价的权利作为应收款项列示。本公司已收或应收客户对价而应向客户转让商品或服务的义务作为合同负债。</w:t>
      </w:r>
    </w:p>
    <w:p w14:paraId="7A767EE5">
      <w:pPr>
        <w:snapToGrid w:val="0"/>
        <w:spacing w:after="216" w:afterLines="90" w:line="340" w:lineRule="atLeast"/>
        <w:rPr>
          <w:rFonts w:ascii="Arial Narrow" w:hAnsi="Arial Narrow" w:eastAsia="仿宋_GB2312"/>
          <w:sz w:val="24"/>
        </w:rPr>
      </w:pPr>
      <w:r>
        <w:rPr>
          <w:rFonts w:ascii="Arial Narrow" w:hAnsi="Arial Narrow" w:eastAsia="仿宋_GB2312"/>
          <w:sz w:val="24"/>
        </w:rPr>
        <w:t>同一合同下的合同资产和合同负债以净额列示，净额为借方余额的，根据其流动性在“合同资产”或“其他非流动资产”项目中列示；净额为贷方余额的，根据其流动性在“合同负债”或“其他非流动负债”项目中列示。</w:t>
      </w:r>
    </w:p>
    <w:p w14:paraId="26E2033D">
      <w:pPr>
        <w:pStyle w:val="4"/>
        <w:spacing w:before="120" w:after="216"/>
      </w:pPr>
      <w:r>
        <w:t>合同成本</w:t>
      </w:r>
    </w:p>
    <w:p w14:paraId="5616166C">
      <w:pPr>
        <w:snapToGrid w:val="0"/>
        <w:spacing w:after="216" w:afterLines="90"/>
        <w:rPr>
          <w:rFonts w:ascii="Arial Narrow" w:hAnsi="Arial Narrow" w:eastAsia="仿宋_GB2312"/>
          <w:sz w:val="24"/>
        </w:rPr>
      </w:pPr>
      <w:r>
        <w:rPr>
          <w:rFonts w:ascii="Arial Narrow" w:hAnsi="Arial Narrow" w:eastAsia="仿宋_GB2312"/>
          <w:sz w:val="24"/>
        </w:rPr>
        <w:t xml:space="preserve">合同成本包括为取得合同发生的增量成本及合同履约成本。 </w:t>
      </w:r>
    </w:p>
    <w:p w14:paraId="28670B0C">
      <w:pPr>
        <w:snapToGrid w:val="0"/>
        <w:spacing w:after="216" w:afterLines="90"/>
        <w:rPr>
          <w:rFonts w:ascii="Arial Narrow" w:hAnsi="Arial Narrow" w:eastAsia="仿宋_GB2312"/>
          <w:sz w:val="24"/>
        </w:rPr>
      </w:pPr>
      <w:r>
        <w:rPr>
          <w:rFonts w:ascii="Arial Narrow" w:hAnsi="Arial Narrow" w:eastAsia="仿宋_GB2312"/>
          <w:sz w:val="24"/>
        </w:rPr>
        <w:t xml:space="preserve">为取得合同发生的增量成本是指本公司不取得合同就不会发生的成本（如销售佣金等）。该成本预期能够收回的，本公司将其作为合同取得成本确认为一项资产。本公司为取得合同发生的、除预期能够收回的增量成本之外的其他支出于发生时计入当期损益。 </w:t>
      </w:r>
    </w:p>
    <w:p w14:paraId="141F8EB9">
      <w:pPr>
        <w:snapToGrid w:val="0"/>
        <w:spacing w:after="216" w:afterLines="90"/>
        <w:rPr>
          <w:rFonts w:ascii="Arial Narrow" w:hAnsi="Arial Narrow" w:eastAsia="仿宋_GB2312"/>
          <w:sz w:val="24"/>
        </w:rPr>
      </w:pPr>
      <w:r>
        <w:rPr>
          <w:rFonts w:ascii="Arial Narrow" w:hAnsi="Arial Narrow" w:eastAsia="仿宋_GB2312"/>
          <w:sz w:val="24"/>
        </w:rPr>
        <w:t xml:space="preserve">为履行合同发生的成本，不属于存货等其他企业会计准则规范范围且同时满足下列条件的，本公司将其作为合同履约成本确认为一项资产： </w:t>
      </w:r>
    </w:p>
    <w:p w14:paraId="237650C5">
      <w:pPr>
        <w:snapToGrid w:val="0"/>
        <w:spacing w:after="216" w:afterLines="90" w:line="340" w:lineRule="atLeast"/>
        <w:rPr>
          <w:rFonts w:ascii="Arial Narrow" w:hAnsi="Arial Narrow" w:eastAsia="仿宋_GB2312"/>
          <w:spacing w:val="-2"/>
          <w:sz w:val="24"/>
        </w:rPr>
      </w:pPr>
      <w:r>
        <w:rPr>
          <w:rFonts w:hint="eastAsia" w:ascii="Arial Narrow" w:hAnsi="Arial Narrow" w:eastAsia="仿宋_GB2312"/>
          <w:spacing w:val="-2"/>
          <w:sz w:val="24"/>
        </w:rPr>
        <w:t>①</w:t>
      </w:r>
      <w:r>
        <w:rPr>
          <w:rFonts w:ascii="Arial Narrow" w:hAnsi="Arial Narrow" w:eastAsia="仿宋_GB2312"/>
          <w:spacing w:val="-2"/>
          <w:sz w:val="24"/>
        </w:rPr>
        <w:t>该成本与一份当前或预期取得的合同直接相关，包括直接人工、直接材料、制造费用 （或类似费用）、明确由客户承担的成本以及仅因该合同而发生的其他成本</w:t>
      </w:r>
      <w:r>
        <w:rPr>
          <w:rFonts w:hint="eastAsia" w:ascii="Arial Narrow" w:hAnsi="Arial Narrow" w:eastAsia="仿宋_GB2312"/>
          <w:spacing w:val="-2"/>
          <w:sz w:val="24"/>
        </w:rPr>
        <w:t>；②</w:t>
      </w:r>
      <w:r>
        <w:rPr>
          <w:rFonts w:ascii="Arial Narrow" w:hAnsi="Arial Narrow" w:eastAsia="仿宋_GB2312"/>
          <w:spacing w:val="-2"/>
          <w:sz w:val="24"/>
        </w:rPr>
        <w:t>该成本增加了本公司未来用于履行履约义务的资源</w:t>
      </w:r>
      <w:r>
        <w:rPr>
          <w:rFonts w:hint="eastAsia" w:ascii="Arial Narrow" w:hAnsi="Arial Narrow" w:eastAsia="仿宋_GB2312"/>
          <w:spacing w:val="-2"/>
          <w:sz w:val="24"/>
        </w:rPr>
        <w:t>；③</w:t>
      </w:r>
      <w:r>
        <w:rPr>
          <w:rFonts w:ascii="Arial Narrow" w:hAnsi="Arial Narrow" w:eastAsia="仿宋_GB2312"/>
          <w:spacing w:val="-2"/>
          <w:sz w:val="24"/>
        </w:rPr>
        <w:t xml:space="preserve">该成本预期能够收回。 </w:t>
      </w:r>
    </w:p>
    <w:p w14:paraId="0D054FA4">
      <w:pPr>
        <w:snapToGrid w:val="0"/>
        <w:spacing w:after="216" w:afterLines="90"/>
        <w:rPr>
          <w:rFonts w:ascii="Arial Narrow" w:hAnsi="Arial Narrow" w:eastAsia="仿宋_GB2312"/>
          <w:sz w:val="24"/>
        </w:rPr>
      </w:pPr>
      <w:r>
        <w:rPr>
          <w:rFonts w:ascii="Arial Narrow" w:hAnsi="Arial Narrow" w:eastAsia="仿宋_GB2312"/>
          <w:sz w:val="24"/>
        </w:rPr>
        <w:t>合同取得成本确认的资产和合同履约成本确认的资产（以下简称“与合同成本有关的资产”）采用与该资产相关的商品或服务收入确认相同的基础进行摊销，计入当期损益</w:t>
      </w:r>
      <w:r>
        <w:rPr>
          <w:rFonts w:hint="eastAsia" w:ascii="Arial Narrow" w:hAnsi="Arial Narrow" w:eastAsia="仿宋_GB2312"/>
          <w:sz w:val="24"/>
        </w:rPr>
        <w:t>。</w:t>
      </w:r>
      <w:r>
        <w:rPr>
          <w:rFonts w:ascii="Arial Narrow" w:hAnsi="Arial Narrow" w:eastAsia="仿宋_GB2312"/>
          <w:sz w:val="24"/>
        </w:rPr>
        <w:t>摊销期限不超过一年则在发生时计入当期损益。</w:t>
      </w:r>
    </w:p>
    <w:p w14:paraId="1FCCF14A">
      <w:pPr>
        <w:snapToGrid w:val="0"/>
        <w:spacing w:after="216" w:afterLines="90"/>
        <w:rPr>
          <w:rFonts w:ascii="Arial Narrow" w:hAnsi="Arial Narrow" w:eastAsia="仿宋_GB2312"/>
          <w:sz w:val="24"/>
        </w:rPr>
      </w:pPr>
      <w:r>
        <w:rPr>
          <w:rFonts w:ascii="Arial Narrow" w:hAnsi="Arial Narrow" w:eastAsia="仿宋_GB2312"/>
          <w:sz w:val="24"/>
        </w:rPr>
        <w:t xml:space="preserve">当与合同成本有关的资产的账面价值高于下列两项的差额时，本公司对超出部分计提减值准备，并确认为资产减值损失： </w:t>
      </w:r>
    </w:p>
    <w:p w14:paraId="12A4D2A9">
      <w:pPr>
        <w:snapToGrid w:val="0"/>
        <w:spacing w:after="216" w:afterLines="90" w:line="340" w:lineRule="atLeast"/>
        <w:rPr>
          <w:rFonts w:ascii="Arial Narrow" w:hAnsi="Arial Narrow" w:eastAsia="仿宋_GB2312"/>
          <w:sz w:val="24"/>
        </w:rPr>
      </w:pPr>
      <w:r>
        <w:rPr>
          <w:rFonts w:hint="eastAsia" w:ascii="Arial Narrow" w:hAnsi="Arial Narrow" w:eastAsia="仿宋_GB2312"/>
          <w:sz w:val="24"/>
        </w:rPr>
        <w:t>①</w:t>
      </w:r>
      <w:r>
        <w:rPr>
          <w:rFonts w:ascii="Arial Narrow" w:hAnsi="Arial Narrow" w:eastAsia="仿宋_GB2312"/>
          <w:sz w:val="24"/>
        </w:rPr>
        <w:t>本公司因转让与该资产相关的商品或服务预期能够取得的剩余对价</w:t>
      </w:r>
      <w:r>
        <w:rPr>
          <w:rFonts w:hint="eastAsia" w:ascii="Arial Narrow" w:hAnsi="Arial Narrow" w:eastAsia="仿宋_GB2312"/>
          <w:sz w:val="24"/>
        </w:rPr>
        <w:t>；②</w:t>
      </w:r>
      <w:r>
        <w:rPr>
          <w:rFonts w:ascii="Arial Narrow" w:hAnsi="Arial Narrow" w:eastAsia="仿宋_GB2312"/>
          <w:sz w:val="24"/>
        </w:rPr>
        <w:t>为转让该相关商品或服务估计将要发生的成本。</w:t>
      </w:r>
    </w:p>
    <w:p w14:paraId="58326626">
      <w:pPr>
        <w:snapToGrid w:val="0"/>
        <w:spacing w:after="216" w:afterLines="90"/>
        <w:rPr>
          <w:rFonts w:ascii="Arial Narrow" w:hAnsi="Arial Narrow" w:eastAsia="仿宋_GB2312"/>
          <w:sz w:val="24"/>
        </w:rPr>
      </w:pPr>
      <w:r>
        <w:rPr>
          <w:rFonts w:ascii="Arial Narrow" w:hAnsi="Arial Narrow" w:eastAsia="仿宋_GB2312"/>
          <w:sz w:val="24"/>
        </w:rPr>
        <w:t>确认为资产的合同履约成本，初始确认时摊销期限不超过一年或一个正常营业周期，在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存货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2085A7F5">
      <w:pPr>
        <w:snapToGrid w:val="0"/>
        <w:spacing w:after="216" w:afterLines="90"/>
        <w:rPr>
          <w:rFonts w:ascii="Arial Narrow" w:hAnsi="Arial Narrow" w:eastAsia="仿宋_GB2312"/>
          <w:sz w:val="24"/>
        </w:rPr>
      </w:pPr>
      <w:r>
        <w:rPr>
          <w:rFonts w:ascii="Arial Narrow" w:hAnsi="Arial Narrow" w:eastAsia="仿宋_GB2312"/>
          <w:sz w:val="24"/>
        </w:rPr>
        <w:t>确认为资产的合同取得成本，初始确认时摊销期限不超过一年或一个正常营业周期，在</w:t>
      </w:r>
      <w:r>
        <w:rPr>
          <w:rFonts w:hint="eastAsia" w:ascii="Arial Narrow" w:hAnsi="Arial Narrow" w:eastAsia="仿宋_GB2312"/>
          <w:sz w:val="24"/>
        </w:rPr>
        <w:t>“</w:t>
      </w:r>
      <w:r>
        <w:rPr>
          <w:rFonts w:ascii="Arial Narrow" w:hAnsi="Arial Narrow" w:eastAsia="仿宋_GB2312"/>
          <w:sz w:val="24"/>
        </w:rPr>
        <w:t>其他流动资产</w:t>
      </w:r>
      <w:r>
        <w:rPr>
          <w:rFonts w:hint="eastAsia" w:ascii="Arial Narrow" w:hAnsi="Arial Narrow" w:eastAsia="仿宋_GB2312"/>
          <w:sz w:val="24"/>
        </w:rPr>
        <w:t>”</w:t>
      </w:r>
      <w:r>
        <w:rPr>
          <w:rFonts w:ascii="Arial Narrow" w:hAnsi="Arial Narrow" w:eastAsia="仿宋_GB2312"/>
          <w:sz w:val="24"/>
        </w:rPr>
        <w:t>项目中列示，初始确认时摊销期限超过一年或一个正常营业周期，在</w:t>
      </w:r>
      <w:r>
        <w:rPr>
          <w:rFonts w:hint="eastAsia" w:ascii="Arial Narrow" w:hAnsi="Arial Narrow" w:eastAsia="仿宋_GB2312"/>
          <w:sz w:val="24"/>
        </w:rPr>
        <w:t>“</w:t>
      </w:r>
      <w:r>
        <w:rPr>
          <w:rFonts w:ascii="Arial Narrow" w:hAnsi="Arial Narrow" w:eastAsia="仿宋_GB2312"/>
          <w:sz w:val="24"/>
        </w:rPr>
        <w:t>其他非流动资产</w:t>
      </w:r>
      <w:r>
        <w:rPr>
          <w:rFonts w:hint="eastAsia" w:ascii="Arial Narrow" w:hAnsi="Arial Narrow" w:eastAsia="仿宋_GB2312"/>
          <w:sz w:val="24"/>
        </w:rPr>
        <w:t>”</w:t>
      </w:r>
      <w:r>
        <w:rPr>
          <w:rFonts w:ascii="Arial Narrow" w:hAnsi="Arial Narrow" w:eastAsia="仿宋_GB2312"/>
          <w:sz w:val="24"/>
        </w:rPr>
        <w:t>项目中列示。</w:t>
      </w:r>
    </w:p>
    <w:p w14:paraId="428927EA">
      <w:pPr>
        <w:pStyle w:val="4"/>
        <w:spacing w:before="120" w:after="216"/>
      </w:pPr>
      <w:r>
        <w:t>政府补助</w:t>
      </w:r>
    </w:p>
    <w:p w14:paraId="2DC0FA8D">
      <w:pPr>
        <w:snapToGrid w:val="0"/>
        <w:spacing w:after="216" w:afterLines="90"/>
        <w:rPr>
          <w:rFonts w:ascii="Arial Narrow" w:hAnsi="Arial Narrow" w:eastAsia="仿宋_GB2312"/>
          <w:sz w:val="24"/>
        </w:rPr>
      </w:pPr>
      <w:r>
        <w:rPr>
          <w:rFonts w:ascii="Arial Narrow" w:hAnsi="Arial Narrow" w:eastAsia="仿宋_GB2312"/>
          <w:sz w:val="24"/>
        </w:rPr>
        <w:t>政府补助在满足政府补助所附条件并能够收到时确认。</w:t>
      </w:r>
    </w:p>
    <w:p w14:paraId="5F58D0E2">
      <w:pPr>
        <w:snapToGrid w:val="0"/>
        <w:spacing w:after="216" w:afterLines="90"/>
        <w:rPr>
          <w:rFonts w:ascii="Arial Narrow" w:hAnsi="Arial Narrow" w:eastAsia="仿宋_GB2312"/>
          <w:sz w:val="24"/>
        </w:rPr>
      </w:pPr>
      <w:r>
        <w:rPr>
          <w:rFonts w:ascii="Arial Narrow" w:hAnsi="Arial Narrow" w:eastAsia="仿宋_GB2312"/>
          <w:sz w:val="24"/>
        </w:rPr>
        <w:t>对于货币性资产的政府补助，按照收到或应收的金额计量。对于非货币性资产的政府补助，按照公允价值计量；公允价值不能够可靠取得的，按照名义金额1元计量。</w:t>
      </w:r>
    </w:p>
    <w:p w14:paraId="6D5249E3">
      <w:pPr>
        <w:snapToGrid w:val="0"/>
        <w:spacing w:after="216" w:afterLines="90"/>
        <w:rPr>
          <w:rFonts w:ascii="Arial Narrow" w:hAnsi="Arial Narrow" w:eastAsia="仿宋_GB2312"/>
          <w:sz w:val="24"/>
        </w:rPr>
      </w:pPr>
      <w:r>
        <w:rPr>
          <w:rFonts w:ascii="Arial Narrow" w:hAnsi="Arial Narrow" w:eastAsia="仿宋_GB2312"/>
          <w:sz w:val="24"/>
        </w:rPr>
        <w:t>与资产相关的政府补助，是指本公司取得的、用于购建或以其他方式形成长期资产的政府补助；除此之外，作为与收益相关的政府补助。</w:t>
      </w:r>
    </w:p>
    <w:p w14:paraId="08E976DD">
      <w:pPr>
        <w:snapToGrid w:val="0"/>
        <w:spacing w:after="216" w:afterLines="90"/>
        <w:rPr>
          <w:rFonts w:ascii="Arial Narrow" w:hAnsi="Arial Narrow" w:eastAsia="仿宋_GB2312"/>
          <w:sz w:val="24"/>
        </w:rPr>
      </w:pPr>
      <w:r>
        <w:rPr>
          <w:rFonts w:ascii="Arial Narrow" w:hAnsi="Arial Narrow" w:eastAsia="仿宋_GB2312"/>
          <w:sz w:val="24"/>
        </w:rPr>
        <w:t>对于政府文件未明确规定补助对象的，能够形成长期资产的，与资产价值相对应的政府补助部分作为与资产相关的政府补助，其余部分作为与收益相关的政府补助；难以区分的，将政府补助整体作为与收益相关的政府补助。</w:t>
      </w:r>
    </w:p>
    <w:p w14:paraId="7F81B740">
      <w:pPr>
        <w:snapToGrid w:val="0"/>
        <w:spacing w:after="216" w:afterLines="90"/>
        <w:rPr>
          <w:rFonts w:ascii="Arial Narrow" w:hAnsi="Arial Narrow" w:eastAsia="仿宋_GB2312"/>
          <w:sz w:val="24"/>
        </w:rPr>
      </w:pPr>
      <w:r>
        <w:rPr>
          <w:rFonts w:ascii="Arial Narrow" w:hAnsi="Arial Narrow" w:eastAsia="仿宋_GB2312"/>
          <w:sz w:val="24"/>
        </w:rPr>
        <w:t>与资产相关的政府补助，</w:t>
      </w:r>
      <w:r>
        <w:rPr>
          <w:rFonts w:ascii="Arial Narrow" w:hAnsi="Arial Narrow" w:eastAsia="仿宋_GB2312"/>
          <w:color w:val="FF0000"/>
          <w:sz w:val="24"/>
        </w:rPr>
        <w:t>冲减相关资产的账面价值，或者确认为递延收益在相关资产使用期限内按照合理、系统的方法分期计入损益</w:t>
      </w:r>
      <w:r>
        <w:rPr>
          <w:rFonts w:ascii="Arial Narrow" w:hAnsi="Arial Narrow" w:eastAsia="仿宋_GB2312"/>
          <w:sz w:val="24"/>
        </w:rPr>
        <w:t>。与收益相关的政府补助，用于补偿已发生的相关成本费用或损失的，</w:t>
      </w:r>
      <w:r>
        <w:rPr>
          <w:rFonts w:ascii="Arial Narrow" w:hAnsi="Arial Narrow" w:eastAsia="仿宋_GB2312"/>
          <w:color w:val="FF0000"/>
          <w:sz w:val="24"/>
        </w:rPr>
        <w:t>计入当期损益或冲减相关成本</w:t>
      </w:r>
      <w:r>
        <w:rPr>
          <w:rFonts w:ascii="Arial Narrow" w:hAnsi="Arial Narrow" w:eastAsia="仿宋_GB2312"/>
          <w:sz w:val="24"/>
        </w:rPr>
        <w:t>；用于补偿以后期间的相关成本费用或损失的，则计入递延收益，于相关成本费用或损失确认期间</w:t>
      </w:r>
      <w:r>
        <w:rPr>
          <w:rFonts w:ascii="Arial Narrow" w:hAnsi="Arial Narrow" w:eastAsia="仿宋_GB2312"/>
          <w:color w:val="FF0000"/>
          <w:sz w:val="24"/>
        </w:rPr>
        <w:t>计入当期损益或冲减相关成本</w:t>
      </w:r>
      <w:r>
        <w:rPr>
          <w:rFonts w:ascii="Arial Narrow" w:hAnsi="Arial Narrow" w:eastAsia="仿宋_GB2312"/>
          <w:sz w:val="24"/>
        </w:rPr>
        <w:t>。按照名义金额计量的政府补助，直接计入当期损益。本公司对相同或类似的政府补助业务，采用一致的方法处理。</w:t>
      </w:r>
    </w:p>
    <w:p w14:paraId="2E601095">
      <w:pPr>
        <w:snapToGrid w:val="0"/>
        <w:spacing w:after="216" w:afterLines="90"/>
        <w:rPr>
          <w:rFonts w:ascii="Arial Narrow" w:hAnsi="Arial Narrow" w:eastAsia="仿宋_GB2312"/>
          <w:sz w:val="24"/>
        </w:rPr>
      </w:pPr>
      <w:r>
        <w:rPr>
          <w:rFonts w:ascii="Arial Narrow" w:hAnsi="Arial Narrow" w:eastAsia="仿宋_GB2312"/>
          <w:sz w:val="24"/>
        </w:rPr>
        <w:t>与日常活动相关的政府补助，按照经济业务实质，计入</w:t>
      </w:r>
      <w:r>
        <w:rPr>
          <w:rFonts w:ascii="Arial Narrow" w:hAnsi="Arial Narrow" w:eastAsia="仿宋_GB2312"/>
          <w:color w:val="FF0000"/>
          <w:sz w:val="24"/>
        </w:rPr>
        <w:t>其他收益或冲减相关成本费用</w:t>
      </w:r>
      <w:r>
        <w:rPr>
          <w:rFonts w:ascii="Arial Narrow" w:hAnsi="Arial Narrow" w:eastAsia="仿宋_GB2312"/>
          <w:sz w:val="24"/>
        </w:rPr>
        <w:t>。与日常活动无关的政府补助，计入</w:t>
      </w:r>
      <w:r>
        <w:rPr>
          <w:rFonts w:ascii="Arial Narrow" w:hAnsi="Arial Narrow" w:eastAsia="仿宋_GB2312"/>
          <w:color w:val="FF0000"/>
          <w:sz w:val="24"/>
        </w:rPr>
        <w:t>营业外收支</w:t>
      </w:r>
      <w:r>
        <w:rPr>
          <w:rFonts w:ascii="Arial Narrow" w:hAnsi="Arial Narrow" w:eastAsia="仿宋_GB2312"/>
          <w:sz w:val="24"/>
        </w:rPr>
        <w:t>。</w:t>
      </w:r>
    </w:p>
    <w:p w14:paraId="3668E132">
      <w:pPr>
        <w:snapToGrid w:val="0"/>
        <w:spacing w:after="216" w:afterLines="90"/>
        <w:rPr>
          <w:rFonts w:ascii="Arial Narrow" w:hAnsi="Arial Narrow" w:eastAsia="仿宋_GB2312"/>
          <w:sz w:val="24"/>
        </w:rPr>
      </w:pPr>
      <w:r>
        <w:rPr>
          <w:rFonts w:ascii="Arial Narrow" w:hAnsi="Arial Narrow" w:eastAsia="仿宋_GB2312"/>
          <w:sz w:val="24"/>
        </w:rPr>
        <w:t>已确认的政府补助需要返还时，初始确认时冲减相关资产账面价值的，调整资产账面价值；存在相关递延收益余额的，冲减相关递延收益账面余额，超出部分计入当期损益；属于其他情况的，直接计入当期损益。</w:t>
      </w:r>
    </w:p>
    <w:p w14:paraId="2EBAB41E">
      <w:pPr>
        <w:pStyle w:val="4"/>
        <w:spacing w:before="120" w:after="216"/>
      </w:pPr>
      <w:r>
        <w:t>递延所得税资产及递延所得税负债</w:t>
      </w:r>
    </w:p>
    <w:p w14:paraId="568E7581">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所得税包括当期所得税和递延所得税。除由于企业合并产生的调整商誉，或与直接计入所有者权益的交易或者事项相关的递延所得税计入所有者权益外，均作为所得税费用计入当期损益。</w:t>
      </w:r>
    </w:p>
    <w:p w14:paraId="323EBAA5">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本公司根据资产、负债于资产负债表日的账面价值与计税基础之间的暂时性差异，采用资产负债表债务法确认递延所得税。</w:t>
      </w:r>
    </w:p>
    <w:p w14:paraId="2B8B0B2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各项应纳税暂时性差异均确认相关的递延所得税负债，除非该应纳税暂时性差异是在以下交易中产生的：</w:t>
      </w:r>
    </w:p>
    <w:p w14:paraId="1038C9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（1）商誉的初始确认，或者具有以下特征的交易中产生的资产或负债的初始确认：该交易不是企业合并，并且交易发生时既不影响会计利润也不影响应纳税所得额；</w:t>
      </w:r>
    </w:p>
    <w:p w14:paraId="6D8D07B8">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（2）对于与子公司、合营企业及联营企业投资相关的应纳税暂时性差异，该暂时性差异转回的时间能够控制并且该暂时性差异在可预见的未来很可能不会转回。</w:t>
      </w:r>
    </w:p>
    <w:p w14:paraId="566E008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sz w:val="24"/>
        </w:rPr>
        <w:t>对于可抵扣暂时性差异、能够结转以后年度的可抵扣亏损和税款抵减，本公司以很可能</w:t>
      </w:r>
      <w:r>
        <w:rPr>
          <w:rFonts w:ascii="Arial Narrow" w:hAnsi="Arial Narrow" w:eastAsia="仿宋_GB2312" w:cs="宋体"/>
          <w:kern w:val="0"/>
          <w:sz w:val="24"/>
        </w:rPr>
        <w:t>取得用来抵扣可抵扣暂时性差异、可抵扣亏损和税款抵减的未来应纳税所得额为限，确认由此产生的递延所得税资产，除非该可抵扣暂时性差异是在以下交易中产生的：</w:t>
      </w:r>
    </w:p>
    <w:p w14:paraId="5516F70F">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（1）该交易不是企业合并，并且交易发生时既不影响会计利润也不影响应纳税所得额；</w:t>
      </w:r>
      <w:r>
        <w:rPr>
          <w:rFonts w:hint="eastAsia" w:ascii="Arial Narrow" w:hAnsi="Arial Narrow" w:eastAsia="仿宋_GB2312"/>
          <w:sz w:val="24"/>
        </w:rPr>
        <w:t>且初始确认的资产和负债不会导致产生等额应纳税暂时性差异和可抵扣暂时性差异的单项交易。</w:t>
      </w:r>
      <w:r>
        <w:rPr>
          <w:rFonts w:ascii="Arial Narrow" w:hAnsi="Arial Narrow" w:eastAsia="仿宋_GB2312" w:cs="宋体"/>
          <w:kern w:val="0"/>
          <w:sz w:val="24"/>
        </w:rPr>
        <w:t xml:space="preserve"> </w:t>
      </w:r>
    </w:p>
    <w:p w14:paraId="6D10E73E">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2）对于与子公司、合营企业及联营企业投资相关的可抵扣暂时性差异，同时满足下列条件的，确认相应的递延所得税资产：暂时性差异在可预见的未来很可能转回，且未来很可能获得用来抵扣可抵扣暂时性差异的应纳税所得额。</w:t>
      </w:r>
    </w:p>
    <w:p w14:paraId="3C842BD6">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于资产负债表日，本公司对递延所得税资产和递延所得税负债，按照预期收回该资产或清偿该负债期间的适用税率计量，并反映资产负债表日预期收回资产或清偿负债方式的所得税影响。</w:t>
      </w:r>
    </w:p>
    <w:p w14:paraId="35928364">
      <w:pPr>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于资产负债表日，本公司对递延所得税资产的账面价值进行复核。如果未来期间很可能无法获得足够的应纳税所得额用以抵扣递延所得税资产的利益，减记递延所得税资产的账面价值。在很可能获得足够的应纳税所得额时，减记的金额予以转回。</w:t>
      </w:r>
    </w:p>
    <w:p w14:paraId="26F2B66D">
      <w:pPr>
        <w:pStyle w:val="4"/>
        <w:spacing w:before="120" w:after="216"/>
      </w:pPr>
      <w:bookmarkStart w:id="9" w:name="_Ref78788252"/>
      <w:r>
        <w:t>租赁</w:t>
      </w:r>
      <w:bookmarkEnd w:id="9"/>
    </w:p>
    <w:p w14:paraId="2AD8CC8F">
      <w:pPr>
        <w:pStyle w:val="5"/>
        <w:numPr>
          <w:ilvl w:val="3"/>
          <w:numId w:val="15"/>
        </w:numPr>
      </w:pPr>
      <w:r>
        <w:t>租赁的识别</w:t>
      </w:r>
    </w:p>
    <w:p w14:paraId="5A2C52A1">
      <w:pPr>
        <w:spacing w:after="216" w:afterLines="90"/>
        <w:rPr>
          <w:rFonts w:ascii="Arial Narrow" w:hAnsi="Arial Narrow" w:eastAsia="仿宋_GB2312"/>
          <w:sz w:val="24"/>
        </w:rPr>
      </w:pPr>
      <w:r>
        <w:rPr>
          <w:rFonts w:ascii="Arial Narrow" w:hAnsi="Arial Narrow" w:eastAsia="仿宋_GB2312"/>
          <w:sz w:val="24"/>
        </w:rPr>
        <w:t>在合同开始日，本公司作为承租人或出租人评估合同中的客户是否有权获得在使用期间内因使用已识别资产所产生的几乎全部经济利益，并有权在该使用期间主导已识别资产的使用。如果合同中一方让渡了在一定期间内控制一项或多项已识别资产使用的权利以换取对价，则本公司认定合同为租赁或者包含租赁。</w:t>
      </w:r>
    </w:p>
    <w:p w14:paraId="716ACBAB">
      <w:pPr>
        <w:pStyle w:val="5"/>
      </w:pPr>
      <w:r>
        <w:t>本公司作为承租人</w:t>
      </w:r>
    </w:p>
    <w:p w14:paraId="29144F84">
      <w:pPr>
        <w:spacing w:after="216" w:afterLines="90"/>
        <w:rPr>
          <w:rFonts w:ascii="Arial Narrow" w:hAnsi="Arial Narrow" w:eastAsia="仿宋_GB2312"/>
          <w:sz w:val="24"/>
        </w:rPr>
      </w:pPr>
      <w:r>
        <w:rPr>
          <w:rFonts w:ascii="Arial Narrow" w:hAnsi="Arial Narrow" w:eastAsia="仿宋_GB2312"/>
          <w:sz w:val="24"/>
        </w:rPr>
        <w:t>在租赁期开始日，本公司对所有租赁确认使用权资产和租赁负债，简化处理的短期租赁和低价值资产租赁除外。</w:t>
      </w:r>
    </w:p>
    <w:p w14:paraId="0B3B401E">
      <w:pPr>
        <w:spacing w:after="216" w:afterLines="90"/>
        <w:rPr>
          <w:rFonts w:ascii="Arial Narrow" w:hAnsi="Arial Narrow" w:eastAsia="仿宋_GB2312"/>
          <w:sz w:val="24"/>
        </w:rPr>
      </w:pPr>
      <w:r>
        <w:rPr>
          <w:rFonts w:ascii="Arial Narrow" w:hAnsi="Arial Narrow" w:eastAsia="仿宋_GB2312"/>
          <w:sz w:val="24"/>
        </w:rPr>
        <w:t>使用权资产的会计政策见</w:t>
      </w:r>
      <w:r>
        <w:rPr>
          <w:rFonts w:ascii="Arial Narrow" w:hAnsi="Arial Narrow" w:eastAsia="仿宋_GB2312"/>
          <w:color w:val="FF0000"/>
          <w:sz w:val="24"/>
        </w:rPr>
        <w:t>附注</w:t>
      </w:r>
      <w:r>
        <w:rPr>
          <w:rFonts w:hint="eastAsia" w:ascii="Arial Narrow" w:hAnsi="Arial Narrow" w:eastAsia="仿宋_GB2312" w:cs="Arial"/>
          <w:snapToGrid w:val="0"/>
          <w:color w:val="FF0000"/>
          <w:sz w:val="24"/>
        </w:rPr>
        <w:t>四、</w:t>
      </w:r>
      <w:r>
        <w:rPr>
          <w:rFonts w:ascii="Arial Narrow" w:hAnsi="Arial Narrow" w:eastAsia="仿宋_GB2312" w:cs="Arial"/>
          <w:snapToGrid w:val="0"/>
          <w:color w:val="FF0000"/>
          <w:sz w:val="24"/>
        </w:rPr>
        <w:t>17</w:t>
      </w:r>
      <w:r>
        <w:rPr>
          <w:rFonts w:ascii="Arial Narrow" w:hAnsi="Arial Narrow" w:eastAsia="仿宋_GB2312"/>
          <w:sz w:val="24"/>
        </w:rPr>
        <w:t>。</w:t>
      </w:r>
    </w:p>
    <w:p w14:paraId="7B17651C">
      <w:pPr>
        <w:spacing w:after="216" w:afterLines="90"/>
        <w:rPr>
          <w:rFonts w:ascii="Arial Narrow" w:hAnsi="Arial Narrow" w:eastAsia="仿宋_GB2312"/>
          <w:sz w:val="24"/>
        </w:rPr>
      </w:pPr>
      <w:r>
        <w:rPr>
          <w:rFonts w:ascii="Arial Narrow" w:hAnsi="Arial Narrow" w:eastAsia="仿宋_GB2312"/>
          <w:sz w:val="24"/>
        </w:rPr>
        <w:t>租赁负债按照租赁期开始日尚未支付的租赁付款额</w:t>
      </w:r>
      <w:r>
        <w:rPr>
          <w:rFonts w:hint="eastAsia" w:ascii="Arial Narrow" w:hAnsi="Arial Narrow" w:eastAsia="仿宋_GB2312"/>
          <w:sz w:val="24"/>
        </w:rPr>
        <w:t>采用租赁内含利率</w:t>
      </w:r>
      <w:r>
        <w:rPr>
          <w:rFonts w:hint="eastAsia" w:ascii="Arial Narrow" w:hAnsi="Arial Narrow" w:eastAsia="仿宋_GB2312"/>
          <w:color w:val="000000" w:themeColor="text1"/>
          <w:sz w:val="24"/>
          <w14:textFill>
            <w14:solidFill>
              <w14:schemeClr w14:val="tx1"/>
            </w14:solidFill>
          </w14:textFill>
        </w:rPr>
        <w:t>计算的现值进行初始计量，无法确定租赁内含利率的，采用增量借款利率作为折现率</w:t>
      </w:r>
      <w:r>
        <w:rPr>
          <w:rFonts w:ascii="Arial Narrow" w:hAnsi="Arial Narrow" w:eastAsia="仿宋_GB2312"/>
          <w:sz w:val="24"/>
        </w:rPr>
        <w:t>。租赁付款额包括：固定付款额及实质固定付款额，存在租赁激励的，扣除租赁激励相关金额；取决于指数或比率的可变租赁付款额；购买选择权的行权价格，前提是承租人合理确定将行使该选择权；行使终止租赁选择权需支付的款项，前提是租赁期反映出承租人将行使终止租赁选择权；以及根据承租人提供的担保余值预计应支付的款项。后续按照固定的周期性利率计算租赁负债在租赁期内各期间的利息费用，并计入当期损益。未纳入租赁负债计量的可变租赁付款额在实际发生时计入当期损益。</w:t>
      </w:r>
    </w:p>
    <w:p w14:paraId="4B8ED570">
      <w:pPr>
        <w:keepNext/>
        <w:widowControl/>
        <w:spacing w:after="216" w:afterLines="90"/>
        <w:rPr>
          <w:rFonts w:ascii="Arial Narrow" w:hAnsi="Arial Narrow" w:eastAsia="仿宋_GB2312"/>
          <w:b/>
          <w:sz w:val="24"/>
        </w:rPr>
      </w:pPr>
      <w:r>
        <w:rPr>
          <w:rFonts w:ascii="Arial Narrow" w:hAnsi="Arial Narrow" w:eastAsia="仿宋_GB2312"/>
          <w:b/>
          <w:sz w:val="24"/>
        </w:rPr>
        <w:t>短期租赁</w:t>
      </w:r>
    </w:p>
    <w:p w14:paraId="419F03AD">
      <w:pPr>
        <w:spacing w:after="216" w:afterLines="90"/>
        <w:rPr>
          <w:rFonts w:ascii="Arial Narrow" w:hAnsi="Arial Narrow" w:eastAsia="仿宋_GB2312"/>
          <w:sz w:val="24"/>
        </w:rPr>
      </w:pPr>
      <w:r>
        <w:rPr>
          <w:rFonts w:ascii="Arial Narrow" w:hAnsi="Arial Narrow" w:eastAsia="仿宋_GB2312"/>
          <w:sz w:val="24"/>
        </w:rPr>
        <w:t>短期租赁是指在租赁期开始日，租赁期不超过12个月的租赁，包含购买选择权的租赁除外。</w:t>
      </w:r>
    </w:p>
    <w:p w14:paraId="0C5CE376">
      <w:pPr>
        <w:spacing w:after="216" w:afterLines="90"/>
        <w:rPr>
          <w:rFonts w:ascii="Arial Narrow" w:hAnsi="Arial Narrow" w:eastAsia="仿宋_GB2312"/>
          <w:sz w:val="24"/>
        </w:rPr>
      </w:pPr>
      <w:r>
        <w:rPr>
          <w:rFonts w:ascii="Arial Narrow" w:hAnsi="Arial Narrow" w:eastAsia="仿宋_GB2312"/>
          <w:sz w:val="24"/>
        </w:rPr>
        <w:t>本公司将短期租赁的租赁付款额，在租赁期内各个期间按照直线法的方法计入相关资产成本或当期损益。</w:t>
      </w:r>
    </w:p>
    <w:p w14:paraId="21B7E2CD">
      <w:pPr>
        <w:keepNext/>
        <w:widowControl/>
        <w:spacing w:after="216" w:afterLines="90"/>
        <w:rPr>
          <w:rFonts w:ascii="Arial Narrow" w:hAnsi="Arial Narrow" w:eastAsia="仿宋_GB2312"/>
          <w:b/>
          <w:sz w:val="24"/>
        </w:rPr>
      </w:pPr>
      <w:r>
        <w:rPr>
          <w:rFonts w:ascii="Arial Narrow" w:hAnsi="Arial Narrow" w:eastAsia="仿宋_GB2312"/>
          <w:b/>
          <w:sz w:val="24"/>
        </w:rPr>
        <w:t>低价值资产租赁</w:t>
      </w:r>
    </w:p>
    <w:p w14:paraId="268490BD">
      <w:pPr>
        <w:spacing w:after="216" w:afterLines="90"/>
        <w:rPr>
          <w:rFonts w:ascii="Arial Narrow" w:hAnsi="Arial Narrow" w:eastAsia="仿宋_GB2312"/>
          <w:sz w:val="24"/>
        </w:rPr>
      </w:pPr>
      <w:r>
        <w:rPr>
          <w:rFonts w:ascii="Arial Narrow" w:hAnsi="Arial Narrow" w:eastAsia="仿宋_GB2312"/>
          <w:sz w:val="24"/>
        </w:rPr>
        <w:t>低价值资产租赁是指单项租赁资产为全新资产时价值</w:t>
      </w:r>
      <w:r>
        <w:rPr>
          <w:rFonts w:hint="eastAsia" w:ascii="Arial Narrow" w:hAnsi="Arial Narrow" w:eastAsia="仿宋_GB2312"/>
          <w:sz w:val="24"/>
        </w:rPr>
        <w:t>较低</w:t>
      </w:r>
      <w:r>
        <w:rPr>
          <w:rFonts w:ascii="Arial Narrow" w:hAnsi="Arial Narrow" w:eastAsia="仿宋_GB2312"/>
          <w:sz w:val="24"/>
        </w:rPr>
        <w:t>的租赁。</w:t>
      </w:r>
    </w:p>
    <w:p w14:paraId="46B17A54">
      <w:pPr>
        <w:spacing w:after="216" w:afterLines="90"/>
        <w:rPr>
          <w:rFonts w:ascii="Arial Narrow" w:hAnsi="Arial Narrow" w:eastAsia="仿宋_GB2312"/>
          <w:sz w:val="24"/>
        </w:rPr>
      </w:pPr>
      <w:r>
        <w:rPr>
          <w:rFonts w:ascii="Arial Narrow" w:hAnsi="Arial Narrow" w:eastAsia="仿宋_GB2312"/>
          <w:sz w:val="24"/>
        </w:rPr>
        <w:t>对于低价值资产租赁，本公司根据每项租赁的具体情况选择采用上述简化处理方法。</w:t>
      </w:r>
    </w:p>
    <w:p w14:paraId="21AEAFED">
      <w:pPr>
        <w:spacing w:after="216" w:afterLines="90"/>
        <w:rPr>
          <w:rFonts w:ascii="Arial Narrow" w:hAnsi="Arial Narrow" w:eastAsia="仿宋_GB2312"/>
          <w:sz w:val="24"/>
        </w:rPr>
      </w:pPr>
      <w:r>
        <w:rPr>
          <w:rFonts w:ascii="Arial Narrow" w:hAnsi="Arial Narrow" w:eastAsia="仿宋_GB2312"/>
          <w:sz w:val="24"/>
        </w:rPr>
        <w:t>本公司将低价值资产租赁的租赁付款额，在租赁期内各个期间按照直线法的方法计入相关资产成本或当期损益。</w:t>
      </w:r>
    </w:p>
    <w:p w14:paraId="6FB1F938">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19B2C970">
      <w:pPr>
        <w:snapToGrid w:val="0"/>
        <w:spacing w:after="216" w:afterLines="90"/>
        <w:rPr>
          <w:rFonts w:ascii="Arial Narrow" w:hAnsi="Arial Narrow" w:eastAsia="仿宋_GB2312"/>
          <w:sz w:val="24"/>
        </w:rPr>
      </w:pPr>
      <w:r>
        <w:rPr>
          <w:rFonts w:hint="eastAsia" w:ascii="Arial Narrow" w:hAnsi="Arial Narrow" w:eastAsia="仿宋_GB2312"/>
          <w:sz w:val="24"/>
        </w:rPr>
        <w:t>租赁发生变更且同时符合下列条件的，本公司将该租赁变更作为一项单独租赁进行会计处理：①</w:t>
      </w:r>
      <w:r>
        <w:rPr>
          <w:rFonts w:hint="eastAsia" w:ascii="Arial Narrow" w:hAnsi="Arial Narrow" w:eastAsia="仿宋_GB2312" w:cs="宋体"/>
          <w:sz w:val="24"/>
        </w:rPr>
        <w:t>该租赁变更通过增加一项或多项租赁资产的使用权而扩大了租赁范围；</w:t>
      </w:r>
      <w:r>
        <w:rPr>
          <w:rFonts w:hint="eastAsia" w:ascii="Arial Narrow" w:hAnsi="Arial Narrow" w:eastAsia="仿宋_GB2312"/>
          <w:sz w:val="24"/>
        </w:rPr>
        <w:t>②增加的对价与租赁范围扩大部分的单独价格按该合同情况调整后的金额相当。</w:t>
      </w:r>
    </w:p>
    <w:p w14:paraId="7AE69D55">
      <w:pPr>
        <w:snapToGrid w:val="0"/>
        <w:spacing w:after="216" w:afterLines="90"/>
        <w:rPr>
          <w:rFonts w:ascii="Arial Narrow" w:hAnsi="Arial Narrow" w:eastAsia="仿宋_GB2312"/>
          <w:sz w:val="24"/>
        </w:rPr>
      </w:pPr>
      <w:r>
        <w:rPr>
          <w:rFonts w:hint="eastAsia" w:ascii="Arial Narrow" w:hAnsi="Arial Narrow" w:eastAsia="仿宋_GB2312"/>
          <w:sz w:val="24"/>
        </w:rPr>
        <w:t>租赁变更未作为一项单独租赁进行会计处理的，在租赁变更生效日，本公司重新分摊变更后合同的对价，重新确定租赁期，并按照变更后租赁付款额和修订后的折现率计算的现值重新计量租赁负债。</w:t>
      </w:r>
    </w:p>
    <w:p w14:paraId="7C2EC94D">
      <w:pPr>
        <w:snapToGrid w:val="0"/>
        <w:spacing w:after="216" w:afterLines="90"/>
        <w:rPr>
          <w:rFonts w:ascii="Arial Narrow" w:hAnsi="Arial Narrow" w:eastAsia="仿宋_GB2312"/>
          <w:sz w:val="24"/>
        </w:rPr>
      </w:pPr>
      <w:r>
        <w:rPr>
          <w:rFonts w:hint="eastAsia" w:ascii="Arial Narrow" w:hAnsi="Arial Narrow" w:eastAsia="仿宋_GB2312"/>
          <w:sz w:val="24"/>
        </w:rPr>
        <w:t>租赁变更导致租赁范围缩小或租赁期缩短的，本公司相应调减使用权资产的账面价值，并将部分终止或完全终止租赁的相关利得或损失计入当期损益。</w:t>
      </w:r>
    </w:p>
    <w:p w14:paraId="1236C066">
      <w:pPr>
        <w:snapToGrid w:val="0"/>
        <w:spacing w:after="216" w:afterLines="90"/>
        <w:rPr>
          <w:rFonts w:ascii="Arial Narrow" w:hAnsi="Arial Narrow" w:eastAsia="仿宋_GB2312"/>
          <w:sz w:val="24"/>
        </w:rPr>
      </w:pPr>
      <w:r>
        <w:rPr>
          <w:rFonts w:hint="eastAsia" w:ascii="Arial Narrow" w:hAnsi="Arial Narrow" w:eastAsia="仿宋_GB2312"/>
          <w:sz w:val="24"/>
        </w:rPr>
        <w:t>其他租赁变更导致租赁负债重新计量的，本公司相应调整使用权资产的账面价值。</w:t>
      </w:r>
    </w:p>
    <w:p w14:paraId="459FCE8B">
      <w:pPr>
        <w:pStyle w:val="5"/>
      </w:pPr>
      <w:r>
        <w:t>本公司作为出租人</w:t>
      </w:r>
    </w:p>
    <w:p w14:paraId="1EC39439">
      <w:pPr>
        <w:spacing w:after="216" w:afterLines="90"/>
        <w:rPr>
          <w:rFonts w:ascii="Arial Narrow" w:hAnsi="Arial Narrow" w:eastAsia="仿宋_GB2312"/>
          <w:sz w:val="24"/>
        </w:rPr>
      </w:pPr>
      <w:r>
        <w:rPr>
          <w:rFonts w:ascii="Arial Narrow" w:hAnsi="Arial Narrow" w:eastAsia="仿宋_GB2312"/>
          <w:sz w:val="24"/>
        </w:rPr>
        <w:t>本公司作为出租人时，将实质上转移了与资产所有权有关的全部风险和报酬的租赁确认为融资租赁，除融资租赁之外的其他租赁确认为经营租赁。</w:t>
      </w:r>
    </w:p>
    <w:p w14:paraId="501A0D7F">
      <w:pPr>
        <w:keepNext/>
        <w:widowControl/>
        <w:spacing w:after="216" w:afterLines="90"/>
        <w:rPr>
          <w:rFonts w:ascii="Arial Narrow" w:hAnsi="Arial Narrow" w:eastAsia="仿宋_GB2312"/>
          <w:b/>
          <w:sz w:val="24"/>
        </w:rPr>
      </w:pPr>
      <w:r>
        <w:rPr>
          <w:rFonts w:ascii="Arial Narrow" w:hAnsi="Arial Narrow" w:eastAsia="仿宋_GB2312"/>
          <w:b/>
          <w:sz w:val="24"/>
        </w:rPr>
        <w:t>融资租赁</w:t>
      </w:r>
    </w:p>
    <w:p w14:paraId="1284A339">
      <w:pPr>
        <w:spacing w:after="216" w:afterLines="90"/>
        <w:rPr>
          <w:rFonts w:ascii="Arial Narrow" w:hAnsi="Arial Narrow" w:eastAsia="仿宋_GB2312"/>
          <w:sz w:val="24"/>
        </w:rPr>
      </w:pPr>
      <w:r>
        <w:rPr>
          <w:rFonts w:ascii="Arial Narrow" w:hAnsi="Arial Narrow" w:eastAsia="仿宋_GB2312"/>
          <w:sz w:val="24"/>
        </w:rPr>
        <w:t>融资租赁中，在租赁期开始日本公司按租赁投资净额作为应收融资租赁款的入账价值，租赁投资净额为未担保余值和租赁期开始日尚未收到的租赁收款额按照租赁内含利率折现的现值之和。本公司作为出租人按照固定的周期性利率计算并确认租赁期内各个期间的利息收入。本公司作为出租人取得的未纳入租赁投资净额计量的可变租赁付款额在实际发生时计入当期损益。</w:t>
      </w:r>
    </w:p>
    <w:p w14:paraId="05766C45">
      <w:pPr>
        <w:spacing w:after="216" w:afterLines="90"/>
        <w:rPr>
          <w:rFonts w:ascii="Arial Narrow" w:hAnsi="Arial Narrow" w:eastAsia="仿宋_GB2312"/>
          <w:sz w:val="24"/>
        </w:rPr>
      </w:pPr>
      <w:r>
        <w:rPr>
          <w:rFonts w:ascii="Arial Narrow" w:hAnsi="Arial Narrow" w:eastAsia="仿宋_GB2312"/>
          <w:sz w:val="24"/>
        </w:rPr>
        <w:t>应收融资租赁款的终止确认和减值按照《企业会计准则第22号——金融工具确认和计量》和《企业会计准则第23号——金融资产转移》的规定进行会计处理。</w:t>
      </w:r>
    </w:p>
    <w:p w14:paraId="3E4DF564">
      <w:pPr>
        <w:keepNext/>
        <w:widowControl/>
        <w:spacing w:after="216" w:afterLines="90"/>
        <w:rPr>
          <w:rFonts w:ascii="Arial Narrow" w:hAnsi="Arial Narrow" w:eastAsia="仿宋_GB2312"/>
          <w:b/>
          <w:sz w:val="24"/>
        </w:rPr>
      </w:pPr>
      <w:r>
        <w:rPr>
          <w:rFonts w:ascii="Arial Narrow" w:hAnsi="Arial Narrow" w:eastAsia="仿宋_GB2312"/>
          <w:b/>
          <w:sz w:val="24"/>
        </w:rPr>
        <w:t>经营租赁</w:t>
      </w:r>
    </w:p>
    <w:p w14:paraId="4FCBC628">
      <w:pPr>
        <w:spacing w:after="216" w:afterLines="90"/>
        <w:rPr>
          <w:rFonts w:ascii="Arial Narrow" w:hAnsi="Arial Narrow" w:eastAsia="仿宋_GB2312"/>
          <w:sz w:val="24"/>
        </w:rPr>
      </w:pPr>
      <w:r>
        <w:rPr>
          <w:rFonts w:ascii="Arial Narrow" w:hAnsi="Arial Narrow" w:eastAsia="仿宋_GB2312"/>
          <w:sz w:val="24"/>
        </w:rPr>
        <w:t>经营租赁中的租金，本公司在租赁期内各个期间按照直线法确认当期损益。发生的与经营租赁有关的初始直接费用应当资本化，在租赁期内按照与租金收入确认相同的基础进行分摊，分期计入当期损益。取得的与经营租赁有关的未计入租赁收款额的可变租赁付款额，在实际发生时计入当期损益。</w:t>
      </w:r>
    </w:p>
    <w:p w14:paraId="0C8C242D">
      <w:pPr>
        <w:adjustRightInd w:val="0"/>
        <w:snapToGrid w:val="0"/>
        <w:spacing w:before="120" w:beforeLines="50" w:after="216" w:afterLines="90"/>
        <w:rPr>
          <w:rFonts w:ascii="Arial Narrow" w:hAnsi="Arial Narrow" w:eastAsia="仿宋_GB2312"/>
          <w:b/>
          <w:sz w:val="24"/>
        </w:rPr>
      </w:pPr>
      <w:r>
        <w:rPr>
          <w:rFonts w:hint="eastAsia" w:ascii="Arial Narrow" w:hAnsi="Arial Narrow" w:eastAsia="仿宋_GB2312"/>
          <w:b/>
          <w:sz w:val="24"/>
        </w:rPr>
        <w:t>租赁变更</w:t>
      </w:r>
    </w:p>
    <w:p w14:paraId="775489B8">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经营租赁发生变更的，本公司自变更生效日起将其作为一项新租赁进行会计处理，与变更前租赁有关的预收或应收租赁收款额视为新租赁的收款额。</w:t>
      </w:r>
    </w:p>
    <w:p w14:paraId="01345199">
      <w:pPr>
        <w:adjustRightInd w:val="0"/>
        <w:snapToGrid w:val="0"/>
        <w:spacing w:before="120" w:beforeLines="50" w:after="216" w:afterLines="90"/>
        <w:rPr>
          <w:rFonts w:ascii="Arial Narrow" w:hAnsi="Arial Narrow" w:eastAsia="仿宋_GB2312"/>
          <w:sz w:val="24"/>
        </w:rPr>
      </w:pPr>
      <w:r>
        <w:rPr>
          <w:rFonts w:hint="eastAsia" w:ascii="Arial Narrow" w:hAnsi="Arial Narrow" w:eastAsia="仿宋_GB2312"/>
          <w:sz w:val="24"/>
        </w:rPr>
        <w:t>融资租赁发生变更且同时符合下列条件的，本公司将该变更作为一项单独租赁进行会计处理：①该变更通过增加一项或多项租赁资产的使用权而扩大了租赁范围；②增加的对价与租赁范围扩大部分的单独价格按该合同情况调整后的金额相当。</w:t>
      </w:r>
    </w:p>
    <w:p w14:paraId="376B3AD9">
      <w:pPr>
        <w:spacing w:after="216" w:afterLines="90"/>
        <w:rPr>
          <w:rFonts w:ascii="Arial Narrow" w:hAnsi="Arial Narrow" w:eastAsia="仿宋_GB2312"/>
          <w:sz w:val="24"/>
        </w:rPr>
      </w:pPr>
      <w:r>
        <w:rPr>
          <w:rFonts w:hint="eastAsia" w:ascii="Arial Narrow" w:hAnsi="Arial Narrow" w:eastAsia="仿宋_GB2312"/>
          <w:sz w:val="24"/>
        </w:rPr>
        <w:t>融资租赁发生变更未作为一项单独租赁进行会计处理的，本公司分别下列情形对变更后的租赁进行处理：①假如变更在租赁开始日生效，该租赁会被分类为经营租赁的，本公司自租赁变更生效日开始将其作为一项新租赁进行会计处理，并以租赁变更生效日前的租赁投资净额作为租赁资产的账面价值；②假如变更在租赁开始日生效，该租赁会被分类为融资租赁的，本公司按照《企业会计准则第</w:t>
      </w:r>
      <w:r>
        <w:rPr>
          <w:rFonts w:ascii="Arial Narrow" w:hAnsi="Arial Narrow" w:eastAsia="仿宋_GB2312"/>
          <w:sz w:val="24"/>
        </w:rPr>
        <w:t xml:space="preserve">22 </w:t>
      </w:r>
      <w:r>
        <w:rPr>
          <w:rFonts w:hint="eastAsia" w:ascii="Arial Narrow" w:hAnsi="Arial Narrow" w:eastAsia="仿宋_GB2312"/>
          <w:sz w:val="24"/>
        </w:rPr>
        <w:t>号——金融工具确认和计量》关于修改或重新议定合同的规定进行会计处理。</w:t>
      </w:r>
    </w:p>
    <w:p w14:paraId="64520ACD">
      <w:pPr>
        <w:pStyle w:val="4"/>
        <w:spacing w:before="120" w:after="216"/>
      </w:pPr>
      <w:bookmarkStart w:id="10" w:name="_Ref78786492"/>
      <w:r>
        <w:t>公允价值计量</w:t>
      </w:r>
      <w:bookmarkEnd w:id="10"/>
    </w:p>
    <w:p w14:paraId="24129742">
      <w:pPr>
        <w:snapToGrid w:val="0"/>
        <w:spacing w:after="216" w:afterLines="90"/>
        <w:rPr>
          <w:rFonts w:ascii="Arial Narrow" w:hAnsi="Arial Narrow" w:eastAsia="仿宋_GB2312"/>
          <w:sz w:val="24"/>
        </w:rPr>
      </w:pPr>
      <w:r>
        <w:rPr>
          <w:rFonts w:ascii="Arial Narrow" w:hAnsi="Arial Narrow" w:eastAsia="仿宋_GB2312"/>
          <w:sz w:val="24"/>
        </w:rPr>
        <w:t>公允价值是指市场参与者在计量日发生的有序交易中，出售一项资产所能收到或者转移一项负债所需支付的价格。</w:t>
      </w:r>
    </w:p>
    <w:p w14:paraId="78417406">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以公允价值计量相关资产或负债，包括：</w:t>
      </w:r>
      <w:r>
        <w:rPr>
          <w:rFonts w:ascii="Arial Narrow" w:hAnsi="Arial Narrow" w:eastAsia="仿宋_GB2312"/>
          <w:color w:val="FF0000"/>
          <w:sz w:val="24"/>
        </w:rPr>
        <w:t>以公允价值计量且其变动计入当期损益的金融资产、投资性房地产、生物资产</w:t>
      </w:r>
      <w:r>
        <w:rPr>
          <w:rFonts w:hint="eastAsia" w:ascii="Arial Narrow" w:hAnsi="Arial Narrow" w:eastAsia="仿宋_GB2312"/>
          <w:color w:val="FF0000"/>
          <w:sz w:val="24"/>
        </w:rPr>
        <w:t>、</w:t>
      </w:r>
      <w:r>
        <w:rPr>
          <w:rFonts w:ascii="Arial Narrow" w:hAnsi="Arial Narrow" w:eastAsia="仿宋_GB2312"/>
          <w:color w:val="FF0000"/>
          <w:sz w:val="24"/>
        </w:rPr>
        <w:t>以公允价值计量且其变动计入当期损益的金融</w:t>
      </w:r>
      <w:r>
        <w:rPr>
          <w:rFonts w:hint="eastAsia" w:ascii="Arial Narrow" w:hAnsi="Arial Narrow" w:eastAsia="仿宋_GB2312"/>
          <w:color w:val="FF0000"/>
          <w:sz w:val="24"/>
        </w:rPr>
        <w:t>负</w:t>
      </w:r>
      <w:r>
        <w:rPr>
          <w:rFonts w:ascii="Arial Narrow" w:hAnsi="Arial Narrow" w:eastAsia="仿宋_GB2312"/>
          <w:color w:val="FF0000"/>
          <w:sz w:val="24"/>
        </w:rPr>
        <w:t>债</w:t>
      </w:r>
      <w:r>
        <w:rPr>
          <w:rFonts w:ascii="Arial Narrow" w:hAnsi="Arial Narrow" w:eastAsia="仿宋_GB2312"/>
          <w:color w:val="0000FF"/>
          <w:sz w:val="24"/>
        </w:rPr>
        <w:t>。</w:t>
      </w:r>
      <w:r>
        <w:rPr>
          <w:rFonts w:ascii="Arial Narrow" w:hAnsi="Arial Narrow" w:eastAsia="仿宋_GB2312"/>
          <w:sz w:val="24"/>
        </w:rPr>
        <w:t>假定出售资产或者转移负债的有序交易在相关资产或负债的主要市场进行；不存在主要市场的，本</w:t>
      </w:r>
      <w:r>
        <w:rPr>
          <w:rFonts w:hint="eastAsia" w:ascii="Arial Narrow" w:hAnsi="Arial Narrow" w:eastAsia="仿宋_GB2312"/>
          <w:sz w:val="24"/>
        </w:rPr>
        <w:t>公司</w:t>
      </w:r>
      <w:r>
        <w:rPr>
          <w:rFonts w:ascii="Arial Narrow" w:hAnsi="Arial Narrow" w:eastAsia="仿宋_GB2312"/>
          <w:sz w:val="24"/>
        </w:rPr>
        <w:t>假定该交易在相关资产或负债的最有利市场进行。主要市场（或最有利市场）是本</w:t>
      </w:r>
      <w:r>
        <w:rPr>
          <w:rFonts w:hint="eastAsia" w:ascii="Arial Narrow" w:hAnsi="Arial Narrow" w:eastAsia="仿宋_GB2312"/>
          <w:sz w:val="24"/>
        </w:rPr>
        <w:t>公司</w:t>
      </w:r>
      <w:r>
        <w:rPr>
          <w:rFonts w:ascii="Arial Narrow" w:hAnsi="Arial Narrow" w:eastAsia="仿宋_GB2312"/>
          <w:sz w:val="24"/>
        </w:rPr>
        <w:t>在计量日能够进入的交易市场。本</w:t>
      </w:r>
      <w:r>
        <w:rPr>
          <w:rFonts w:hint="eastAsia" w:ascii="Arial Narrow" w:hAnsi="Arial Narrow" w:eastAsia="仿宋_GB2312"/>
          <w:sz w:val="24"/>
        </w:rPr>
        <w:t>公司</w:t>
      </w:r>
      <w:r>
        <w:rPr>
          <w:rFonts w:ascii="Arial Narrow" w:hAnsi="Arial Narrow" w:eastAsia="仿宋_GB2312"/>
          <w:sz w:val="24"/>
        </w:rPr>
        <w:t>采用市场参与者在对该资产或负债定价时为实现其经济利益最大化所使用的假设。</w:t>
      </w:r>
    </w:p>
    <w:p w14:paraId="020CFB1A">
      <w:pPr>
        <w:snapToGrid w:val="0"/>
        <w:spacing w:after="216" w:afterLines="90"/>
        <w:rPr>
          <w:rFonts w:ascii="Arial Narrow" w:hAnsi="Arial Narrow" w:eastAsia="仿宋_GB2312"/>
          <w:sz w:val="24"/>
        </w:rPr>
      </w:pPr>
      <w:r>
        <w:rPr>
          <w:rFonts w:ascii="Arial Narrow" w:hAnsi="Arial Narrow" w:eastAsia="仿宋_GB2312"/>
          <w:sz w:val="24"/>
        </w:rPr>
        <w:t>存在活跃市场的金融资产或金融负债，本</w:t>
      </w:r>
      <w:r>
        <w:rPr>
          <w:rFonts w:hint="eastAsia" w:ascii="Arial Narrow" w:hAnsi="Arial Narrow" w:eastAsia="仿宋_GB2312"/>
          <w:sz w:val="24"/>
        </w:rPr>
        <w:t>公司</w:t>
      </w:r>
      <w:r>
        <w:rPr>
          <w:rFonts w:ascii="Arial Narrow" w:hAnsi="Arial Narrow" w:eastAsia="仿宋_GB2312"/>
          <w:sz w:val="24"/>
        </w:rPr>
        <w:t>采用活跃市场中的报价确定其公允价值。金融工具不存在活跃市场的，本</w:t>
      </w:r>
      <w:r>
        <w:rPr>
          <w:rFonts w:hint="eastAsia" w:ascii="Arial Narrow" w:hAnsi="Arial Narrow" w:eastAsia="仿宋_GB2312"/>
          <w:sz w:val="24"/>
        </w:rPr>
        <w:t>公司</w:t>
      </w:r>
      <w:r>
        <w:rPr>
          <w:rFonts w:ascii="Arial Narrow" w:hAnsi="Arial Narrow" w:eastAsia="仿宋_GB2312"/>
          <w:sz w:val="24"/>
        </w:rPr>
        <w:t>采用估值技术确定其公允价值。</w:t>
      </w:r>
      <w:r>
        <w:rPr>
          <w:rFonts w:ascii="Arial Narrow" w:hAnsi="Arial Narrow" w:eastAsia="仿宋_GB2312"/>
          <w:color w:val="FF0000"/>
          <w:sz w:val="24"/>
        </w:rPr>
        <w:t>所使用的估值模型主要为现金流量折现模型和市场可比公司模型等。估值技术的输入值主要包括无风险利率、基准利率、汇率、信用点差、流动性溢价、缺乏流动性折价等。</w:t>
      </w:r>
    </w:p>
    <w:p w14:paraId="4709BDBB">
      <w:pPr>
        <w:snapToGrid w:val="0"/>
        <w:spacing w:after="216" w:afterLines="90"/>
        <w:rPr>
          <w:rFonts w:ascii="Arial Narrow" w:hAnsi="Arial Narrow" w:eastAsia="仿宋_GB2312"/>
          <w:sz w:val="24"/>
        </w:rPr>
      </w:pPr>
      <w:r>
        <w:rPr>
          <w:rFonts w:ascii="Arial Narrow" w:hAnsi="Arial Narrow" w:eastAsia="仿宋_GB2312"/>
          <w:sz w:val="24"/>
        </w:rPr>
        <w:t>以公允价值计量非金融资产的，考虑市场参与者将该资产用于最佳用途产生经济利益的能力，或者将该资产出售给能够用于最佳用途的其他市场参与者产生经济利益的能力。</w:t>
      </w:r>
    </w:p>
    <w:p w14:paraId="5BC08BFF">
      <w:pPr>
        <w:snapToGrid w:val="0"/>
        <w:spacing w:after="216" w:afterLines="90"/>
        <w:rPr>
          <w:rFonts w:ascii="Arial Narrow" w:hAnsi="Arial Narrow" w:eastAsia="仿宋_GB2312"/>
          <w:sz w:val="24"/>
        </w:rPr>
      </w:pPr>
      <w:r>
        <w:rPr>
          <w:rFonts w:ascii="Arial Narrow" w:hAnsi="Arial Narrow" w:eastAsia="仿宋_GB2312"/>
          <w:sz w:val="24"/>
        </w:rPr>
        <w:t>本</w:t>
      </w:r>
      <w:r>
        <w:rPr>
          <w:rFonts w:hint="eastAsia" w:ascii="Arial Narrow" w:hAnsi="Arial Narrow" w:eastAsia="仿宋_GB2312"/>
          <w:sz w:val="24"/>
        </w:rPr>
        <w:t>公司</w:t>
      </w:r>
      <w:r>
        <w:rPr>
          <w:rFonts w:ascii="Arial Narrow" w:hAnsi="Arial Narrow" w:eastAsia="仿宋_GB2312"/>
          <w:sz w:val="24"/>
        </w:rPr>
        <w:t>采用在当前情况下适用并且有足够可利用数据和其他信息支持的估值技术，优先使用相关可观察输入值，只有在可观察输入值无法取得或取得不切实可行的情况下，才使用不可观察输入值。</w:t>
      </w:r>
    </w:p>
    <w:p w14:paraId="04C7970C">
      <w:pPr>
        <w:snapToGrid w:val="0"/>
        <w:spacing w:after="216" w:afterLines="90"/>
        <w:rPr>
          <w:rFonts w:ascii="Arial Narrow" w:hAnsi="Arial Narrow" w:eastAsia="仿宋_GB2312"/>
          <w:sz w:val="24"/>
        </w:rPr>
      </w:pPr>
      <w:r>
        <w:rPr>
          <w:rFonts w:ascii="Arial Narrow" w:hAnsi="Arial Narrow" w:eastAsia="仿宋_GB2312"/>
          <w:sz w:val="24"/>
        </w:rPr>
        <w:t>在财务报表中以公允价值计量或披露的资产和负债，根据对公允价值计量整体而言具有重要意义的最低层次输入值，确定所属的公允价值层次：第一层次输入值，是在计量日能够取得的相同资产或负债在活跃市场上未经调整的报价；第二层次输入值，是除第一层次输入值外相关资产或负债直接或间接可观察的输入值；第三层次输入值，是相关资产或负债的不可观察输入值。</w:t>
      </w:r>
    </w:p>
    <w:p w14:paraId="343F4125">
      <w:pPr>
        <w:spacing w:before="120" w:after="216" w:afterLines="90"/>
        <w:rPr>
          <w:rFonts w:ascii="Arial Narrow" w:hAnsi="Arial Narrow" w:eastAsia="仿宋_GB2312"/>
          <w:sz w:val="24"/>
        </w:rPr>
      </w:pPr>
      <w:r>
        <w:rPr>
          <w:rFonts w:ascii="Arial Narrow" w:hAnsi="Arial Narrow" w:eastAsia="仿宋_GB2312"/>
          <w:sz w:val="24"/>
        </w:rPr>
        <w:t>每个资产负债表日，本</w:t>
      </w:r>
      <w:r>
        <w:rPr>
          <w:rFonts w:hint="eastAsia" w:ascii="Arial Narrow" w:hAnsi="Arial Narrow" w:eastAsia="仿宋_GB2312"/>
          <w:sz w:val="24"/>
        </w:rPr>
        <w:t>公司</w:t>
      </w:r>
      <w:r>
        <w:rPr>
          <w:rFonts w:ascii="Arial Narrow" w:hAnsi="Arial Narrow" w:eastAsia="仿宋_GB2312"/>
          <w:sz w:val="24"/>
        </w:rPr>
        <w:t>对在财务报表中确认的持续以公允价值计量的资产和负债进行重新评估，以确定是否在公允价值计量层次之间发生转换。</w:t>
      </w:r>
    </w:p>
    <w:p w14:paraId="424107A7">
      <w:pPr>
        <w:pStyle w:val="4"/>
        <w:spacing w:before="120" w:after="216"/>
      </w:pPr>
      <w:r>
        <w:t>安全生产费用</w:t>
      </w:r>
    </w:p>
    <w:p w14:paraId="53CF6057">
      <w:pPr>
        <w:tabs>
          <w:tab w:val="left" w:pos="500"/>
        </w:tabs>
        <w:adjustRightInd w:val="0"/>
        <w:snapToGrid w:val="0"/>
        <w:spacing w:after="216" w:afterLines="90"/>
        <w:ind w:left="-2" w:leftChars="-1"/>
        <w:rPr>
          <w:rFonts w:ascii="Arial Narrow" w:hAnsi="Arial Narrow" w:eastAsia="仿宋_GB2312"/>
          <w:sz w:val="24"/>
        </w:rPr>
      </w:pPr>
      <w:r>
        <w:rPr>
          <w:rFonts w:hint="eastAsia" w:ascii="Arial Narrow" w:hAnsi="Arial Narrow" w:eastAsia="仿宋_GB2312" w:cs="宋体"/>
          <w:kern w:val="0"/>
          <w:sz w:val="24"/>
        </w:rPr>
        <w:t>本公司根据财政部《关于印发〈企业安全生产费用提取和使用管理办法〉的通知》（财资〔2022〕136号）的有关规定，按电力生产与供应企业业以上一年度营业收入为依据，采取超额累退方式提取安全生产费用。</w:t>
      </w:r>
    </w:p>
    <w:p w14:paraId="55AFDF2B">
      <w:pPr>
        <w:tabs>
          <w:tab w:val="left" w:pos="500"/>
        </w:tabs>
        <w:adjustRightInd w:val="0"/>
        <w:snapToGrid w:val="0"/>
        <w:spacing w:after="216" w:afterLines="90"/>
        <w:ind w:left="-2" w:leftChars="-1"/>
        <w:rPr>
          <w:rFonts w:ascii="Arial Narrow" w:hAnsi="Arial Narrow" w:eastAsia="仿宋_GB2312" w:cs="宋体"/>
          <w:kern w:val="0"/>
          <w:sz w:val="24"/>
        </w:rPr>
      </w:pPr>
      <w:r>
        <w:rPr>
          <w:rFonts w:hint="eastAsia" w:ascii="Arial Narrow" w:hAnsi="Arial Narrow" w:eastAsia="仿宋_GB2312" w:cs="宋体"/>
          <w:kern w:val="0"/>
          <w:sz w:val="24"/>
        </w:rPr>
        <w:t>根据《企业会计准则解释第3号》财会[2009]8号，按规定标准提取安全生产费用等时，计入相关产品的成本或当期损益，同时记入“专项储备”科目</w:t>
      </w:r>
      <w:r>
        <w:rPr>
          <w:rFonts w:ascii="Arial Narrow" w:hAnsi="Arial Narrow" w:eastAsia="仿宋_GB2312" w:cs="宋体"/>
          <w:kern w:val="0"/>
          <w:sz w:val="24"/>
        </w:rPr>
        <w:t>。</w:t>
      </w:r>
    </w:p>
    <w:p w14:paraId="57114E3C">
      <w:pPr>
        <w:tabs>
          <w:tab w:val="left" w:pos="500"/>
        </w:tabs>
        <w:adjustRightInd w:val="0"/>
        <w:snapToGrid w:val="0"/>
        <w:spacing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提取的安全生产费及维简费按规定范围使用时，属于费用性支出的，直接冲减专项储备；形成固定资产的，先通过“在建工程”科目归集所发生的支出，待安全项目完工达到预定可使用状态时确认为固定资产；同时，按照形成固定资产的成本冲减专项储备，并确认相同金额的累计折旧。该固定资产在以后期间不再计提折旧。</w:t>
      </w:r>
    </w:p>
    <w:p w14:paraId="76FBBFEC">
      <w:pPr>
        <w:pStyle w:val="2"/>
        <w:spacing w:before="120" w:after="216"/>
      </w:pPr>
      <w:r>
        <w:t>会计政策、会计估计变更及差错更正</w:t>
      </w:r>
    </w:p>
    <w:p w14:paraId="32FEBCE4">
      <w:pPr>
        <w:pStyle w:val="3"/>
        <w:spacing w:before="120" w:after="216"/>
      </w:pPr>
      <w:r>
        <w:t>会计政策变更</w:t>
      </w:r>
    </w:p>
    <w:p w14:paraId="0814D5BA">
      <w:pPr>
        <w:spacing w:after="216" w:afterLines="90"/>
        <w:rPr>
          <w:rFonts w:ascii="Arial Narrow" w:hAnsi="Arial Narrow" w:eastAsia="仿宋_GB2312"/>
          <w:sz w:val="24"/>
        </w:rPr>
      </w:pPr>
      <w:r>
        <w:rPr>
          <w:rFonts w:ascii="Arial Narrow" w:hAnsi="Arial Narrow" w:eastAsia="仿宋_GB2312"/>
          <w:sz w:val="24"/>
        </w:rPr>
        <w:t>会计政策变更的性质、内容和原因</w:t>
      </w:r>
    </w:p>
    <w:p w14:paraId="2257ED9B">
      <w:pPr>
        <w:spacing w:after="216" w:afterLines="90"/>
        <w:rPr>
          <w:rFonts w:ascii="Arial Narrow" w:hAnsi="Arial Narrow" w:eastAsia="仿宋_GB2312"/>
          <w:color w:val="FF0000"/>
          <w:sz w:val="24"/>
        </w:rPr>
      </w:pPr>
      <w:r>
        <w:rPr>
          <w:rFonts w:hint="eastAsia" w:ascii="Arial Narrow" w:hAnsi="Arial Narrow" w:eastAsia="仿宋_GB2312"/>
          <w:color w:val="FF0000"/>
          <w:sz w:val="24"/>
        </w:rPr>
        <w:t>（财政部于</w:t>
      </w:r>
      <w:r>
        <w:rPr>
          <w:rFonts w:ascii="Arial Narrow" w:hAnsi="Arial Narrow" w:eastAsia="仿宋_GB2312"/>
          <w:color w:val="FF0000"/>
          <w:sz w:val="24"/>
        </w:rPr>
        <w:t>2025</w:t>
      </w:r>
      <w:r>
        <w:rPr>
          <w:rFonts w:hint="eastAsia" w:ascii="Arial Narrow" w:hAnsi="Arial Narrow" w:eastAsia="仿宋_GB2312"/>
          <w:color w:val="FF0000"/>
          <w:sz w:val="24"/>
        </w:rPr>
        <w:t>年</w:t>
      </w:r>
      <w:r>
        <w:rPr>
          <w:rFonts w:ascii="Arial Narrow" w:hAnsi="Arial Narrow" w:eastAsia="仿宋_GB2312"/>
          <w:color w:val="FF0000"/>
          <w:sz w:val="24"/>
        </w:rPr>
        <w:t>7</w:t>
      </w:r>
      <w:r>
        <w:rPr>
          <w:rFonts w:hint="eastAsia" w:ascii="Arial Narrow" w:hAnsi="Arial Narrow" w:eastAsia="仿宋_GB2312"/>
          <w:color w:val="FF0000"/>
          <w:sz w:val="24"/>
        </w:rPr>
        <w:t>月</w:t>
      </w:r>
      <w:r>
        <w:rPr>
          <w:rFonts w:ascii="Arial Narrow" w:hAnsi="Arial Narrow" w:eastAsia="仿宋_GB2312"/>
          <w:color w:val="FF0000"/>
          <w:sz w:val="24"/>
        </w:rPr>
        <w:t>8</w:t>
      </w:r>
      <w:r>
        <w:rPr>
          <w:rFonts w:hint="eastAsia" w:ascii="Arial Narrow" w:hAnsi="Arial Narrow" w:eastAsia="仿宋_GB2312"/>
          <w:color w:val="FF0000"/>
          <w:sz w:val="24"/>
        </w:rPr>
        <w:t>日发布标准仓单交易相关会计处理实施问答。该问答规定企业在期货交易场所通过频繁签订买卖标准仓单的合同以赚取差价、不提取标准仓单对应的商品实物的，通常表明企业具有收到合同标的后在短期内将其再次出售以从短期波动中获取利润的惯例，应当将其签订的买卖标准仓单的合同视同金融工具，并按照《企业会计准则第</w:t>
      </w:r>
      <w:r>
        <w:rPr>
          <w:rFonts w:ascii="Arial Narrow" w:hAnsi="Arial Narrow" w:eastAsia="仿宋_GB2312"/>
          <w:color w:val="FF0000"/>
          <w:sz w:val="24"/>
        </w:rPr>
        <w:t>22</w:t>
      </w:r>
      <w:r>
        <w:rPr>
          <w:rFonts w:hint="eastAsia" w:ascii="Arial Narrow" w:hAnsi="Arial Narrow" w:eastAsia="仿宋_GB2312"/>
          <w:color w:val="FF0000"/>
          <w:sz w:val="24"/>
        </w:rPr>
        <w:t>号——金融工具》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w:t>
      </w:r>
    </w:p>
    <w:p w14:paraId="22430D28">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【《关于严格执行企业会计准则</w:t>
      </w:r>
      <w:r>
        <w:rPr>
          <w:rFonts w:ascii="Arial Narrow" w:hAnsi="Arial Narrow" w:eastAsia="仿宋_GB2312"/>
          <w:color w:val="0000FF"/>
          <w:kern w:val="0"/>
          <w:sz w:val="24"/>
        </w:rPr>
        <w:t xml:space="preserve"> </w:t>
      </w:r>
      <w:r>
        <w:rPr>
          <w:rFonts w:hint="eastAsia" w:ascii="Arial Narrow" w:hAnsi="Arial Narrow" w:eastAsia="仿宋_GB2312"/>
          <w:color w:val="0000FF"/>
          <w:kern w:val="0"/>
          <w:sz w:val="24"/>
        </w:rPr>
        <w:t>切实做好企业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年年报工作的通知》（财会〔</w:t>
      </w:r>
      <w:r>
        <w:rPr>
          <w:rFonts w:ascii="Arial Narrow" w:hAnsi="Arial Narrow" w:eastAsia="仿宋_GB2312"/>
          <w:color w:val="0000FF"/>
          <w:kern w:val="0"/>
          <w:sz w:val="24"/>
        </w:rPr>
        <w:t>2025</w:t>
      </w:r>
      <w:r>
        <w:rPr>
          <w:rFonts w:hint="eastAsia" w:ascii="Arial Narrow" w:hAnsi="Arial Narrow" w:eastAsia="仿宋_GB2312"/>
          <w:color w:val="0000FF"/>
          <w:kern w:val="0"/>
          <w:sz w:val="24"/>
        </w:rPr>
        <w:t>〕</w:t>
      </w:r>
      <w:r>
        <w:rPr>
          <w:rFonts w:ascii="Arial Narrow" w:hAnsi="Arial Narrow" w:eastAsia="仿宋_GB2312"/>
          <w:color w:val="0000FF"/>
          <w:kern w:val="0"/>
          <w:sz w:val="24"/>
        </w:rPr>
        <w:t>33</w:t>
      </w:r>
      <w:r>
        <w:rPr>
          <w:rFonts w:hint="eastAsia" w:ascii="Arial Narrow" w:hAnsi="Arial Narrow" w:eastAsia="仿宋_GB2312"/>
          <w:color w:val="0000FF"/>
          <w:kern w:val="0"/>
          <w:sz w:val="24"/>
        </w:rPr>
        <w:t>号）：</w:t>
      </w:r>
    </w:p>
    <w:p w14:paraId="015C73B4">
      <w:pPr>
        <w:spacing w:after="216" w:afterLines="90"/>
        <w:rPr>
          <w:rFonts w:ascii="Arial Narrow" w:hAnsi="Arial Narrow" w:eastAsia="仿宋_GB2312"/>
          <w:color w:val="0000FF"/>
          <w:kern w:val="0"/>
          <w:sz w:val="24"/>
        </w:rPr>
      </w:pPr>
      <w:r>
        <w:rPr>
          <w:rFonts w:hint="eastAsia" w:ascii="Arial Narrow" w:hAnsi="Arial Narrow" w:eastAsia="仿宋_GB2312"/>
          <w:color w:val="0000FF"/>
          <w:kern w:val="0"/>
          <w:sz w:val="24"/>
        </w:rPr>
        <w:t>根据金融工具确认计量准则，企业在期货交易场所通过频繁签订买卖标准仓单的合同以赚取差价、不提取标准仓单对应的商品实物的，通常表明企业具有收到合同标的后在短期内将其再次出售以从短期波动中获取利润的惯例，企业应当将其签订的买卖标准仓单的合同视同金融工具，并按照金融工具确认计量准则的规定进行会计处理。企业按照前述合同约定取得标准仓单后短期内再将其出售的，不应确认销售收入，而应将收取的对价与所出售标准仓单的账面价值的差额计入投资收益；企业期末持有尚未出售的标准仓单的，应将其列报为其他流动资产。对于按照前述合同约定取得的标准仓单，如果能够消除或显著减少会计错配的，企业可以在初始确认时选择以公允价值计量且其变动计入当期损益，并一致应用于符合选择条件的所有标准仓单。对于初始确认时已选择以公允价值计量且其变动计入当期损益的标准仓单，企业在后续期间不得撤销该选择。</w:t>
      </w:r>
    </w:p>
    <w:p w14:paraId="52CF6E65">
      <w:pPr>
        <w:spacing w:after="216" w:afterLines="90"/>
        <w:rPr>
          <w:rFonts w:ascii="Arial Narrow" w:hAnsi="Arial Narrow" w:eastAsia="仿宋_GB2312"/>
          <w:sz w:val="24"/>
        </w:rPr>
      </w:pPr>
      <w:r>
        <w:rPr>
          <w:rFonts w:hint="eastAsia" w:ascii="Arial Narrow" w:hAnsi="Arial Narrow" w:eastAsia="仿宋_GB2312"/>
          <w:color w:val="0000FF"/>
          <w:kern w:val="0"/>
          <w:sz w:val="24"/>
        </w:rPr>
        <w:t>企业因执行上述标准仓单相关规定而调整会计处理方法的，按照《企业会计准则第</w:t>
      </w:r>
      <w:r>
        <w:rPr>
          <w:rFonts w:ascii="Arial Narrow" w:hAnsi="Arial Narrow" w:eastAsia="仿宋_GB2312"/>
          <w:color w:val="0000FF"/>
          <w:kern w:val="0"/>
          <w:sz w:val="24"/>
        </w:rPr>
        <w:t>28</w:t>
      </w:r>
      <w:r>
        <w:rPr>
          <w:rFonts w:hint="eastAsia" w:ascii="Arial Narrow" w:hAnsi="Arial Narrow" w:eastAsia="仿宋_GB2312"/>
          <w:color w:val="0000FF"/>
          <w:kern w:val="0"/>
          <w:sz w:val="24"/>
        </w:rPr>
        <w:t>号——会计政策、会计估计变更和差错更正》（财会〔</w:t>
      </w:r>
      <w:r>
        <w:rPr>
          <w:rFonts w:ascii="Arial Narrow" w:hAnsi="Arial Narrow" w:eastAsia="仿宋_GB2312"/>
          <w:color w:val="0000FF"/>
          <w:kern w:val="0"/>
          <w:sz w:val="24"/>
        </w:rPr>
        <w:t>2006</w:t>
      </w:r>
      <w:r>
        <w:rPr>
          <w:rFonts w:hint="eastAsia" w:ascii="Arial Narrow" w:hAnsi="Arial Narrow" w:eastAsia="仿宋_GB2312"/>
          <w:color w:val="0000FF"/>
          <w:kern w:val="0"/>
          <w:sz w:val="24"/>
        </w:rPr>
        <w:t>〕</w:t>
      </w:r>
      <w:r>
        <w:rPr>
          <w:rFonts w:ascii="Arial Narrow" w:hAnsi="Arial Narrow" w:eastAsia="仿宋_GB2312"/>
          <w:color w:val="0000FF"/>
          <w:kern w:val="0"/>
          <w:sz w:val="24"/>
        </w:rPr>
        <w:t>3</w:t>
      </w:r>
      <w:r>
        <w:rPr>
          <w:rFonts w:hint="eastAsia" w:ascii="Arial Narrow" w:hAnsi="Arial Narrow" w:eastAsia="仿宋_GB2312"/>
          <w:color w:val="0000FF"/>
          <w:kern w:val="0"/>
          <w:sz w:val="24"/>
        </w:rPr>
        <w:t>号）等相关规定，应当对财务报表可比期间信息进行调整，并在财务报表附注中披露相关情况。】</w:t>
      </w:r>
    </w:p>
    <w:p w14:paraId="7ACB06C2">
      <w:pPr>
        <w:spacing w:after="216" w:afterLines="90"/>
        <w:rPr>
          <w:rFonts w:ascii="Arial Narrow" w:hAnsi="Arial Narrow" w:eastAsia="仿宋_GB2312"/>
          <w:color w:val="0000FF"/>
          <w:sz w:val="24"/>
        </w:rPr>
      </w:pPr>
      <w:r>
        <w:rPr>
          <w:rFonts w:ascii="Arial Narrow" w:hAnsi="Arial Narrow" w:eastAsia="仿宋_GB2312"/>
          <w:sz w:val="24"/>
        </w:rPr>
        <w:t>会计政策变更对企业资产、所有者权益、销售收入、利润、净利润等主要指标的影响数，</w:t>
      </w:r>
      <w:r>
        <w:rPr>
          <w:rFonts w:ascii="Arial Narrow" w:hAnsi="Arial Narrow" w:eastAsia="仿宋_GB2312"/>
          <w:color w:val="0000FF"/>
          <w:sz w:val="24"/>
        </w:rPr>
        <w:t>参考：上述会计政策的变更已采用追溯调整法，调整了2025年年初留存收益及相关项目期初数，其中：xxx项目调增（减）xxx元，xxx项目调增（减）xxx元；利润表2024年度数栏，已按调整后数字填列，其中：xxx项目调增（减）xxx元，xxx项目调增（减）xxx元。上述会计政策变更的累积影响数为xxx元，其中，……。由于会计政策变更，调减了2024年度利润xxx元，净利润xxx元；调减了2025年年初留存收益xxx元，其中，未分配利润调减xxx元，盈余公积调减xxx元。</w:t>
      </w:r>
    </w:p>
    <w:p w14:paraId="346A22C8">
      <w:r>
        <w:rPr>
          <w:rFonts w:ascii="Arial Narrow" w:hAnsi="Arial Narrow" w:eastAsia="仿宋_GB2312"/>
          <w:sz w:val="24"/>
        </w:rPr>
        <w:t>说明无法进行追溯调整的事实和原因，以及开始应用变更后的会计政策的时点、具体应用情况。</w:t>
      </w:r>
    </w:p>
    <w:p w14:paraId="63FC2558">
      <w:pPr>
        <w:pStyle w:val="3"/>
        <w:spacing w:before="120" w:after="216"/>
      </w:pPr>
      <w:r>
        <w:t>会计估计变更</w:t>
      </w:r>
    </w:p>
    <w:p w14:paraId="7F788CCB">
      <w:pPr>
        <w:spacing w:after="216" w:afterLines="90"/>
        <w:rPr>
          <w:rFonts w:ascii="Arial Narrow" w:hAnsi="Arial Narrow" w:eastAsia="仿宋_GB2312"/>
          <w:sz w:val="24"/>
        </w:rPr>
      </w:pPr>
      <w:r>
        <w:rPr>
          <w:rFonts w:hint="eastAsia" w:ascii="Arial Narrow" w:hAnsi="Arial Narrow" w:eastAsia="仿宋_GB2312"/>
          <w:sz w:val="24"/>
        </w:rPr>
        <w:t>无。</w:t>
      </w:r>
    </w:p>
    <w:p w14:paraId="4EBE3E22">
      <w:pPr>
        <w:pStyle w:val="3"/>
        <w:spacing w:before="120" w:after="216"/>
      </w:pPr>
      <w:r>
        <w:rPr>
          <w:rFonts w:hint="eastAsia"/>
        </w:rPr>
        <w:t>重要</w:t>
      </w:r>
      <w:r>
        <w:t>前期差错更正</w:t>
      </w:r>
    </w:p>
    <w:p w14:paraId="0EDE4423">
      <w:pPr>
        <w:pStyle w:val="6"/>
        <w:spacing w:after="216" w:afterLines="90"/>
        <w:rPr>
          <w:rFonts w:ascii="Arial Narrow" w:hAnsi="Arial Narrow" w:eastAsia="仿宋_GB2312"/>
          <w:color w:val="0000FF"/>
          <w:kern w:val="0"/>
        </w:rPr>
      </w:pPr>
      <w:r>
        <w:rPr>
          <w:rFonts w:ascii="Arial Narrow" w:hAnsi="Arial Narrow" w:eastAsia="仿宋_GB2312"/>
          <w:color w:val="0000FF"/>
          <w:kern w:val="0"/>
        </w:rPr>
        <w:t>（应披露</w:t>
      </w:r>
      <w:r>
        <w:rPr>
          <w:rFonts w:hint="eastAsia" w:ascii="Arial Narrow" w:hAnsi="Arial Narrow" w:eastAsia="仿宋_GB2312"/>
          <w:color w:val="0000FF"/>
          <w:kern w:val="0"/>
        </w:rPr>
        <w:t>重要</w:t>
      </w:r>
      <w:r>
        <w:rPr>
          <w:rFonts w:ascii="Arial Narrow" w:hAnsi="Arial Narrow" w:eastAsia="仿宋_GB2312"/>
          <w:color w:val="0000FF"/>
          <w:kern w:val="0"/>
        </w:rPr>
        <w:t>前期差错的性质。各个列报前期财务报表中受影响的项目名称和更正金额。无法进行追溯重述的，说明该事实和原因，以及对重</w:t>
      </w:r>
      <w:r>
        <w:rPr>
          <w:rFonts w:hint="eastAsia" w:ascii="Arial Narrow" w:hAnsi="Arial Narrow" w:eastAsia="仿宋_GB2312"/>
          <w:color w:val="0000FF"/>
          <w:kern w:val="0"/>
        </w:rPr>
        <w:t>要</w:t>
      </w:r>
      <w:r>
        <w:rPr>
          <w:rFonts w:ascii="Arial Narrow" w:hAnsi="Arial Narrow" w:eastAsia="仿宋_GB2312"/>
          <w:color w:val="0000FF"/>
          <w:kern w:val="0"/>
        </w:rPr>
        <w:t>前期差错开始进行更正的时点、具体更正情况。）</w:t>
      </w:r>
    </w:p>
    <w:p w14:paraId="54375B7D">
      <w:pPr>
        <w:spacing w:after="216" w:afterLines="90"/>
        <w:rPr>
          <w:rFonts w:ascii="Arial Narrow" w:hAnsi="Arial Narrow" w:eastAsia="仿宋_GB2312"/>
          <w:sz w:val="24"/>
        </w:rPr>
      </w:pPr>
      <w:r>
        <w:rPr>
          <w:rFonts w:ascii="Arial Narrow" w:hAnsi="Arial Narrow" w:eastAsia="仿宋_GB2312"/>
          <w:sz w:val="24"/>
        </w:rPr>
        <w:t>由于更正上述重</w:t>
      </w:r>
      <w:r>
        <w:rPr>
          <w:rFonts w:hint="eastAsia" w:ascii="Arial Narrow" w:hAnsi="Arial Narrow" w:eastAsia="仿宋_GB2312"/>
          <w:sz w:val="24"/>
        </w:rPr>
        <w:t>要</w:t>
      </w:r>
      <w:r>
        <w:rPr>
          <w:rFonts w:ascii="Arial Narrow" w:hAnsi="Arial Narrow" w:eastAsia="仿宋_GB2312"/>
          <w:sz w:val="24"/>
        </w:rPr>
        <w:t>前期差错，调整了</w:t>
      </w:r>
      <w:r>
        <w:rPr>
          <w:rFonts w:ascii="Arial Narrow" w:hAnsi="Arial Narrow" w:eastAsia="仿宋_GB2312"/>
          <w:color w:val="0000FF"/>
          <w:sz w:val="24"/>
        </w:rPr>
        <w:t>2025年年初留存收益及相关项目期初数，其中：xxx项目调增（减）xxx元，xxx项目调增（减）xxx元；利润表2024</w:t>
      </w:r>
      <w:r>
        <w:rPr>
          <w:rFonts w:ascii="Arial Narrow" w:hAnsi="Arial Narrow" w:eastAsia="仿宋_GB2312"/>
          <w:color w:val="0000FF"/>
          <w:sz w:val="24"/>
        </w:rPr>
        <w:tab/>
      </w:r>
      <w:r>
        <w:rPr>
          <w:rFonts w:ascii="Arial Narrow" w:hAnsi="Arial Narrow" w:eastAsia="仿宋_GB2312"/>
          <w:color w:val="0000FF"/>
          <w:sz w:val="24"/>
        </w:rPr>
        <w:t>年度数栏，已按调整后数字填列，其中：xxx项目调增（减）xxx元，xxx项目调增（减）xxx元。调减了2024年度利润总额xxx元，净利润xxx元，调减了2025年年初留存收益xxx元，其中，未分配利润调减xxx元，盈余公积调减xxx元。</w:t>
      </w:r>
    </w:p>
    <w:p w14:paraId="6ABD9C01">
      <w:pPr>
        <w:pStyle w:val="3"/>
        <w:spacing w:before="120" w:after="216"/>
      </w:pPr>
      <w:r>
        <w:t>其他调整事项</w:t>
      </w:r>
      <w:r>
        <w:rPr>
          <w:color w:val="0000FF"/>
        </w:rPr>
        <w:t>【包括同一控制下企业合并和清产核资】</w:t>
      </w:r>
    </w:p>
    <w:p w14:paraId="0716CB27">
      <w:pPr>
        <w:spacing w:after="216" w:afterLines="90"/>
        <w:rPr>
          <w:rFonts w:ascii="Arial Narrow" w:hAnsi="Arial Narrow" w:eastAsia="仿宋_GB2312"/>
          <w:sz w:val="24"/>
        </w:rPr>
      </w:pPr>
      <w:r>
        <w:rPr>
          <w:rFonts w:ascii="Arial Narrow" w:hAnsi="Arial Narrow" w:eastAsia="仿宋_GB2312"/>
          <w:sz w:val="24"/>
        </w:rPr>
        <w:t>其他事项调整的内容和原因。</w:t>
      </w:r>
    </w:p>
    <w:p w14:paraId="107C4327">
      <w:pPr>
        <w:spacing w:after="216" w:afterLines="90"/>
        <w:rPr>
          <w:rFonts w:ascii="Arial Narrow" w:hAnsi="Arial Narrow" w:eastAsia="仿宋_GB2312"/>
          <w:sz w:val="24"/>
        </w:rPr>
      </w:pPr>
      <w:r>
        <w:rPr>
          <w:rFonts w:ascii="Arial Narrow" w:hAnsi="Arial Narrow" w:eastAsia="仿宋_GB2312"/>
          <w:sz w:val="24"/>
        </w:rPr>
        <w:t>前期财务报表中受影响的项目名称和调整金额。</w:t>
      </w:r>
    </w:p>
    <w:p w14:paraId="0A28FA8D">
      <w:pPr>
        <w:spacing w:after="216" w:afterLines="90"/>
        <w:rPr>
          <w:rFonts w:ascii="Arial Narrow" w:hAnsi="Arial Narrow" w:eastAsia="仿宋_GB2312"/>
          <w:sz w:val="24"/>
        </w:rPr>
        <w:sectPr>
          <w:headerReference r:id="rId5" w:type="first"/>
          <w:footerReference r:id="rId8" w:type="first"/>
          <w:headerReference r:id="rId3" w:type="default"/>
          <w:footerReference r:id="rId6" w:type="default"/>
          <w:headerReference r:id="rId4" w:type="even"/>
          <w:footerReference r:id="rId7" w:type="even"/>
          <w:pgSz w:w="11907" w:h="16840"/>
          <w:pgMar w:top="1814" w:right="1803" w:bottom="1440" w:left="1701" w:header="737" w:footer="737" w:gutter="0"/>
          <w:cols w:space="425" w:num="1"/>
          <w:docGrid w:linePitch="312" w:charSpace="0"/>
        </w:sectPr>
      </w:pPr>
    </w:p>
    <w:p w14:paraId="3B1B448C">
      <w:pPr>
        <w:pStyle w:val="3"/>
        <w:spacing w:before="120" w:after="216"/>
      </w:pPr>
      <w:r>
        <w:t>对期初所有者权益的累积影响</w:t>
      </w:r>
    </w:p>
    <w:tbl>
      <w:tblPr>
        <w:tblStyle w:val="12"/>
        <w:tblW w:w="14739"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2"/>
        <w:gridCol w:w="1276"/>
        <w:gridCol w:w="1559"/>
        <w:gridCol w:w="1276"/>
        <w:gridCol w:w="1276"/>
        <w:gridCol w:w="1279"/>
        <w:gridCol w:w="1276"/>
        <w:gridCol w:w="1559"/>
        <w:gridCol w:w="1277"/>
        <w:gridCol w:w="1277"/>
        <w:gridCol w:w="1272"/>
      </w:tblGrid>
      <w:tr w14:paraId="7C8BABA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single" w:color="auto" w:sz="8" w:space="0"/>
              <w:bottom w:val="nil"/>
            </w:tcBorders>
            <w:shd w:val="clear" w:color="auto" w:fill="auto"/>
            <w:vAlign w:val="center"/>
          </w:tcPr>
          <w:p w14:paraId="20218182">
            <w:pPr>
              <w:adjustRightInd w:val="0"/>
              <w:snapToGrid w:val="0"/>
              <w:rPr>
                <w:rFonts w:ascii="Arial Narrow" w:hAnsi="Arial Narrow" w:eastAsia="仿宋_GB2312"/>
                <w:b/>
                <w:szCs w:val="21"/>
              </w:rPr>
            </w:pPr>
          </w:p>
        </w:tc>
        <w:tc>
          <w:tcPr>
            <w:tcW w:w="2261" w:type="pct"/>
            <w:gridSpan w:val="5"/>
            <w:tcBorders>
              <w:top w:val="single" w:color="auto" w:sz="8" w:space="0"/>
              <w:bottom w:val="nil"/>
            </w:tcBorders>
            <w:shd w:val="clear" w:color="auto" w:fill="auto"/>
            <w:vAlign w:val="center"/>
          </w:tcPr>
          <w:p w14:paraId="4072191D">
            <w:pPr>
              <w:adjustRightInd w:val="0"/>
              <w:snapToGrid w:val="0"/>
              <w:jc w:val="center"/>
              <w:rPr>
                <w:rFonts w:ascii="Arial Narrow" w:hAnsi="Arial Narrow" w:eastAsia="仿宋_GB2312" w:cs="Arial"/>
                <w:szCs w:val="21"/>
              </w:rPr>
            </w:pPr>
            <w:r>
              <w:rPr>
                <w:rFonts w:ascii="Arial Narrow" w:hAnsi="Arial Narrow" w:eastAsia="仿宋_GB2312" w:cs="Arial"/>
                <w:b/>
                <w:color w:val="000000"/>
                <w:szCs w:val="21"/>
              </w:rPr>
              <w:t>2025.01.01</w:t>
            </w:r>
          </w:p>
        </w:tc>
        <w:tc>
          <w:tcPr>
            <w:tcW w:w="2259" w:type="pct"/>
            <w:gridSpan w:val="5"/>
            <w:tcBorders>
              <w:top w:val="single" w:color="auto" w:sz="8" w:space="0"/>
              <w:bottom w:val="nil"/>
            </w:tcBorders>
            <w:shd w:val="clear" w:color="auto" w:fill="auto"/>
            <w:vAlign w:val="center"/>
          </w:tcPr>
          <w:p w14:paraId="743A52E9">
            <w:pPr>
              <w:adjustRightInd w:val="0"/>
              <w:snapToGrid w:val="0"/>
              <w:jc w:val="center"/>
              <w:rPr>
                <w:rFonts w:ascii="Arial Narrow" w:hAnsi="Arial Narrow" w:eastAsia="仿宋_GB2312" w:cs="Arial"/>
                <w:b/>
                <w:szCs w:val="21"/>
              </w:rPr>
            </w:pPr>
            <w:r>
              <w:rPr>
                <w:rFonts w:ascii="Arial Narrow" w:hAnsi="Arial Narrow" w:eastAsia="仿宋_GB2312" w:cs="Arial"/>
                <w:b/>
                <w:color w:val="000000"/>
                <w:szCs w:val="21"/>
              </w:rPr>
              <w:t>2024.01.01</w:t>
            </w:r>
          </w:p>
        </w:tc>
      </w:tr>
      <w:tr w14:paraId="79CC271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479" w:type="pct"/>
            <w:tcBorders>
              <w:top w:val="nil"/>
              <w:bottom w:val="single" w:color="auto" w:sz="4" w:space="0"/>
            </w:tcBorders>
            <w:shd w:val="clear" w:color="auto" w:fill="auto"/>
            <w:vAlign w:val="center"/>
          </w:tcPr>
          <w:p w14:paraId="15442A6A">
            <w:pPr>
              <w:adjustRightInd w:val="0"/>
              <w:snapToGrid w:val="0"/>
              <w:rPr>
                <w:rFonts w:ascii="Arial Narrow" w:hAnsi="Arial Narrow" w:eastAsia="仿宋_GB2312"/>
                <w:b/>
                <w:szCs w:val="21"/>
              </w:rPr>
            </w:pPr>
          </w:p>
        </w:tc>
        <w:tc>
          <w:tcPr>
            <w:tcW w:w="433" w:type="pct"/>
            <w:tcBorders>
              <w:top w:val="nil"/>
              <w:bottom w:val="single" w:color="auto" w:sz="4" w:space="0"/>
            </w:tcBorders>
            <w:shd w:val="clear" w:color="auto" w:fill="auto"/>
            <w:vAlign w:val="center"/>
          </w:tcPr>
          <w:p w14:paraId="731BDFC6">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0F64A2C6">
            <w:pPr>
              <w:adjustRightInd w:val="0"/>
              <w:snapToGrid w:val="0"/>
              <w:jc w:val="right"/>
              <w:rPr>
                <w:rFonts w:ascii="Arial Narrow" w:hAnsi="Arial Narrow" w:eastAsia="仿宋_GB2312"/>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22C53284">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022FA85B">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4" w:type="pct"/>
            <w:tcBorders>
              <w:top w:val="nil"/>
              <w:bottom w:val="single" w:color="auto" w:sz="4" w:space="0"/>
            </w:tcBorders>
            <w:shd w:val="clear" w:color="auto" w:fill="auto"/>
            <w:vAlign w:val="center"/>
          </w:tcPr>
          <w:p w14:paraId="795A599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c>
          <w:tcPr>
            <w:tcW w:w="433" w:type="pct"/>
            <w:tcBorders>
              <w:top w:val="nil"/>
              <w:bottom w:val="single" w:color="auto" w:sz="4" w:space="0"/>
            </w:tcBorders>
            <w:shd w:val="clear" w:color="auto" w:fill="auto"/>
            <w:vAlign w:val="center"/>
          </w:tcPr>
          <w:p w14:paraId="1A2BC7FB">
            <w:pPr>
              <w:adjustRightInd w:val="0"/>
              <w:snapToGrid w:val="0"/>
              <w:jc w:val="right"/>
              <w:rPr>
                <w:rFonts w:ascii="Arial Narrow" w:hAnsi="Arial Narrow" w:eastAsia="仿宋_GB2312"/>
                <w:b/>
                <w:szCs w:val="21"/>
              </w:rPr>
            </w:pPr>
            <w:r>
              <w:rPr>
                <w:rFonts w:ascii="Arial Narrow" w:hAnsi="Arial Narrow" w:eastAsia="仿宋_GB2312"/>
                <w:b/>
                <w:szCs w:val="21"/>
              </w:rPr>
              <w:t>资本公积</w:t>
            </w:r>
          </w:p>
        </w:tc>
        <w:tc>
          <w:tcPr>
            <w:tcW w:w="529" w:type="pct"/>
            <w:tcBorders>
              <w:top w:val="nil"/>
              <w:bottom w:val="single" w:color="auto" w:sz="4" w:space="0"/>
            </w:tcBorders>
            <w:shd w:val="clear" w:color="auto" w:fill="auto"/>
            <w:vAlign w:val="center"/>
          </w:tcPr>
          <w:p w14:paraId="1CA3B5BD">
            <w:pPr>
              <w:adjustRightInd w:val="0"/>
              <w:snapToGrid w:val="0"/>
              <w:jc w:val="right"/>
              <w:rPr>
                <w:rFonts w:ascii="Arial Narrow" w:hAnsi="Arial Narrow" w:eastAsia="仿宋_GB2312"/>
                <w:b/>
                <w:szCs w:val="21"/>
              </w:rPr>
            </w:pPr>
            <w:r>
              <w:rPr>
                <w:rFonts w:ascii="Arial Narrow" w:hAnsi="Arial Narrow" w:eastAsia="仿宋_GB2312"/>
                <w:b/>
                <w:szCs w:val="21"/>
              </w:rPr>
              <w:t>其他综合收益</w:t>
            </w:r>
          </w:p>
        </w:tc>
        <w:tc>
          <w:tcPr>
            <w:tcW w:w="433" w:type="pct"/>
            <w:tcBorders>
              <w:top w:val="nil"/>
              <w:bottom w:val="single" w:color="auto" w:sz="4" w:space="0"/>
            </w:tcBorders>
            <w:shd w:val="clear" w:color="auto" w:fill="auto"/>
            <w:vAlign w:val="center"/>
          </w:tcPr>
          <w:p w14:paraId="4F7FC70F">
            <w:pPr>
              <w:adjustRightInd w:val="0"/>
              <w:snapToGrid w:val="0"/>
              <w:jc w:val="right"/>
              <w:rPr>
                <w:rFonts w:ascii="Arial Narrow" w:hAnsi="Arial Narrow" w:eastAsia="仿宋_GB2312"/>
                <w:b/>
                <w:szCs w:val="21"/>
              </w:rPr>
            </w:pPr>
            <w:r>
              <w:rPr>
                <w:rFonts w:ascii="Arial Narrow" w:hAnsi="Arial Narrow" w:eastAsia="仿宋_GB2312"/>
                <w:b/>
                <w:szCs w:val="21"/>
              </w:rPr>
              <w:t>专项储备</w:t>
            </w:r>
          </w:p>
        </w:tc>
        <w:tc>
          <w:tcPr>
            <w:tcW w:w="433" w:type="pct"/>
            <w:tcBorders>
              <w:top w:val="nil"/>
              <w:bottom w:val="single" w:color="auto" w:sz="4" w:space="0"/>
            </w:tcBorders>
            <w:shd w:val="clear" w:color="auto" w:fill="auto"/>
            <w:vAlign w:val="center"/>
          </w:tcPr>
          <w:p w14:paraId="74047B83">
            <w:pPr>
              <w:adjustRightInd w:val="0"/>
              <w:snapToGrid w:val="0"/>
              <w:jc w:val="right"/>
              <w:rPr>
                <w:rFonts w:ascii="Arial Narrow" w:hAnsi="Arial Narrow" w:eastAsia="仿宋_GB2312"/>
                <w:b/>
                <w:szCs w:val="21"/>
              </w:rPr>
            </w:pPr>
            <w:r>
              <w:rPr>
                <w:rFonts w:ascii="Arial Narrow" w:hAnsi="Arial Narrow" w:eastAsia="仿宋_GB2312"/>
                <w:b/>
                <w:szCs w:val="21"/>
              </w:rPr>
              <w:t>盈余公积</w:t>
            </w:r>
          </w:p>
        </w:tc>
        <w:tc>
          <w:tcPr>
            <w:tcW w:w="432" w:type="pct"/>
            <w:tcBorders>
              <w:top w:val="nil"/>
              <w:bottom w:val="single" w:color="auto" w:sz="4" w:space="0"/>
            </w:tcBorders>
            <w:shd w:val="clear" w:color="auto" w:fill="auto"/>
            <w:vAlign w:val="center"/>
          </w:tcPr>
          <w:p w14:paraId="6B035476">
            <w:pPr>
              <w:adjustRightInd w:val="0"/>
              <w:snapToGrid w:val="0"/>
              <w:jc w:val="right"/>
              <w:rPr>
                <w:rFonts w:ascii="Arial Narrow" w:hAnsi="Arial Narrow" w:eastAsia="仿宋_GB2312"/>
                <w:b/>
                <w:szCs w:val="21"/>
              </w:rPr>
            </w:pPr>
            <w:r>
              <w:rPr>
                <w:rFonts w:ascii="Arial Narrow" w:hAnsi="Arial Narrow" w:eastAsia="仿宋_GB2312"/>
                <w:b/>
                <w:szCs w:val="21"/>
              </w:rPr>
              <w:t>未分配利润</w:t>
            </w:r>
          </w:p>
        </w:tc>
      </w:tr>
      <w:tr w14:paraId="0A0C3F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tcBorders>
              <w:top w:val="single" w:color="auto" w:sz="4" w:space="0"/>
            </w:tcBorders>
            <w:vAlign w:val="center"/>
          </w:tcPr>
          <w:p w14:paraId="28041FFB">
            <w:pPr>
              <w:adjustRightInd w:val="0"/>
              <w:snapToGrid w:val="0"/>
              <w:rPr>
                <w:rFonts w:ascii="Arial Narrow" w:hAnsi="Arial Narrow" w:eastAsia="仿宋_GB2312"/>
                <w:szCs w:val="21"/>
              </w:rPr>
            </w:pPr>
            <w:r>
              <w:rPr>
                <w:rFonts w:ascii="Arial Narrow" w:hAnsi="Arial Narrow" w:eastAsia="仿宋_GB2312"/>
                <w:szCs w:val="21"/>
              </w:rPr>
              <w:t>追溯调整前余额</w:t>
            </w:r>
          </w:p>
        </w:tc>
        <w:tc>
          <w:tcPr>
            <w:tcW w:w="433" w:type="pct"/>
            <w:tcBorders>
              <w:top w:val="single" w:color="auto" w:sz="4" w:space="0"/>
            </w:tcBorders>
            <w:vAlign w:val="center"/>
          </w:tcPr>
          <w:p w14:paraId="414BA172">
            <w:pPr>
              <w:jc w:val="right"/>
              <w:rPr>
                <w:rFonts w:ascii="Arial Narrow" w:hAnsi="Arial Narrow" w:eastAsia="仿宋_GB2312"/>
              </w:rPr>
            </w:pPr>
          </w:p>
        </w:tc>
        <w:tc>
          <w:tcPr>
            <w:tcW w:w="529" w:type="pct"/>
            <w:tcBorders>
              <w:top w:val="single" w:color="auto" w:sz="4" w:space="0"/>
            </w:tcBorders>
            <w:vAlign w:val="center"/>
          </w:tcPr>
          <w:p w14:paraId="0D7D7446">
            <w:pPr>
              <w:jc w:val="right"/>
              <w:rPr>
                <w:rFonts w:ascii="Arial Narrow" w:hAnsi="Arial Narrow" w:eastAsia="仿宋_GB2312"/>
              </w:rPr>
            </w:pPr>
          </w:p>
        </w:tc>
        <w:tc>
          <w:tcPr>
            <w:tcW w:w="433" w:type="pct"/>
            <w:tcBorders>
              <w:top w:val="single" w:color="auto" w:sz="4" w:space="0"/>
            </w:tcBorders>
            <w:vAlign w:val="center"/>
          </w:tcPr>
          <w:p w14:paraId="20E25D73">
            <w:pPr>
              <w:jc w:val="right"/>
              <w:rPr>
                <w:rFonts w:ascii="Arial Narrow" w:hAnsi="Arial Narrow" w:eastAsia="仿宋_GB2312"/>
              </w:rPr>
            </w:pPr>
          </w:p>
        </w:tc>
        <w:tc>
          <w:tcPr>
            <w:tcW w:w="433" w:type="pct"/>
            <w:tcBorders>
              <w:top w:val="single" w:color="auto" w:sz="4" w:space="0"/>
            </w:tcBorders>
            <w:vAlign w:val="center"/>
          </w:tcPr>
          <w:p w14:paraId="2727CB36">
            <w:pPr>
              <w:jc w:val="right"/>
              <w:rPr>
                <w:rFonts w:ascii="Arial Narrow" w:hAnsi="Arial Narrow" w:eastAsia="仿宋_GB2312"/>
              </w:rPr>
            </w:pPr>
          </w:p>
        </w:tc>
        <w:tc>
          <w:tcPr>
            <w:tcW w:w="434" w:type="pct"/>
            <w:tcBorders>
              <w:top w:val="single" w:color="auto" w:sz="4" w:space="0"/>
            </w:tcBorders>
            <w:vAlign w:val="center"/>
          </w:tcPr>
          <w:p w14:paraId="3CABA691">
            <w:pPr>
              <w:jc w:val="right"/>
              <w:rPr>
                <w:rFonts w:ascii="Arial Narrow" w:hAnsi="Arial Narrow" w:eastAsia="仿宋_GB2312"/>
              </w:rPr>
            </w:pPr>
          </w:p>
        </w:tc>
        <w:tc>
          <w:tcPr>
            <w:tcW w:w="433" w:type="pct"/>
            <w:tcBorders>
              <w:top w:val="single" w:color="auto" w:sz="4" w:space="0"/>
            </w:tcBorders>
            <w:vAlign w:val="center"/>
          </w:tcPr>
          <w:p w14:paraId="2021DB40">
            <w:pPr>
              <w:jc w:val="right"/>
              <w:rPr>
                <w:rFonts w:ascii="Arial Narrow" w:hAnsi="Arial Narrow" w:eastAsia="仿宋_GB2312"/>
              </w:rPr>
            </w:pPr>
          </w:p>
        </w:tc>
        <w:tc>
          <w:tcPr>
            <w:tcW w:w="529" w:type="pct"/>
            <w:tcBorders>
              <w:top w:val="single" w:color="auto" w:sz="4" w:space="0"/>
            </w:tcBorders>
            <w:vAlign w:val="center"/>
          </w:tcPr>
          <w:p w14:paraId="4DE4E02B">
            <w:pPr>
              <w:jc w:val="right"/>
              <w:rPr>
                <w:rFonts w:ascii="Arial Narrow" w:hAnsi="Arial Narrow" w:eastAsia="仿宋_GB2312"/>
              </w:rPr>
            </w:pPr>
          </w:p>
        </w:tc>
        <w:tc>
          <w:tcPr>
            <w:tcW w:w="433" w:type="pct"/>
            <w:tcBorders>
              <w:top w:val="single" w:color="auto" w:sz="4" w:space="0"/>
            </w:tcBorders>
            <w:vAlign w:val="center"/>
          </w:tcPr>
          <w:p w14:paraId="6078BB1E">
            <w:pPr>
              <w:jc w:val="right"/>
              <w:rPr>
                <w:rFonts w:ascii="Arial Narrow" w:hAnsi="Arial Narrow" w:eastAsia="仿宋_GB2312"/>
              </w:rPr>
            </w:pPr>
          </w:p>
        </w:tc>
        <w:tc>
          <w:tcPr>
            <w:tcW w:w="433" w:type="pct"/>
            <w:tcBorders>
              <w:top w:val="single" w:color="auto" w:sz="4" w:space="0"/>
            </w:tcBorders>
            <w:vAlign w:val="center"/>
          </w:tcPr>
          <w:p w14:paraId="12AF6483">
            <w:pPr>
              <w:jc w:val="right"/>
              <w:rPr>
                <w:rFonts w:ascii="Arial Narrow" w:hAnsi="Arial Narrow" w:eastAsia="仿宋_GB2312"/>
              </w:rPr>
            </w:pPr>
          </w:p>
        </w:tc>
        <w:tc>
          <w:tcPr>
            <w:tcW w:w="432" w:type="pct"/>
            <w:tcBorders>
              <w:top w:val="single" w:color="auto" w:sz="4" w:space="0"/>
            </w:tcBorders>
            <w:vAlign w:val="center"/>
          </w:tcPr>
          <w:p w14:paraId="6DAFBDAB">
            <w:pPr>
              <w:jc w:val="right"/>
              <w:rPr>
                <w:rFonts w:ascii="Arial Narrow" w:hAnsi="Arial Narrow" w:eastAsia="仿宋_GB2312"/>
              </w:rPr>
            </w:pPr>
          </w:p>
        </w:tc>
      </w:tr>
      <w:tr w14:paraId="498AA25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12E4983B">
            <w:pPr>
              <w:adjustRightInd w:val="0"/>
              <w:snapToGrid w:val="0"/>
              <w:rPr>
                <w:rFonts w:ascii="Arial Narrow" w:hAnsi="Arial Narrow" w:eastAsia="仿宋_GB2312"/>
                <w:szCs w:val="21"/>
              </w:rPr>
            </w:pPr>
            <w:r>
              <w:rPr>
                <w:rFonts w:ascii="Arial Narrow" w:hAnsi="Arial Narrow" w:eastAsia="仿宋_GB2312"/>
                <w:szCs w:val="21"/>
              </w:rPr>
              <w:t>会计政策追溯调整</w:t>
            </w:r>
          </w:p>
        </w:tc>
        <w:tc>
          <w:tcPr>
            <w:tcW w:w="433" w:type="pct"/>
            <w:vAlign w:val="center"/>
          </w:tcPr>
          <w:p w14:paraId="66B0D890">
            <w:pPr>
              <w:jc w:val="right"/>
              <w:rPr>
                <w:rFonts w:ascii="Arial Narrow" w:hAnsi="Arial Narrow" w:eastAsia="仿宋_GB2312"/>
              </w:rPr>
            </w:pPr>
          </w:p>
        </w:tc>
        <w:tc>
          <w:tcPr>
            <w:tcW w:w="529" w:type="pct"/>
            <w:vAlign w:val="center"/>
          </w:tcPr>
          <w:p w14:paraId="2970F0F1">
            <w:pPr>
              <w:jc w:val="right"/>
              <w:rPr>
                <w:rFonts w:ascii="Arial Narrow" w:hAnsi="Arial Narrow" w:eastAsia="仿宋_GB2312"/>
              </w:rPr>
            </w:pPr>
          </w:p>
        </w:tc>
        <w:tc>
          <w:tcPr>
            <w:tcW w:w="433" w:type="pct"/>
            <w:vAlign w:val="center"/>
          </w:tcPr>
          <w:p w14:paraId="6CD82537">
            <w:pPr>
              <w:jc w:val="right"/>
              <w:rPr>
                <w:rFonts w:ascii="Arial Narrow" w:hAnsi="Arial Narrow" w:eastAsia="仿宋_GB2312"/>
              </w:rPr>
            </w:pPr>
          </w:p>
        </w:tc>
        <w:tc>
          <w:tcPr>
            <w:tcW w:w="433" w:type="pct"/>
            <w:vAlign w:val="center"/>
          </w:tcPr>
          <w:p w14:paraId="3B189CC0">
            <w:pPr>
              <w:jc w:val="right"/>
              <w:rPr>
                <w:rFonts w:ascii="Arial Narrow" w:hAnsi="Arial Narrow" w:eastAsia="仿宋_GB2312"/>
              </w:rPr>
            </w:pPr>
          </w:p>
        </w:tc>
        <w:tc>
          <w:tcPr>
            <w:tcW w:w="434" w:type="pct"/>
            <w:vAlign w:val="center"/>
          </w:tcPr>
          <w:p w14:paraId="3A424FA3">
            <w:pPr>
              <w:jc w:val="right"/>
              <w:rPr>
                <w:rFonts w:ascii="Arial Narrow" w:hAnsi="Arial Narrow" w:eastAsia="仿宋_GB2312"/>
              </w:rPr>
            </w:pPr>
          </w:p>
        </w:tc>
        <w:tc>
          <w:tcPr>
            <w:tcW w:w="433" w:type="pct"/>
            <w:vAlign w:val="center"/>
          </w:tcPr>
          <w:p w14:paraId="1CF5EA8C">
            <w:pPr>
              <w:jc w:val="right"/>
              <w:rPr>
                <w:rFonts w:ascii="Arial Narrow" w:hAnsi="Arial Narrow" w:eastAsia="仿宋_GB2312"/>
              </w:rPr>
            </w:pPr>
          </w:p>
        </w:tc>
        <w:tc>
          <w:tcPr>
            <w:tcW w:w="529" w:type="pct"/>
            <w:vAlign w:val="center"/>
          </w:tcPr>
          <w:p w14:paraId="2133B788">
            <w:pPr>
              <w:jc w:val="right"/>
              <w:rPr>
                <w:rFonts w:ascii="Arial Narrow" w:hAnsi="Arial Narrow" w:eastAsia="仿宋_GB2312"/>
              </w:rPr>
            </w:pPr>
          </w:p>
        </w:tc>
        <w:tc>
          <w:tcPr>
            <w:tcW w:w="433" w:type="pct"/>
            <w:vAlign w:val="center"/>
          </w:tcPr>
          <w:p w14:paraId="5814987F">
            <w:pPr>
              <w:jc w:val="right"/>
              <w:rPr>
                <w:rFonts w:ascii="Arial Narrow" w:hAnsi="Arial Narrow" w:eastAsia="仿宋_GB2312"/>
              </w:rPr>
            </w:pPr>
          </w:p>
        </w:tc>
        <w:tc>
          <w:tcPr>
            <w:tcW w:w="433" w:type="pct"/>
            <w:vAlign w:val="center"/>
          </w:tcPr>
          <w:p w14:paraId="292B33E7">
            <w:pPr>
              <w:jc w:val="right"/>
              <w:rPr>
                <w:rFonts w:ascii="Arial Narrow" w:hAnsi="Arial Narrow" w:eastAsia="仿宋_GB2312"/>
              </w:rPr>
            </w:pPr>
          </w:p>
        </w:tc>
        <w:tc>
          <w:tcPr>
            <w:tcW w:w="432" w:type="pct"/>
            <w:vAlign w:val="center"/>
          </w:tcPr>
          <w:p w14:paraId="7972F0BE">
            <w:pPr>
              <w:jc w:val="right"/>
              <w:rPr>
                <w:rFonts w:ascii="Arial Narrow" w:hAnsi="Arial Narrow" w:eastAsia="仿宋_GB2312"/>
              </w:rPr>
            </w:pPr>
          </w:p>
        </w:tc>
      </w:tr>
      <w:tr w14:paraId="0A35FAA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668273B7">
            <w:pPr>
              <w:adjustRightInd w:val="0"/>
              <w:snapToGrid w:val="0"/>
              <w:rPr>
                <w:rFonts w:ascii="Arial Narrow" w:hAnsi="Arial Narrow" w:eastAsia="仿宋_GB2312"/>
                <w:szCs w:val="21"/>
              </w:rPr>
            </w:pPr>
            <w:r>
              <w:rPr>
                <w:rFonts w:ascii="Arial Narrow" w:hAnsi="Arial Narrow" w:eastAsia="仿宋_GB2312"/>
                <w:szCs w:val="21"/>
              </w:rPr>
              <w:t>会计差错更正追溯调整</w:t>
            </w:r>
          </w:p>
        </w:tc>
        <w:tc>
          <w:tcPr>
            <w:tcW w:w="433" w:type="pct"/>
            <w:vAlign w:val="center"/>
          </w:tcPr>
          <w:p w14:paraId="359E0F58">
            <w:pPr>
              <w:jc w:val="right"/>
              <w:rPr>
                <w:rFonts w:ascii="Arial Narrow" w:hAnsi="Arial Narrow" w:eastAsia="仿宋_GB2312"/>
              </w:rPr>
            </w:pPr>
          </w:p>
        </w:tc>
        <w:tc>
          <w:tcPr>
            <w:tcW w:w="529" w:type="pct"/>
            <w:vAlign w:val="center"/>
          </w:tcPr>
          <w:p w14:paraId="0BBF70F9">
            <w:pPr>
              <w:jc w:val="right"/>
              <w:rPr>
                <w:rFonts w:ascii="Arial Narrow" w:hAnsi="Arial Narrow" w:eastAsia="仿宋_GB2312"/>
              </w:rPr>
            </w:pPr>
          </w:p>
        </w:tc>
        <w:tc>
          <w:tcPr>
            <w:tcW w:w="433" w:type="pct"/>
            <w:vAlign w:val="center"/>
          </w:tcPr>
          <w:p w14:paraId="4A5DB74E">
            <w:pPr>
              <w:jc w:val="right"/>
              <w:rPr>
                <w:rFonts w:ascii="Arial Narrow" w:hAnsi="Arial Narrow" w:eastAsia="仿宋_GB2312"/>
              </w:rPr>
            </w:pPr>
          </w:p>
        </w:tc>
        <w:tc>
          <w:tcPr>
            <w:tcW w:w="433" w:type="pct"/>
            <w:vAlign w:val="center"/>
          </w:tcPr>
          <w:p w14:paraId="084E03AE">
            <w:pPr>
              <w:jc w:val="right"/>
              <w:rPr>
                <w:rFonts w:ascii="Arial Narrow" w:hAnsi="Arial Narrow" w:eastAsia="仿宋_GB2312"/>
              </w:rPr>
            </w:pPr>
          </w:p>
        </w:tc>
        <w:tc>
          <w:tcPr>
            <w:tcW w:w="434" w:type="pct"/>
            <w:vAlign w:val="center"/>
          </w:tcPr>
          <w:p w14:paraId="33EFE39B">
            <w:pPr>
              <w:jc w:val="right"/>
              <w:rPr>
                <w:rFonts w:ascii="Arial Narrow" w:hAnsi="Arial Narrow" w:eastAsia="仿宋_GB2312"/>
              </w:rPr>
            </w:pPr>
          </w:p>
        </w:tc>
        <w:tc>
          <w:tcPr>
            <w:tcW w:w="433" w:type="pct"/>
            <w:vAlign w:val="center"/>
          </w:tcPr>
          <w:p w14:paraId="14FB9065">
            <w:pPr>
              <w:jc w:val="right"/>
              <w:rPr>
                <w:rFonts w:ascii="Arial Narrow" w:hAnsi="Arial Narrow" w:eastAsia="仿宋_GB2312"/>
              </w:rPr>
            </w:pPr>
          </w:p>
        </w:tc>
        <w:tc>
          <w:tcPr>
            <w:tcW w:w="529" w:type="pct"/>
            <w:vAlign w:val="center"/>
          </w:tcPr>
          <w:p w14:paraId="11DF396D">
            <w:pPr>
              <w:jc w:val="right"/>
              <w:rPr>
                <w:rFonts w:ascii="Arial Narrow" w:hAnsi="Arial Narrow" w:eastAsia="仿宋_GB2312"/>
              </w:rPr>
            </w:pPr>
          </w:p>
        </w:tc>
        <w:tc>
          <w:tcPr>
            <w:tcW w:w="433" w:type="pct"/>
            <w:vAlign w:val="center"/>
          </w:tcPr>
          <w:p w14:paraId="3BAAD00F">
            <w:pPr>
              <w:jc w:val="right"/>
              <w:rPr>
                <w:rFonts w:ascii="Arial Narrow" w:hAnsi="Arial Narrow" w:eastAsia="仿宋_GB2312"/>
              </w:rPr>
            </w:pPr>
          </w:p>
        </w:tc>
        <w:tc>
          <w:tcPr>
            <w:tcW w:w="433" w:type="pct"/>
            <w:vAlign w:val="center"/>
          </w:tcPr>
          <w:p w14:paraId="22FC918A">
            <w:pPr>
              <w:jc w:val="right"/>
              <w:rPr>
                <w:rFonts w:ascii="Arial Narrow" w:hAnsi="Arial Narrow" w:eastAsia="仿宋_GB2312"/>
              </w:rPr>
            </w:pPr>
          </w:p>
        </w:tc>
        <w:tc>
          <w:tcPr>
            <w:tcW w:w="432" w:type="pct"/>
            <w:vAlign w:val="center"/>
          </w:tcPr>
          <w:p w14:paraId="4E68168D">
            <w:pPr>
              <w:jc w:val="right"/>
              <w:rPr>
                <w:rFonts w:ascii="Arial Narrow" w:hAnsi="Arial Narrow" w:eastAsia="仿宋_GB2312"/>
              </w:rPr>
            </w:pPr>
          </w:p>
        </w:tc>
      </w:tr>
      <w:tr w14:paraId="444DA7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53DD09C5">
            <w:pPr>
              <w:adjustRightInd w:val="0"/>
              <w:snapToGrid w:val="0"/>
              <w:rPr>
                <w:rFonts w:ascii="Arial Narrow" w:hAnsi="Arial Narrow" w:eastAsia="仿宋_GB2312"/>
                <w:szCs w:val="21"/>
              </w:rPr>
            </w:pPr>
            <w:r>
              <w:rPr>
                <w:rFonts w:ascii="Arial Narrow" w:hAnsi="Arial Narrow" w:eastAsia="仿宋_GB2312"/>
                <w:szCs w:val="21"/>
              </w:rPr>
              <w:t>其他</w:t>
            </w:r>
          </w:p>
        </w:tc>
        <w:tc>
          <w:tcPr>
            <w:tcW w:w="433" w:type="pct"/>
            <w:vAlign w:val="center"/>
          </w:tcPr>
          <w:p w14:paraId="61CC9A23">
            <w:pPr>
              <w:jc w:val="right"/>
              <w:rPr>
                <w:rFonts w:ascii="Arial Narrow" w:hAnsi="Arial Narrow" w:eastAsia="仿宋_GB2312"/>
              </w:rPr>
            </w:pPr>
          </w:p>
        </w:tc>
        <w:tc>
          <w:tcPr>
            <w:tcW w:w="529" w:type="pct"/>
            <w:vAlign w:val="center"/>
          </w:tcPr>
          <w:p w14:paraId="01422D2D">
            <w:pPr>
              <w:jc w:val="right"/>
              <w:rPr>
                <w:rFonts w:ascii="Arial Narrow" w:hAnsi="Arial Narrow" w:eastAsia="仿宋_GB2312"/>
              </w:rPr>
            </w:pPr>
          </w:p>
        </w:tc>
        <w:tc>
          <w:tcPr>
            <w:tcW w:w="433" w:type="pct"/>
            <w:vAlign w:val="center"/>
          </w:tcPr>
          <w:p w14:paraId="62CBBF82">
            <w:pPr>
              <w:jc w:val="right"/>
              <w:rPr>
                <w:rFonts w:ascii="Arial Narrow" w:hAnsi="Arial Narrow" w:eastAsia="仿宋_GB2312"/>
              </w:rPr>
            </w:pPr>
          </w:p>
        </w:tc>
        <w:tc>
          <w:tcPr>
            <w:tcW w:w="433" w:type="pct"/>
            <w:vAlign w:val="center"/>
          </w:tcPr>
          <w:p w14:paraId="3D7EC5DB">
            <w:pPr>
              <w:jc w:val="right"/>
              <w:rPr>
                <w:rFonts w:ascii="Arial Narrow" w:hAnsi="Arial Narrow" w:eastAsia="仿宋_GB2312"/>
              </w:rPr>
            </w:pPr>
          </w:p>
        </w:tc>
        <w:tc>
          <w:tcPr>
            <w:tcW w:w="434" w:type="pct"/>
            <w:vAlign w:val="center"/>
          </w:tcPr>
          <w:p w14:paraId="43792984">
            <w:pPr>
              <w:jc w:val="right"/>
              <w:rPr>
                <w:rFonts w:ascii="Arial Narrow" w:hAnsi="Arial Narrow" w:eastAsia="仿宋_GB2312"/>
              </w:rPr>
            </w:pPr>
          </w:p>
        </w:tc>
        <w:tc>
          <w:tcPr>
            <w:tcW w:w="433" w:type="pct"/>
            <w:vAlign w:val="center"/>
          </w:tcPr>
          <w:p w14:paraId="1A3A8752">
            <w:pPr>
              <w:jc w:val="right"/>
              <w:rPr>
                <w:rFonts w:ascii="Arial Narrow" w:hAnsi="Arial Narrow" w:eastAsia="仿宋_GB2312"/>
              </w:rPr>
            </w:pPr>
          </w:p>
        </w:tc>
        <w:tc>
          <w:tcPr>
            <w:tcW w:w="529" w:type="pct"/>
            <w:vAlign w:val="center"/>
          </w:tcPr>
          <w:p w14:paraId="52660A83">
            <w:pPr>
              <w:jc w:val="right"/>
              <w:rPr>
                <w:rFonts w:ascii="Arial Narrow" w:hAnsi="Arial Narrow" w:eastAsia="仿宋_GB2312"/>
              </w:rPr>
            </w:pPr>
          </w:p>
        </w:tc>
        <w:tc>
          <w:tcPr>
            <w:tcW w:w="433" w:type="pct"/>
            <w:vAlign w:val="center"/>
          </w:tcPr>
          <w:p w14:paraId="2FAE267F">
            <w:pPr>
              <w:jc w:val="right"/>
              <w:rPr>
                <w:rFonts w:ascii="Arial Narrow" w:hAnsi="Arial Narrow" w:eastAsia="仿宋_GB2312"/>
              </w:rPr>
            </w:pPr>
          </w:p>
        </w:tc>
        <w:tc>
          <w:tcPr>
            <w:tcW w:w="433" w:type="pct"/>
            <w:vAlign w:val="center"/>
          </w:tcPr>
          <w:p w14:paraId="4707A6FC">
            <w:pPr>
              <w:jc w:val="right"/>
              <w:rPr>
                <w:rFonts w:ascii="Arial Narrow" w:hAnsi="Arial Narrow" w:eastAsia="仿宋_GB2312"/>
              </w:rPr>
            </w:pPr>
          </w:p>
        </w:tc>
        <w:tc>
          <w:tcPr>
            <w:tcW w:w="432" w:type="pct"/>
            <w:vAlign w:val="center"/>
          </w:tcPr>
          <w:p w14:paraId="0B9DEB04">
            <w:pPr>
              <w:jc w:val="right"/>
              <w:rPr>
                <w:rFonts w:ascii="Arial Narrow" w:hAnsi="Arial Narrow" w:eastAsia="仿宋_GB2312"/>
              </w:rPr>
            </w:pPr>
          </w:p>
        </w:tc>
      </w:tr>
      <w:tr w14:paraId="02C1BA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479" w:type="pct"/>
            <w:vAlign w:val="center"/>
          </w:tcPr>
          <w:p w14:paraId="72176326">
            <w:pPr>
              <w:adjustRightInd w:val="0"/>
              <w:snapToGrid w:val="0"/>
              <w:rPr>
                <w:rFonts w:ascii="Arial Narrow" w:hAnsi="Arial Narrow" w:eastAsia="仿宋_GB2312"/>
                <w:szCs w:val="21"/>
              </w:rPr>
            </w:pPr>
            <w:r>
              <w:rPr>
                <w:rFonts w:ascii="Arial Narrow" w:hAnsi="Arial Narrow" w:eastAsia="仿宋_GB2312"/>
                <w:szCs w:val="21"/>
              </w:rPr>
              <w:t>追溯调整后余额</w:t>
            </w:r>
          </w:p>
        </w:tc>
        <w:tc>
          <w:tcPr>
            <w:tcW w:w="433" w:type="pct"/>
            <w:vAlign w:val="center"/>
          </w:tcPr>
          <w:p w14:paraId="06439B86">
            <w:pPr>
              <w:jc w:val="right"/>
              <w:rPr>
                <w:rFonts w:ascii="Arial Narrow" w:hAnsi="Arial Narrow" w:eastAsia="仿宋_GB2312"/>
              </w:rPr>
            </w:pPr>
          </w:p>
        </w:tc>
        <w:tc>
          <w:tcPr>
            <w:tcW w:w="529" w:type="pct"/>
            <w:vAlign w:val="center"/>
          </w:tcPr>
          <w:p w14:paraId="6AB21AC0">
            <w:pPr>
              <w:jc w:val="right"/>
              <w:rPr>
                <w:rFonts w:ascii="Arial Narrow" w:hAnsi="Arial Narrow" w:eastAsia="仿宋_GB2312"/>
              </w:rPr>
            </w:pPr>
          </w:p>
        </w:tc>
        <w:tc>
          <w:tcPr>
            <w:tcW w:w="433" w:type="pct"/>
            <w:vAlign w:val="center"/>
          </w:tcPr>
          <w:p w14:paraId="4DB924FF">
            <w:pPr>
              <w:jc w:val="right"/>
              <w:rPr>
                <w:rFonts w:ascii="Arial Narrow" w:hAnsi="Arial Narrow" w:eastAsia="仿宋_GB2312"/>
              </w:rPr>
            </w:pPr>
          </w:p>
        </w:tc>
        <w:tc>
          <w:tcPr>
            <w:tcW w:w="433" w:type="pct"/>
            <w:vAlign w:val="center"/>
          </w:tcPr>
          <w:p w14:paraId="52CD1E08">
            <w:pPr>
              <w:jc w:val="right"/>
              <w:rPr>
                <w:rFonts w:ascii="Arial Narrow" w:hAnsi="Arial Narrow" w:eastAsia="仿宋_GB2312"/>
              </w:rPr>
            </w:pPr>
          </w:p>
        </w:tc>
        <w:tc>
          <w:tcPr>
            <w:tcW w:w="434" w:type="pct"/>
            <w:vAlign w:val="center"/>
          </w:tcPr>
          <w:p w14:paraId="2205F91E">
            <w:pPr>
              <w:jc w:val="right"/>
              <w:rPr>
                <w:rFonts w:ascii="Arial Narrow" w:hAnsi="Arial Narrow" w:eastAsia="仿宋_GB2312"/>
              </w:rPr>
            </w:pPr>
          </w:p>
        </w:tc>
        <w:tc>
          <w:tcPr>
            <w:tcW w:w="433" w:type="pct"/>
            <w:vAlign w:val="center"/>
          </w:tcPr>
          <w:p w14:paraId="5A32B011">
            <w:pPr>
              <w:jc w:val="right"/>
              <w:rPr>
                <w:rFonts w:ascii="Arial Narrow" w:hAnsi="Arial Narrow" w:eastAsia="仿宋_GB2312"/>
              </w:rPr>
            </w:pPr>
          </w:p>
        </w:tc>
        <w:tc>
          <w:tcPr>
            <w:tcW w:w="529" w:type="pct"/>
            <w:vAlign w:val="center"/>
          </w:tcPr>
          <w:p w14:paraId="6599508B">
            <w:pPr>
              <w:jc w:val="right"/>
              <w:rPr>
                <w:rFonts w:ascii="Arial Narrow" w:hAnsi="Arial Narrow" w:eastAsia="仿宋_GB2312"/>
              </w:rPr>
            </w:pPr>
          </w:p>
        </w:tc>
        <w:tc>
          <w:tcPr>
            <w:tcW w:w="433" w:type="pct"/>
            <w:vAlign w:val="center"/>
          </w:tcPr>
          <w:p w14:paraId="45B3D291">
            <w:pPr>
              <w:jc w:val="right"/>
              <w:rPr>
                <w:rFonts w:ascii="Arial Narrow" w:hAnsi="Arial Narrow" w:eastAsia="仿宋_GB2312"/>
              </w:rPr>
            </w:pPr>
          </w:p>
        </w:tc>
        <w:tc>
          <w:tcPr>
            <w:tcW w:w="433" w:type="pct"/>
            <w:vAlign w:val="center"/>
          </w:tcPr>
          <w:p w14:paraId="1EA1D800">
            <w:pPr>
              <w:jc w:val="right"/>
              <w:rPr>
                <w:rFonts w:ascii="Arial Narrow" w:hAnsi="Arial Narrow" w:eastAsia="仿宋_GB2312"/>
              </w:rPr>
            </w:pPr>
          </w:p>
        </w:tc>
        <w:tc>
          <w:tcPr>
            <w:tcW w:w="432" w:type="pct"/>
            <w:vAlign w:val="center"/>
          </w:tcPr>
          <w:p w14:paraId="41E82AE0">
            <w:pPr>
              <w:jc w:val="right"/>
              <w:rPr>
                <w:rFonts w:ascii="Arial Narrow" w:hAnsi="Arial Narrow" w:eastAsia="仿宋_GB2312"/>
              </w:rPr>
            </w:pPr>
          </w:p>
        </w:tc>
      </w:tr>
    </w:tbl>
    <w:p w14:paraId="5D0A7289">
      <w:pPr>
        <w:snapToGrid w:val="0"/>
        <w:spacing w:before="120" w:beforeLines="50" w:after="216" w:afterLines="90"/>
        <w:ind w:left="-1" w:leftChars="-200" w:hanging="419" w:hangingChars="174"/>
        <w:outlineLvl w:val="0"/>
        <w:rPr>
          <w:rFonts w:ascii="Arial Narrow" w:hAnsi="Arial Narrow" w:eastAsia="仿宋_GB2312"/>
          <w:b/>
          <w:sz w:val="24"/>
        </w:rPr>
        <w:sectPr>
          <w:pgSz w:w="16840" w:h="11907" w:orient="landscape"/>
          <w:pgMar w:top="1985" w:right="1134" w:bottom="1134" w:left="1701" w:header="737" w:footer="737" w:gutter="0"/>
          <w:cols w:space="425" w:num="1"/>
          <w:docGrid w:linePitch="312" w:charSpace="0"/>
        </w:sectPr>
      </w:pPr>
    </w:p>
    <w:p w14:paraId="25A39095">
      <w:pPr>
        <w:pStyle w:val="2"/>
        <w:spacing w:before="120" w:after="216"/>
      </w:pPr>
      <w:r>
        <w:t>税项</w:t>
      </w:r>
    </w:p>
    <w:p w14:paraId="0EEE77AD">
      <w:pPr>
        <w:pStyle w:val="3"/>
        <w:numPr>
          <w:ilvl w:val="1"/>
          <w:numId w:val="16"/>
        </w:numPr>
        <w:spacing w:before="120" w:after="216"/>
      </w:pPr>
      <w:r>
        <w:t>主要税种及税率</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87"/>
        <w:gridCol w:w="4292"/>
        <w:gridCol w:w="1793"/>
      </w:tblGrid>
      <w:tr w14:paraId="13F4230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973" w:type="dxa"/>
            <w:tcBorders>
              <w:top w:val="single" w:color="auto" w:sz="8" w:space="0"/>
              <w:bottom w:val="single" w:color="auto" w:sz="4" w:space="0"/>
            </w:tcBorders>
            <w:shd w:val="clear" w:color="auto" w:fill="auto"/>
            <w:vAlign w:val="center"/>
          </w:tcPr>
          <w:p w14:paraId="6D71EFA0">
            <w:pPr>
              <w:adjustRightInd w:val="0"/>
              <w:snapToGrid w:val="0"/>
              <w:rPr>
                <w:rFonts w:ascii="Arial Narrow" w:hAnsi="Arial Narrow" w:eastAsia="仿宋_GB2312"/>
                <w:b/>
                <w:szCs w:val="21"/>
              </w:rPr>
            </w:pPr>
            <w:r>
              <w:rPr>
                <w:rFonts w:ascii="Arial Narrow" w:hAnsi="Arial Narrow" w:eastAsia="仿宋_GB2312"/>
                <w:b/>
                <w:szCs w:val="21"/>
              </w:rPr>
              <w:t>税 种</w:t>
            </w:r>
          </w:p>
        </w:tc>
        <w:tc>
          <w:tcPr>
            <w:tcW w:w="4272" w:type="dxa"/>
            <w:tcBorders>
              <w:top w:val="single" w:color="auto" w:sz="8" w:space="0"/>
              <w:bottom w:val="single" w:color="auto" w:sz="4" w:space="0"/>
            </w:tcBorders>
            <w:shd w:val="clear" w:color="auto" w:fill="auto"/>
            <w:vAlign w:val="center"/>
          </w:tcPr>
          <w:p w14:paraId="4702CDC7">
            <w:pPr>
              <w:adjustRightInd w:val="0"/>
              <w:snapToGrid w:val="0"/>
              <w:rPr>
                <w:rFonts w:ascii="Arial Narrow" w:hAnsi="Arial Narrow" w:eastAsia="仿宋_GB2312"/>
                <w:b/>
                <w:szCs w:val="21"/>
              </w:rPr>
            </w:pPr>
            <w:r>
              <w:rPr>
                <w:rFonts w:ascii="Arial Narrow" w:hAnsi="Arial Narrow" w:eastAsia="仿宋_GB2312"/>
                <w:b/>
                <w:szCs w:val="21"/>
              </w:rPr>
              <w:t>计税依据</w:t>
            </w:r>
          </w:p>
        </w:tc>
        <w:tc>
          <w:tcPr>
            <w:tcW w:w="1785" w:type="dxa"/>
            <w:tcBorders>
              <w:top w:val="single" w:color="auto" w:sz="8" w:space="0"/>
              <w:bottom w:val="single" w:color="auto" w:sz="4" w:space="0"/>
            </w:tcBorders>
            <w:shd w:val="clear" w:color="auto" w:fill="auto"/>
            <w:vAlign w:val="center"/>
          </w:tcPr>
          <w:p w14:paraId="519D207C">
            <w:pPr>
              <w:adjustRightInd w:val="0"/>
              <w:snapToGrid w:val="0"/>
              <w:jc w:val="right"/>
              <w:rPr>
                <w:rFonts w:ascii="Arial Narrow" w:hAnsi="Arial Narrow" w:eastAsia="仿宋_GB2312"/>
                <w:b/>
                <w:szCs w:val="21"/>
              </w:rPr>
            </w:pPr>
            <w:r>
              <w:rPr>
                <w:rFonts w:ascii="Arial Narrow" w:hAnsi="Arial Narrow" w:eastAsia="仿宋_GB2312"/>
                <w:b/>
                <w:szCs w:val="21"/>
              </w:rPr>
              <w:t>法定税率%</w:t>
            </w:r>
          </w:p>
        </w:tc>
      </w:tr>
      <w:tr w14:paraId="2974194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tcBorders>
              <w:top w:val="single" w:color="auto" w:sz="4" w:space="0"/>
            </w:tcBorders>
            <w:vAlign w:val="center"/>
          </w:tcPr>
          <w:p w14:paraId="17F1295A">
            <w:pPr>
              <w:adjustRightInd w:val="0"/>
              <w:snapToGrid w:val="0"/>
              <w:rPr>
                <w:rFonts w:ascii="Arial Narrow" w:hAnsi="Arial Narrow" w:eastAsia="仿宋_GB2312"/>
                <w:szCs w:val="21"/>
              </w:rPr>
            </w:pPr>
            <w:r>
              <w:rPr>
                <w:rFonts w:ascii="Arial Narrow" w:hAnsi="Arial Narrow" w:eastAsia="仿宋_GB2312"/>
                <w:szCs w:val="21"/>
              </w:rPr>
              <w:t>增值税</w:t>
            </w:r>
          </w:p>
        </w:tc>
        <w:tc>
          <w:tcPr>
            <w:tcW w:w="4272" w:type="dxa"/>
            <w:tcBorders>
              <w:top w:val="single" w:color="auto" w:sz="4" w:space="0"/>
            </w:tcBorders>
            <w:vAlign w:val="center"/>
          </w:tcPr>
          <w:p w14:paraId="19CC18B2">
            <w:pPr>
              <w:adjustRightInd w:val="0"/>
              <w:snapToGrid w:val="0"/>
              <w:rPr>
                <w:rFonts w:ascii="Arial Narrow" w:hAnsi="Arial Narrow" w:eastAsia="仿宋_GB2312"/>
                <w:szCs w:val="21"/>
              </w:rPr>
            </w:pPr>
            <w:r>
              <w:rPr>
                <w:rFonts w:hint="eastAsia" w:ascii="Arial Narrow" w:hAnsi="Arial Narrow" w:eastAsia="仿宋_GB2312"/>
                <w:szCs w:val="21"/>
              </w:rPr>
              <w:t>应纳税增值额（应纳税额按应纳税销售额乘以适用税率扣除当期允许抵扣的进项税后的余额计算）</w:t>
            </w:r>
          </w:p>
        </w:tc>
        <w:tc>
          <w:tcPr>
            <w:tcW w:w="1785" w:type="dxa"/>
            <w:tcBorders>
              <w:top w:val="single" w:color="auto" w:sz="4" w:space="0"/>
            </w:tcBorders>
            <w:vAlign w:val="center"/>
          </w:tcPr>
          <w:p w14:paraId="45DC2494">
            <w:pPr>
              <w:jc w:val="right"/>
              <w:rPr>
                <w:rFonts w:ascii="Arial Narrow" w:hAnsi="Arial Narrow" w:eastAsia="仿宋_GB2312"/>
                <w:color w:val="FF0000"/>
              </w:rPr>
            </w:pPr>
            <w:r>
              <w:rPr>
                <w:rFonts w:ascii="Arial Narrow" w:hAnsi="Arial Narrow" w:eastAsia="仿宋_GB2312"/>
                <w:color w:val="FF0000"/>
              </w:rPr>
              <w:t>13</w:t>
            </w:r>
          </w:p>
        </w:tc>
      </w:tr>
      <w:tr w14:paraId="2AA020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vAlign w:val="center"/>
          </w:tcPr>
          <w:p w14:paraId="65FABEFD">
            <w:pPr>
              <w:adjustRightInd w:val="0"/>
              <w:snapToGrid w:val="0"/>
              <w:rPr>
                <w:rFonts w:ascii="Arial Narrow" w:hAnsi="Arial Narrow" w:eastAsia="仿宋_GB2312"/>
                <w:szCs w:val="21"/>
              </w:rPr>
            </w:pPr>
            <w:r>
              <w:rPr>
                <w:rFonts w:ascii="Arial Narrow" w:hAnsi="Arial Narrow" w:eastAsia="仿宋_GB2312" w:cs="Arial"/>
                <w:szCs w:val="21"/>
              </w:rPr>
              <w:t>城市维护建设税</w:t>
            </w:r>
          </w:p>
        </w:tc>
        <w:tc>
          <w:tcPr>
            <w:tcW w:w="4272" w:type="dxa"/>
            <w:vAlign w:val="center"/>
          </w:tcPr>
          <w:p w14:paraId="5F7DD5F6">
            <w:pPr>
              <w:adjustRightInd w:val="0"/>
              <w:snapToGrid w:val="0"/>
              <w:rPr>
                <w:rFonts w:ascii="Arial Narrow" w:hAnsi="Arial Narrow" w:eastAsia="仿宋_GB2312"/>
                <w:szCs w:val="21"/>
              </w:rPr>
            </w:pPr>
            <w:r>
              <w:rPr>
                <w:rFonts w:hint="eastAsia" w:ascii="Arial Narrow" w:hAnsi="Arial Narrow" w:eastAsia="仿宋_GB2312" w:cs="Arial"/>
                <w:szCs w:val="21"/>
              </w:rPr>
              <w:t>实际缴纳的流转税额</w:t>
            </w:r>
          </w:p>
        </w:tc>
        <w:tc>
          <w:tcPr>
            <w:tcW w:w="1785" w:type="dxa"/>
            <w:vAlign w:val="center"/>
          </w:tcPr>
          <w:p w14:paraId="79862757">
            <w:pPr>
              <w:jc w:val="right"/>
              <w:rPr>
                <w:rFonts w:ascii="Arial Narrow" w:hAnsi="Arial Narrow" w:eastAsia="仿宋_GB2312"/>
                <w:color w:val="FF0000"/>
              </w:rPr>
            </w:pPr>
            <w:r>
              <w:rPr>
                <w:rFonts w:ascii="Arial Narrow" w:hAnsi="Arial Narrow" w:eastAsia="仿宋_GB2312"/>
                <w:color w:val="FF0000"/>
              </w:rPr>
              <w:t>7</w:t>
            </w:r>
          </w:p>
        </w:tc>
      </w:tr>
      <w:tr w14:paraId="61FE152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973" w:type="dxa"/>
            <w:vAlign w:val="center"/>
          </w:tcPr>
          <w:p w14:paraId="5C173D66">
            <w:pPr>
              <w:adjustRightInd w:val="0"/>
              <w:snapToGrid w:val="0"/>
              <w:rPr>
                <w:rFonts w:ascii="Arial Narrow" w:hAnsi="Arial Narrow" w:eastAsia="仿宋_GB2312"/>
                <w:szCs w:val="21"/>
              </w:rPr>
            </w:pPr>
            <w:r>
              <w:rPr>
                <w:rFonts w:ascii="Arial Narrow" w:hAnsi="Arial Narrow" w:eastAsia="仿宋_GB2312" w:cs="Arial"/>
                <w:szCs w:val="21"/>
              </w:rPr>
              <w:t>企业所得税</w:t>
            </w:r>
          </w:p>
        </w:tc>
        <w:tc>
          <w:tcPr>
            <w:tcW w:w="4272" w:type="dxa"/>
            <w:vAlign w:val="center"/>
          </w:tcPr>
          <w:p w14:paraId="029B6599">
            <w:pPr>
              <w:adjustRightInd w:val="0"/>
              <w:snapToGrid w:val="0"/>
              <w:rPr>
                <w:rFonts w:ascii="Arial Narrow" w:hAnsi="Arial Narrow" w:eastAsia="仿宋_GB2312"/>
                <w:szCs w:val="21"/>
              </w:rPr>
            </w:pPr>
            <w:r>
              <w:rPr>
                <w:rFonts w:ascii="Arial Narrow" w:hAnsi="Arial Narrow" w:eastAsia="仿宋_GB2312" w:cs="Arial"/>
                <w:szCs w:val="21"/>
              </w:rPr>
              <w:t>应纳税所得额</w:t>
            </w:r>
          </w:p>
        </w:tc>
        <w:tc>
          <w:tcPr>
            <w:tcW w:w="1785" w:type="dxa"/>
            <w:vAlign w:val="center"/>
          </w:tcPr>
          <w:p w14:paraId="1E955582">
            <w:pPr>
              <w:jc w:val="right"/>
              <w:rPr>
                <w:rFonts w:ascii="Arial Narrow" w:hAnsi="Arial Narrow" w:eastAsia="仿宋_GB2312"/>
                <w:color w:val="FF0000"/>
              </w:rPr>
            </w:pPr>
            <w:r>
              <w:rPr>
                <w:rFonts w:ascii="Arial Narrow" w:hAnsi="Arial Narrow" w:eastAsia="仿宋_GB2312"/>
                <w:color w:val="FF0000"/>
              </w:rPr>
              <w:t>25</w:t>
            </w:r>
          </w:p>
        </w:tc>
      </w:tr>
      <w:tr w14:paraId="61F504B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973" w:type="dxa"/>
            <w:vAlign w:val="center"/>
          </w:tcPr>
          <w:p w14:paraId="6B7F2B9F">
            <w:pPr>
              <w:adjustRightInd w:val="0"/>
              <w:snapToGrid w:val="0"/>
              <w:rPr>
                <w:rFonts w:ascii="Arial Narrow" w:hAnsi="Arial Narrow" w:eastAsia="仿宋_GB2312"/>
                <w:szCs w:val="21"/>
                <w:highlight w:val="yellow"/>
              </w:rPr>
            </w:pPr>
          </w:p>
        </w:tc>
        <w:tc>
          <w:tcPr>
            <w:tcW w:w="4272" w:type="dxa"/>
            <w:vAlign w:val="center"/>
          </w:tcPr>
          <w:p w14:paraId="08B96F85">
            <w:pPr>
              <w:adjustRightInd w:val="0"/>
              <w:snapToGrid w:val="0"/>
              <w:rPr>
                <w:rFonts w:ascii="Arial Narrow" w:hAnsi="Arial Narrow" w:eastAsia="仿宋_GB2312"/>
                <w:szCs w:val="21"/>
                <w:highlight w:val="yellow"/>
              </w:rPr>
            </w:pPr>
          </w:p>
        </w:tc>
        <w:tc>
          <w:tcPr>
            <w:tcW w:w="1785" w:type="dxa"/>
            <w:vAlign w:val="center"/>
          </w:tcPr>
          <w:p w14:paraId="4CF8056D">
            <w:pPr>
              <w:jc w:val="right"/>
              <w:rPr>
                <w:rFonts w:ascii="Arial Narrow" w:hAnsi="Arial Narrow" w:eastAsia="仿宋_GB2312"/>
                <w:color w:val="FF0000"/>
                <w:highlight w:val="yellow"/>
              </w:rPr>
            </w:pPr>
          </w:p>
        </w:tc>
      </w:tr>
    </w:tbl>
    <w:p w14:paraId="0FC272FE">
      <w:pPr>
        <w:snapToGrid w:val="0"/>
        <w:spacing w:before="120" w:beforeLines="50" w:after="216" w:afterLines="90"/>
        <w:rPr>
          <w:rFonts w:ascii="Arial Narrow" w:hAnsi="Arial Narrow" w:eastAsia="仿宋_GB2312"/>
          <w:color w:val="0000FF"/>
          <w:sz w:val="24"/>
        </w:rPr>
      </w:pPr>
      <w:r>
        <w:rPr>
          <w:rFonts w:ascii="Arial Narrow" w:hAnsi="Arial Narrow" w:eastAsia="仿宋_GB2312"/>
          <w:color w:val="0000FF"/>
          <w:sz w:val="24"/>
        </w:rPr>
        <w:t>（各分公司、分厂异地独立缴纳所得税的，应说明各分公司、分厂执行的所得税税率。说明本期内所得税税率的变化、税率优惠政策，若税率、税率优惠政策较上期没有发生变化，也应说明。）</w:t>
      </w:r>
    </w:p>
    <w:p w14:paraId="31C22895">
      <w:pPr>
        <w:pStyle w:val="3"/>
        <w:spacing w:before="120" w:after="216"/>
      </w:pPr>
      <w:r>
        <w:t>优惠税负及批文</w:t>
      </w:r>
    </w:p>
    <w:p w14:paraId="500F89C6">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存在各税种的税负减免的，应按税种分项说明相关法律法规或政策依据、批准机关、批准文号、减免幅度及有效期限。对于超过法定纳税期限尚未缴纳的税款，应列示主管税务机关的批准文件。享有高新技术企业等税收优惠政策的，应说明高新技术企业资格是否重新认定、该政策的有效期限、累计获得的税收优惠以及已获得但尚未执行的税收优惠。）</w:t>
      </w:r>
      <w:bookmarkStart w:id="11" w:name="_Ref78789622"/>
    </w:p>
    <w:p w14:paraId="59271CD2">
      <w:pPr>
        <w:pStyle w:val="2"/>
        <w:spacing w:before="120" w:after="216"/>
      </w:pPr>
      <w:r>
        <w:t>财务报表主要项目注释</w:t>
      </w:r>
      <w:bookmarkEnd w:id="11"/>
    </w:p>
    <w:p w14:paraId="4C917CC5"/>
    <w:p w14:paraId="0E05CFBB">
      <w:pPr>
        <w:pStyle w:val="2"/>
        <w:spacing w:before="120" w:after="216"/>
      </w:pPr>
      <w:r>
        <w:t>或有事项</w:t>
      </w:r>
    </w:p>
    <w:p w14:paraId="6CA6C6EF">
      <w:pPr>
        <w:pStyle w:val="4"/>
        <w:numPr>
          <w:ilvl w:val="0"/>
          <w:numId w:val="0"/>
        </w:numPr>
        <w:spacing w:before="120" w:after="216"/>
        <w:ind w:left="-420"/>
        <w:rPr>
          <w:b/>
          <w:color w:val="0000FF"/>
        </w:rPr>
      </w:pPr>
      <w:r>
        <w:rPr>
          <w:rFonts w:hint="eastAsia"/>
          <w:b/>
        </w:rPr>
        <w:t>1、</w:t>
      </w:r>
      <w:r>
        <w:t>或有负债</w:t>
      </w:r>
    </w:p>
    <w:p w14:paraId="552AAAF2">
      <w:pPr>
        <w:pStyle w:val="5"/>
        <w:numPr>
          <w:ilvl w:val="3"/>
          <w:numId w:val="17"/>
        </w:numPr>
      </w:pPr>
      <w:r>
        <w:t>未决诉讼仲裁形成的或有负债及其财务影响</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1769"/>
        <w:gridCol w:w="1354"/>
        <w:gridCol w:w="1352"/>
        <w:gridCol w:w="1145"/>
        <w:gridCol w:w="1250"/>
      </w:tblGrid>
      <w:tr w14:paraId="13DD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14" w:type="pct"/>
            <w:tcBorders>
              <w:top w:val="single" w:color="auto" w:sz="8" w:space="0"/>
              <w:bottom w:val="single" w:color="auto" w:sz="4" w:space="0"/>
            </w:tcBorders>
            <w:shd w:val="clear" w:color="auto" w:fill="auto"/>
            <w:vAlign w:val="center"/>
          </w:tcPr>
          <w:p w14:paraId="60ECE3F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原告</w:t>
            </w:r>
          </w:p>
        </w:tc>
        <w:tc>
          <w:tcPr>
            <w:tcW w:w="975" w:type="pct"/>
            <w:tcBorders>
              <w:top w:val="single" w:color="auto" w:sz="8" w:space="0"/>
              <w:bottom w:val="single" w:color="auto" w:sz="4" w:space="0"/>
            </w:tcBorders>
            <w:shd w:val="clear" w:color="auto" w:fill="auto"/>
            <w:vAlign w:val="center"/>
          </w:tcPr>
          <w:p w14:paraId="7AF1B98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被告</w:t>
            </w:r>
          </w:p>
        </w:tc>
        <w:tc>
          <w:tcPr>
            <w:tcW w:w="746" w:type="pct"/>
            <w:tcBorders>
              <w:top w:val="single" w:color="auto" w:sz="8" w:space="0"/>
              <w:bottom w:val="single" w:color="auto" w:sz="4" w:space="0"/>
            </w:tcBorders>
            <w:shd w:val="clear" w:color="auto" w:fill="auto"/>
            <w:vAlign w:val="center"/>
          </w:tcPr>
          <w:p w14:paraId="2667E24A">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案由</w:t>
            </w:r>
          </w:p>
        </w:tc>
        <w:tc>
          <w:tcPr>
            <w:tcW w:w="745" w:type="pct"/>
            <w:tcBorders>
              <w:top w:val="single" w:color="auto" w:sz="8" w:space="0"/>
              <w:bottom w:val="single" w:color="auto" w:sz="4" w:space="0"/>
            </w:tcBorders>
            <w:shd w:val="clear" w:color="auto" w:fill="auto"/>
            <w:vAlign w:val="center"/>
          </w:tcPr>
          <w:p w14:paraId="7A60EDCC">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受理法院</w:t>
            </w:r>
          </w:p>
        </w:tc>
        <w:tc>
          <w:tcPr>
            <w:tcW w:w="631" w:type="pct"/>
            <w:tcBorders>
              <w:top w:val="single" w:color="auto" w:sz="8" w:space="0"/>
              <w:bottom w:val="single" w:color="auto" w:sz="4" w:space="0"/>
            </w:tcBorders>
            <w:shd w:val="clear" w:color="auto" w:fill="auto"/>
            <w:vAlign w:val="center"/>
          </w:tcPr>
          <w:p w14:paraId="738F9ECC">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标的额</w:t>
            </w:r>
          </w:p>
        </w:tc>
        <w:tc>
          <w:tcPr>
            <w:tcW w:w="689" w:type="pct"/>
            <w:tcBorders>
              <w:top w:val="single" w:color="auto" w:sz="8" w:space="0"/>
              <w:bottom w:val="single" w:color="auto" w:sz="4" w:space="0"/>
            </w:tcBorders>
            <w:shd w:val="clear" w:color="auto" w:fill="auto"/>
            <w:vAlign w:val="center"/>
          </w:tcPr>
          <w:p w14:paraId="67CBE354">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案件进展情况</w:t>
            </w:r>
          </w:p>
        </w:tc>
      </w:tr>
      <w:tr w14:paraId="7819C45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tcBorders>
              <w:top w:val="single" w:color="auto" w:sz="4" w:space="0"/>
            </w:tcBorders>
            <w:shd w:val="clear" w:color="auto" w:fill="auto"/>
            <w:vAlign w:val="center"/>
          </w:tcPr>
          <w:p w14:paraId="21FCA22C">
            <w:pPr>
              <w:rPr>
                <w:rFonts w:ascii="Arial Narrow" w:hAnsi="Arial Narrow" w:eastAsia="仿宋_GB2312"/>
              </w:rPr>
            </w:pPr>
            <w:r>
              <w:rPr>
                <w:rFonts w:ascii="Arial Narrow" w:hAnsi="Arial Narrow" w:eastAsia="仿宋_GB2312"/>
              </w:rPr>
              <w:t>2023.1-X月</w:t>
            </w:r>
          </w:p>
        </w:tc>
        <w:tc>
          <w:tcPr>
            <w:tcW w:w="975" w:type="pct"/>
            <w:tcBorders>
              <w:top w:val="single" w:color="auto" w:sz="4" w:space="0"/>
            </w:tcBorders>
            <w:shd w:val="clear" w:color="auto" w:fill="auto"/>
            <w:vAlign w:val="center"/>
          </w:tcPr>
          <w:p w14:paraId="73E64647">
            <w:pPr>
              <w:rPr>
                <w:rFonts w:ascii="Arial Narrow" w:hAnsi="Arial Narrow" w:eastAsia="仿宋_GB2312"/>
              </w:rPr>
            </w:pPr>
          </w:p>
        </w:tc>
        <w:tc>
          <w:tcPr>
            <w:tcW w:w="746" w:type="pct"/>
            <w:tcBorders>
              <w:top w:val="single" w:color="auto" w:sz="4" w:space="0"/>
            </w:tcBorders>
            <w:shd w:val="clear" w:color="auto" w:fill="auto"/>
            <w:vAlign w:val="center"/>
          </w:tcPr>
          <w:p w14:paraId="6422F8E4">
            <w:pPr>
              <w:rPr>
                <w:rFonts w:ascii="Arial Narrow" w:hAnsi="Arial Narrow" w:eastAsia="仿宋_GB2312"/>
              </w:rPr>
            </w:pPr>
          </w:p>
        </w:tc>
        <w:tc>
          <w:tcPr>
            <w:tcW w:w="745" w:type="pct"/>
            <w:tcBorders>
              <w:top w:val="single" w:color="auto" w:sz="4" w:space="0"/>
            </w:tcBorders>
            <w:shd w:val="clear" w:color="auto" w:fill="auto"/>
            <w:vAlign w:val="center"/>
          </w:tcPr>
          <w:p w14:paraId="2CB340A2">
            <w:pPr>
              <w:jc w:val="right"/>
              <w:rPr>
                <w:rFonts w:ascii="Arial Narrow" w:hAnsi="Arial Narrow" w:eastAsia="仿宋_GB2312"/>
              </w:rPr>
            </w:pPr>
          </w:p>
        </w:tc>
        <w:tc>
          <w:tcPr>
            <w:tcW w:w="631" w:type="pct"/>
            <w:tcBorders>
              <w:top w:val="single" w:color="auto" w:sz="4" w:space="0"/>
            </w:tcBorders>
            <w:shd w:val="clear" w:color="auto" w:fill="auto"/>
            <w:vAlign w:val="center"/>
          </w:tcPr>
          <w:p w14:paraId="73C35FB7">
            <w:pPr>
              <w:jc w:val="right"/>
              <w:rPr>
                <w:rFonts w:ascii="Arial Narrow" w:hAnsi="Arial Narrow" w:eastAsia="仿宋_GB2312"/>
              </w:rPr>
            </w:pPr>
          </w:p>
        </w:tc>
        <w:tc>
          <w:tcPr>
            <w:tcW w:w="689" w:type="pct"/>
            <w:tcBorders>
              <w:top w:val="single" w:color="auto" w:sz="4" w:space="0"/>
            </w:tcBorders>
            <w:shd w:val="clear" w:color="auto" w:fill="auto"/>
            <w:vAlign w:val="center"/>
          </w:tcPr>
          <w:p w14:paraId="293BD9A8">
            <w:pPr>
              <w:jc w:val="right"/>
              <w:rPr>
                <w:rFonts w:ascii="Arial Narrow" w:hAnsi="Arial Narrow" w:eastAsia="仿宋_GB2312"/>
              </w:rPr>
            </w:pPr>
          </w:p>
        </w:tc>
      </w:tr>
      <w:tr w14:paraId="442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F8E344C">
            <w:pPr>
              <w:rPr>
                <w:rFonts w:ascii="Arial Narrow" w:hAnsi="Arial Narrow" w:eastAsia="仿宋_GB2312"/>
                <w:color w:val="0000FF"/>
              </w:rPr>
            </w:pPr>
            <w:r>
              <w:rPr>
                <w:rFonts w:ascii="Arial Narrow" w:hAnsi="Arial Narrow" w:eastAsia="仿宋_GB2312"/>
                <w:color w:val="0000FF"/>
              </w:rPr>
              <w:t>XXX公司</w:t>
            </w:r>
          </w:p>
        </w:tc>
        <w:tc>
          <w:tcPr>
            <w:tcW w:w="975" w:type="pct"/>
            <w:shd w:val="clear" w:color="auto" w:fill="auto"/>
            <w:vAlign w:val="center"/>
          </w:tcPr>
          <w:p w14:paraId="5D78F04B">
            <w:pPr>
              <w:rPr>
                <w:rFonts w:ascii="Arial Narrow" w:hAnsi="Arial Narrow" w:eastAsia="仿宋_GB2312"/>
                <w:color w:val="0000FF"/>
              </w:rPr>
            </w:pPr>
            <w:r>
              <w:rPr>
                <w:rFonts w:ascii="Arial Narrow" w:hAnsi="Arial Narrow" w:eastAsia="仿宋_GB2312"/>
                <w:color w:val="0000FF"/>
              </w:rPr>
              <w:t>XXX公司</w:t>
            </w:r>
          </w:p>
        </w:tc>
        <w:tc>
          <w:tcPr>
            <w:tcW w:w="746" w:type="pct"/>
            <w:shd w:val="clear" w:color="auto" w:fill="auto"/>
            <w:vAlign w:val="center"/>
          </w:tcPr>
          <w:p w14:paraId="03A75F4A">
            <w:pPr>
              <w:rPr>
                <w:rFonts w:ascii="Arial Narrow" w:hAnsi="Arial Narrow" w:eastAsia="仿宋_GB2312"/>
                <w:color w:val="0000FF"/>
              </w:rPr>
            </w:pPr>
            <w:r>
              <w:rPr>
                <w:rFonts w:ascii="Arial Narrow" w:hAnsi="Arial Narrow" w:eastAsia="仿宋_GB2312"/>
                <w:color w:val="0000FF"/>
              </w:rPr>
              <w:t>XXX纠纷</w:t>
            </w:r>
          </w:p>
        </w:tc>
        <w:tc>
          <w:tcPr>
            <w:tcW w:w="745" w:type="pct"/>
            <w:shd w:val="clear" w:color="auto" w:fill="auto"/>
            <w:vAlign w:val="center"/>
          </w:tcPr>
          <w:p w14:paraId="46FF5EE4">
            <w:pPr>
              <w:jc w:val="right"/>
              <w:rPr>
                <w:rFonts w:ascii="Arial Narrow" w:hAnsi="Arial Narrow" w:eastAsia="仿宋_GB2312"/>
                <w:color w:val="0000FF"/>
              </w:rPr>
            </w:pPr>
          </w:p>
        </w:tc>
        <w:tc>
          <w:tcPr>
            <w:tcW w:w="631" w:type="pct"/>
            <w:shd w:val="clear" w:color="auto" w:fill="auto"/>
            <w:vAlign w:val="center"/>
          </w:tcPr>
          <w:p w14:paraId="4DE835D5">
            <w:pPr>
              <w:jc w:val="right"/>
              <w:rPr>
                <w:rFonts w:ascii="Arial Narrow" w:hAnsi="Arial Narrow" w:eastAsia="仿宋_GB2312"/>
                <w:color w:val="0000FF"/>
              </w:rPr>
            </w:pPr>
            <w:r>
              <w:rPr>
                <w:rFonts w:ascii="Arial Narrow" w:hAnsi="Arial Narrow" w:eastAsia="仿宋_GB2312"/>
                <w:color w:val="0000FF"/>
              </w:rPr>
              <w:t>XX元</w:t>
            </w:r>
          </w:p>
        </w:tc>
        <w:tc>
          <w:tcPr>
            <w:tcW w:w="689" w:type="pct"/>
            <w:shd w:val="clear" w:color="auto" w:fill="auto"/>
            <w:vAlign w:val="center"/>
          </w:tcPr>
          <w:p w14:paraId="60660086">
            <w:pPr>
              <w:jc w:val="right"/>
              <w:rPr>
                <w:rFonts w:ascii="Arial Narrow" w:hAnsi="Arial Narrow" w:eastAsia="仿宋_GB2312"/>
                <w:color w:val="0000FF"/>
              </w:rPr>
            </w:pPr>
            <w:r>
              <w:rPr>
                <w:rFonts w:ascii="Arial Narrow" w:hAnsi="Arial Narrow" w:eastAsia="仿宋_GB2312"/>
                <w:color w:val="0000FF"/>
              </w:rPr>
              <w:t>审理中</w:t>
            </w:r>
          </w:p>
        </w:tc>
      </w:tr>
      <w:tr w14:paraId="595A94E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57675727">
            <w:pPr>
              <w:rPr>
                <w:rFonts w:ascii="Arial Narrow" w:hAnsi="Arial Narrow" w:eastAsia="仿宋_GB2312"/>
              </w:rPr>
            </w:pPr>
          </w:p>
        </w:tc>
        <w:tc>
          <w:tcPr>
            <w:tcW w:w="975" w:type="pct"/>
            <w:shd w:val="clear" w:color="auto" w:fill="auto"/>
            <w:vAlign w:val="center"/>
          </w:tcPr>
          <w:p w14:paraId="32874B49">
            <w:pPr>
              <w:rPr>
                <w:rFonts w:ascii="Arial Narrow" w:hAnsi="Arial Narrow" w:eastAsia="仿宋_GB2312"/>
              </w:rPr>
            </w:pPr>
          </w:p>
        </w:tc>
        <w:tc>
          <w:tcPr>
            <w:tcW w:w="746" w:type="pct"/>
            <w:shd w:val="clear" w:color="auto" w:fill="auto"/>
            <w:vAlign w:val="center"/>
          </w:tcPr>
          <w:p w14:paraId="0B5FFA60">
            <w:pPr>
              <w:rPr>
                <w:rFonts w:ascii="Arial Narrow" w:hAnsi="Arial Narrow" w:eastAsia="仿宋_GB2312"/>
              </w:rPr>
            </w:pPr>
          </w:p>
        </w:tc>
        <w:tc>
          <w:tcPr>
            <w:tcW w:w="745" w:type="pct"/>
            <w:shd w:val="clear" w:color="auto" w:fill="auto"/>
            <w:vAlign w:val="center"/>
          </w:tcPr>
          <w:p w14:paraId="7C14F9F5">
            <w:pPr>
              <w:jc w:val="right"/>
              <w:rPr>
                <w:rFonts w:ascii="Arial Narrow" w:hAnsi="Arial Narrow" w:eastAsia="仿宋_GB2312"/>
              </w:rPr>
            </w:pPr>
          </w:p>
        </w:tc>
        <w:tc>
          <w:tcPr>
            <w:tcW w:w="631" w:type="pct"/>
            <w:shd w:val="clear" w:color="auto" w:fill="auto"/>
            <w:vAlign w:val="center"/>
          </w:tcPr>
          <w:p w14:paraId="4BC617FA">
            <w:pPr>
              <w:jc w:val="right"/>
              <w:rPr>
                <w:rFonts w:ascii="Arial Narrow" w:hAnsi="Arial Narrow" w:eastAsia="仿宋_GB2312"/>
              </w:rPr>
            </w:pPr>
          </w:p>
        </w:tc>
        <w:tc>
          <w:tcPr>
            <w:tcW w:w="689" w:type="pct"/>
            <w:shd w:val="clear" w:color="auto" w:fill="auto"/>
            <w:vAlign w:val="center"/>
          </w:tcPr>
          <w:p w14:paraId="0992A1EC">
            <w:pPr>
              <w:jc w:val="right"/>
              <w:rPr>
                <w:rFonts w:ascii="Arial Narrow" w:hAnsi="Arial Narrow" w:eastAsia="仿宋_GB2312"/>
              </w:rPr>
            </w:pPr>
          </w:p>
        </w:tc>
      </w:tr>
      <w:tr w14:paraId="6E37CE3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030E53C8">
            <w:pPr>
              <w:rPr>
                <w:rFonts w:ascii="Arial Narrow" w:hAnsi="Arial Narrow" w:eastAsia="仿宋_GB2312"/>
              </w:rPr>
            </w:pPr>
          </w:p>
        </w:tc>
        <w:tc>
          <w:tcPr>
            <w:tcW w:w="975" w:type="pct"/>
            <w:shd w:val="clear" w:color="auto" w:fill="auto"/>
            <w:vAlign w:val="center"/>
          </w:tcPr>
          <w:p w14:paraId="57B0E38A">
            <w:pPr>
              <w:rPr>
                <w:rFonts w:ascii="Arial Narrow" w:hAnsi="Arial Narrow" w:eastAsia="仿宋_GB2312"/>
              </w:rPr>
            </w:pPr>
          </w:p>
        </w:tc>
        <w:tc>
          <w:tcPr>
            <w:tcW w:w="746" w:type="pct"/>
            <w:shd w:val="clear" w:color="auto" w:fill="auto"/>
            <w:vAlign w:val="center"/>
          </w:tcPr>
          <w:p w14:paraId="381614B4">
            <w:pPr>
              <w:rPr>
                <w:rFonts w:ascii="Arial Narrow" w:hAnsi="Arial Narrow" w:eastAsia="仿宋_GB2312"/>
              </w:rPr>
            </w:pPr>
          </w:p>
        </w:tc>
        <w:tc>
          <w:tcPr>
            <w:tcW w:w="745" w:type="pct"/>
            <w:shd w:val="clear" w:color="auto" w:fill="auto"/>
            <w:vAlign w:val="center"/>
          </w:tcPr>
          <w:p w14:paraId="422519A1">
            <w:pPr>
              <w:jc w:val="right"/>
              <w:rPr>
                <w:rFonts w:ascii="Arial Narrow" w:hAnsi="Arial Narrow" w:eastAsia="仿宋_GB2312"/>
              </w:rPr>
            </w:pPr>
          </w:p>
        </w:tc>
        <w:tc>
          <w:tcPr>
            <w:tcW w:w="631" w:type="pct"/>
            <w:shd w:val="clear" w:color="auto" w:fill="auto"/>
            <w:vAlign w:val="center"/>
          </w:tcPr>
          <w:p w14:paraId="2454FFF8">
            <w:pPr>
              <w:jc w:val="right"/>
              <w:rPr>
                <w:rFonts w:ascii="Arial Narrow" w:hAnsi="Arial Narrow" w:eastAsia="仿宋_GB2312"/>
              </w:rPr>
            </w:pPr>
          </w:p>
        </w:tc>
        <w:tc>
          <w:tcPr>
            <w:tcW w:w="689" w:type="pct"/>
            <w:shd w:val="clear" w:color="auto" w:fill="auto"/>
            <w:vAlign w:val="center"/>
          </w:tcPr>
          <w:p w14:paraId="6BEC95B2">
            <w:pPr>
              <w:jc w:val="right"/>
              <w:rPr>
                <w:rFonts w:ascii="Arial Narrow" w:hAnsi="Arial Narrow" w:eastAsia="仿宋_GB2312"/>
              </w:rPr>
            </w:pPr>
          </w:p>
        </w:tc>
      </w:tr>
      <w:tr w14:paraId="60610D8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14" w:type="pct"/>
            <w:shd w:val="clear" w:color="auto" w:fill="auto"/>
            <w:vAlign w:val="center"/>
          </w:tcPr>
          <w:p w14:paraId="6DEFEEAC">
            <w:pPr>
              <w:rPr>
                <w:rFonts w:ascii="Arial Narrow" w:hAnsi="Arial Narrow" w:eastAsia="仿宋_GB2312"/>
              </w:rPr>
            </w:pPr>
          </w:p>
        </w:tc>
        <w:tc>
          <w:tcPr>
            <w:tcW w:w="975" w:type="pct"/>
            <w:shd w:val="clear" w:color="auto" w:fill="auto"/>
            <w:vAlign w:val="center"/>
          </w:tcPr>
          <w:p w14:paraId="28A427B5">
            <w:pPr>
              <w:rPr>
                <w:rFonts w:ascii="Arial Narrow" w:hAnsi="Arial Narrow" w:eastAsia="仿宋_GB2312"/>
              </w:rPr>
            </w:pPr>
          </w:p>
        </w:tc>
        <w:tc>
          <w:tcPr>
            <w:tcW w:w="746" w:type="pct"/>
            <w:shd w:val="clear" w:color="auto" w:fill="auto"/>
            <w:vAlign w:val="center"/>
          </w:tcPr>
          <w:p w14:paraId="3C9421E5">
            <w:pPr>
              <w:rPr>
                <w:rFonts w:ascii="Arial Narrow" w:hAnsi="Arial Narrow" w:eastAsia="仿宋_GB2312"/>
              </w:rPr>
            </w:pPr>
          </w:p>
        </w:tc>
        <w:tc>
          <w:tcPr>
            <w:tcW w:w="745" w:type="pct"/>
            <w:shd w:val="clear" w:color="auto" w:fill="auto"/>
            <w:vAlign w:val="center"/>
          </w:tcPr>
          <w:p w14:paraId="19E5318D">
            <w:pPr>
              <w:jc w:val="right"/>
              <w:rPr>
                <w:rFonts w:ascii="Arial Narrow" w:hAnsi="Arial Narrow" w:eastAsia="仿宋_GB2312"/>
              </w:rPr>
            </w:pPr>
          </w:p>
        </w:tc>
        <w:tc>
          <w:tcPr>
            <w:tcW w:w="631" w:type="pct"/>
            <w:shd w:val="clear" w:color="auto" w:fill="auto"/>
            <w:vAlign w:val="center"/>
          </w:tcPr>
          <w:p w14:paraId="08AA9C28">
            <w:pPr>
              <w:jc w:val="right"/>
              <w:rPr>
                <w:rFonts w:ascii="Arial Narrow" w:hAnsi="Arial Narrow" w:eastAsia="仿宋_GB2312"/>
              </w:rPr>
            </w:pPr>
          </w:p>
        </w:tc>
        <w:tc>
          <w:tcPr>
            <w:tcW w:w="689" w:type="pct"/>
            <w:shd w:val="clear" w:color="auto" w:fill="auto"/>
            <w:vAlign w:val="center"/>
          </w:tcPr>
          <w:p w14:paraId="14356B46">
            <w:pPr>
              <w:jc w:val="right"/>
              <w:rPr>
                <w:rFonts w:ascii="Arial Narrow" w:hAnsi="Arial Narrow" w:eastAsia="仿宋_GB2312"/>
              </w:rPr>
            </w:pPr>
          </w:p>
        </w:tc>
      </w:tr>
    </w:tbl>
    <w:p w14:paraId="06500D18">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重大的未决诉讼或仲裁应进行详细说明，披露未决诉讼或仲裁形成的原因、预计产生的财务影响（如无法预计，应说明理由）、获得补偿的可能性等（对本期度涉及的详细说明）。若预期该项披露对企业造成重大不利影响的，无须披露这些信息，但应当披露该未决诉讼、未决仲裁的性质，以及没有披露这些信息的事实和原因。</w:t>
      </w:r>
    </w:p>
    <w:p w14:paraId="4813158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以下为示例，仅供参考：</w:t>
      </w:r>
    </w:p>
    <w:p w14:paraId="1F2DC4A5">
      <w:pPr>
        <w:snapToGrid w:val="0"/>
        <w:spacing w:before="120" w:beforeLines="50" w:after="216" w:afterLines="90"/>
        <w:ind w:left="-2" w:leftChars="-1"/>
        <w:rPr>
          <w:rFonts w:ascii="Arial Narrow" w:hAnsi="Arial Narrow" w:eastAsia="仿宋_GB2312" w:cs="宋体"/>
          <w:kern w:val="0"/>
          <w:sz w:val="24"/>
        </w:rPr>
      </w:pPr>
      <w:r>
        <w:rPr>
          <w:rFonts w:ascii="Arial Narrow" w:hAnsi="Arial Narrow" w:eastAsia="仿宋_GB2312" w:cs="宋体"/>
          <w:color w:val="FF0000"/>
          <w:kern w:val="0"/>
          <w:sz w:val="24"/>
        </w:rPr>
        <w:t>本公司之控股子公司北京****公司因有关债务纠纷事宜被他人起诉，诉讼金额为人民币******元，截止本报告公告日，此案正在审理过程中。</w:t>
      </w:r>
    </w:p>
    <w:p w14:paraId="39DDB74C">
      <w:pPr>
        <w:pStyle w:val="5"/>
      </w:pPr>
      <w:r>
        <w:t>为其他单位提供债务担保形成的或有负债及其财务影响</w:t>
      </w:r>
    </w:p>
    <w:p w14:paraId="09CDB1C9">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（包括合并范围内各公司的对外担保、以及母子公司之间的担保事项）</w:t>
      </w:r>
    </w:p>
    <w:p w14:paraId="332A10F6">
      <w:pPr>
        <w:pStyle w:val="10"/>
        <w:keepNext/>
        <w:snapToGrid w:val="0"/>
        <w:ind w:firstLine="0"/>
        <w:rPr>
          <w:rFonts w:ascii="Arial Narrow" w:hAnsi="Arial Narrow" w:eastAsia="仿宋_GB2312" w:cs="宋体"/>
          <w:sz w:val="24"/>
          <w:szCs w:val="24"/>
        </w:rPr>
      </w:pPr>
      <w:r>
        <w:rPr>
          <w:rFonts w:ascii="Arial Narrow" w:hAnsi="Arial Narrow" w:eastAsia="仿宋_GB2312" w:cs="宋体"/>
          <w:sz w:val="24"/>
          <w:szCs w:val="24"/>
        </w:rPr>
        <w:t>截至</w:t>
      </w:r>
      <w:r>
        <w:rPr>
          <w:rFonts w:ascii="Arial Narrow" w:hAnsi="Arial Narrow" w:eastAsia="仿宋_GB2312" w:cs="Arial"/>
          <w:color w:val="FF0000"/>
          <w:sz w:val="24"/>
          <w:szCs w:val="24"/>
        </w:rPr>
        <w:t>2025年12月31 日</w:t>
      </w:r>
      <w:r>
        <w:rPr>
          <w:rFonts w:ascii="Arial Narrow" w:hAnsi="Arial Narrow" w:eastAsia="仿宋_GB2312" w:cs="宋体"/>
          <w:sz w:val="24"/>
          <w:szCs w:val="24"/>
        </w:rPr>
        <w:t>，本公司为下列单位贷款提供保证</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33"/>
        <w:gridCol w:w="1687"/>
        <w:gridCol w:w="1687"/>
        <w:gridCol w:w="1898"/>
        <w:gridCol w:w="1267"/>
      </w:tblGrid>
      <w:tr w14:paraId="3314FD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96" w:type="pct"/>
            <w:tcBorders>
              <w:top w:val="single" w:color="auto" w:sz="8" w:space="0"/>
              <w:bottom w:val="single" w:color="auto" w:sz="4" w:space="0"/>
            </w:tcBorders>
            <w:shd w:val="clear" w:color="auto" w:fill="auto"/>
            <w:vAlign w:val="center"/>
          </w:tcPr>
          <w:p w14:paraId="6FD975E5">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被担保单位名称</w:t>
            </w:r>
          </w:p>
        </w:tc>
        <w:tc>
          <w:tcPr>
            <w:tcW w:w="930" w:type="pct"/>
            <w:tcBorders>
              <w:top w:val="single" w:color="auto" w:sz="8" w:space="0"/>
              <w:bottom w:val="single" w:color="auto" w:sz="4" w:space="0"/>
            </w:tcBorders>
            <w:shd w:val="clear" w:color="auto" w:fill="auto"/>
            <w:vAlign w:val="center"/>
          </w:tcPr>
          <w:p w14:paraId="048CCBCE">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担保事项</w:t>
            </w:r>
          </w:p>
        </w:tc>
        <w:tc>
          <w:tcPr>
            <w:tcW w:w="930" w:type="pct"/>
            <w:tcBorders>
              <w:top w:val="single" w:color="auto" w:sz="8" w:space="0"/>
              <w:bottom w:val="single" w:color="auto" w:sz="4" w:space="0"/>
            </w:tcBorders>
            <w:shd w:val="clear" w:color="auto" w:fill="auto"/>
            <w:vAlign w:val="center"/>
          </w:tcPr>
          <w:p w14:paraId="287349D2">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金  额</w:t>
            </w:r>
          </w:p>
        </w:tc>
        <w:tc>
          <w:tcPr>
            <w:tcW w:w="1046" w:type="pct"/>
            <w:tcBorders>
              <w:top w:val="single" w:color="auto" w:sz="8" w:space="0"/>
              <w:bottom w:val="single" w:color="auto" w:sz="4" w:space="0"/>
            </w:tcBorders>
            <w:shd w:val="clear" w:color="auto" w:fill="auto"/>
            <w:vAlign w:val="center"/>
          </w:tcPr>
          <w:p w14:paraId="69E3C8AA">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期  限</w:t>
            </w:r>
          </w:p>
        </w:tc>
        <w:tc>
          <w:tcPr>
            <w:tcW w:w="698" w:type="pct"/>
            <w:tcBorders>
              <w:top w:val="single" w:color="auto" w:sz="8" w:space="0"/>
              <w:bottom w:val="single" w:color="auto" w:sz="4" w:space="0"/>
            </w:tcBorders>
            <w:shd w:val="clear" w:color="auto" w:fill="auto"/>
            <w:vAlign w:val="center"/>
          </w:tcPr>
          <w:p w14:paraId="6296179E">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备注</w:t>
            </w:r>
          </w:p>
        </w:tc>
      </w:tr>
      <w:tr w14:paraId="2F48A93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tcBorders>
              <w:top w:val="single" w:color="auto" w:sz="4" w:space="0"/>
            </w:tcBorders>
            <w:shd w:val="clear" w:color="auto" w:fill="auto"/>
            <w:vAlign w:val="center"/>
          </w:tcPr>
          <w:p w14:paraId="475CC01C">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930" w:type="pct"/>
            <w:tcBorders>
              <w:top w:val="single" w:color="auto" w:sz="4" w:space="0"/>
            </w:tcBorders>
            <w:shd w:val="clear" w:color="auto" w:fill="auto"/>
            <w:vAlign w:val="center"/>
          </w:tcPr>
          <w:p w14:paraId="4C42D96C">
            <w:pPr>
              <w:rPr>
                <w:rFonts w:ascii="Arial Narrow" w:hAnsi="Arial Narrow" w:eastAsia="仿宋_GB2312"/>
              </w:rPr>
            </w:pPr>
          </w:p>
        </w:tc>
        <w:tc>
          <w:tcPr>
            <w:tcW w:w="930" w:type="pct"/>
            <w:tcBorders>
              <w:top w:val="single" w:color="auto" w:sz="4" w:space="0"/>
            </w:tcBorders>
            <w:shd w:val="clear" w:color="auto" w:fill="auto"/>
            <w:vAlign w:val="center"/>
          </w:tcPr>
          <w:p w14:paraId="3B9BE99D">
            <w:pPr>
              <w:jc w:val="right"/>
              <w:rPr>
                <w:rFonts w:ascii="Arial Narrow" w:hAnsi="Arial Narrow" w:eastAsia="仿宋_GB2312"/>
              </w:rPr>
            </w:pPr>
          </w:p>
        </w:tc>
        <w:tc>
          <w:tcPr>
            <w:tcW w:w="1046" w:type="pct"/>
            <w:tcBorders>
              <w:top w:val="single" w:color="auto" w:sz="4" w:space="0"/>
            </w:tcBorders>
            <w:shd w:val="clear" w:color="auto" w:fill="auto"/>
            <w:vAlign w:val="center"/>
          </w:tcPr>
          <w:p w14:paraId="675DFCA8">
            <w:pPr>
              <w:jc w:val="right"/>
              <w:rPr>
                <w:rFonts w:ascii="Arial Narrow" w:hAnsi="Arial Narrow" w:eastAsia="仿宋_GB2312"/>
              </w:rPr>
            </w:pPr>
          </w:p>
        </w:tc>
        <w:tc>
          <w:tcPr>
            <w:tcW w:w="698" w:type="pct"/>
            <w:tcBorders>
              <w:top w:val="single" w:color="auto" w:sz="4" w:space="0"/>
            </w:tcBorders>
            <w:shd w:val="clear" w:color="auto" w:fill="auto"/>
            <w:vAlign w:val="center"/>
          </w:tcPr>
          <w:p w14:paraId="1BB2A3F5">
            <w:pPr>
              <w:jc w:val="right"/>
              <w:rPr>
                <w:rFonts w:ascii="Arial Narrow" w:hAnsi="Arial Narrow" w:eastAsia="仿宋_GB2312"/>
              </w:rPr>
            </w:pPr>
          </w:p>
        </w:tc>
      </w:tr>
      <w:tr w14:paraId="3B5F0D2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shd w:val="clear" w:color="auto" w:fill="auto"/>
            <w:vAlign w:val="center"/>
          </w:tcPr>
          <w:p w14:paraId="118FD00A">
            <w:pPr>
              <w:adjustRightInd w:val="0"/>
              <w:snapToGrid w:val="0"/>
              <w:rPr>
                <w:rFonts w:ascii="Arial Narrow" w:hAnsi="Arial Narrow" w:eastAsia="仿宋_GB2312" w:cs="宋体"/>
                <w:kern w:val="0"/>
                <w:szCs w:val="21"/>
              </w:rPr>
            </w:pPr>
          </w:p>
        </w:tc>
        <w:tc>
          <w:tcPr>
            <w:tcW w:w="930" w:type="pct"/>
            <w:shd w:val="clear" w:color="auto" w:fill="auto"/>
            <w:vAlign w:val="center"/>
          </w:tcPr>
          <w:p w14:paraId="552CC02F">
            <w:pPr>
              <w:rPr>
                <w:rFonts w:ascii="Arial Narrow" w:hAnsi="Arial Narrow" w:eastAsia="仿宋_GB2312"/>
              </w:rPr>
            </w:pPr>
          </w:p>
        </w:tc>
        <w:tc>
          <w:tcPr>
            <w:tcW w:w="930" w:type="pct"/>
            <w:shd w:val="clear" w:color="auto" w:fill="auto"/>
            <w:vAlign w:val="center"/>
          </w:tcPr>
          <w:p w14:paraId="30D5BFE4">
            <w:pPr>
              <w:jc w:val="right"/>
              <w:rPr>
                <w:rFonts w:ascii="Arial Narrow" w:hAnsi="Arial Narrow" w:eastAsia="仿宋_GB2312"/>
              </w:rPr>
            </w:pPr>
          </w:p>
        </w:tc>
        <w:tc>
          <w:tcPr>
            <w:tcW w:w="1046" w:type="pct"/>
            <w:shd w:val="clear" w:color="auto" w:fill="auto"/>
            <w:vAlign w:val="center"/>
          </w:tcPr>
          <w:p w14:paraId="132F4820">
            <w:pPr>
              <w:jc w:val="right"/>
              <w:rPr>
                <w:rFonts w:ascii="Arial Narrow" w:hAnsi="Arial Narrow" w:eastAsia="仿宋_GB2312"/>
              </w:rPr>
            </w:pPr>
          </w:p>
        </w:tc>
        <w:tc>
          <w:tcPr>
            <w:tcW w:w="698" w:type="pct"/>
            <w:shd w:val="clear" w:color="auto" w:fill="auto"/>
            <w:vAlign w:val="center"/>
          </w:tcPr>
          <w:p w14:paraId="17EEB33E">
            <w:pPr>
              <w:jc w:val="right"/>
              <w:rPr>
                <w:rFonts w:ascii="Arial Narrow" w:hAnsi="Arial Narrow" w:eastAsia="仿宋_GB2312"/>
              </w:rPr>
            </w:pPr>
          </w:p>
        </w:tc>
      </w:tr>
      <w:tr w14:paraId="2D0056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shd w:val="clear" w:color="auto" w:fill="auto"/>
            <w:vAlign w:val="center"/>
          </w:tcPr>
          <w:p w14:paraId="4888F493">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930" w:type="pct"/>
            <w:shd w:val="clear" w:color="auto" w:fill="auto"/>
            <w:vAlign w:val="center"/>
          </w:tcPr>
          <w:p w14:paraId="491B8FF5">
            <w:pPr>
              <w:rPr>
                <w:rFonts w:ascii="Arial Narrow" w:hAnsi="Arial Narrow" w:eastAsia="仿宋_GB2312"/>
              </w:rPr>
            </w:pPr>
          </w:p>
        </w:tc>
        <w:tc>
          <w:tcPr>
            <w:tcW w:w="930" w:type="pct"/>
            <w:shd w:val="clear" w:color="auto" w:fill="auto"/>
            <w:vAlign w:val="center"/>
          </w:tcPr>
          <w:p w14:paraId="416E7AB4">
            <w:pPr>
              <w:jc w:val="right"/>
              <w:rPr>
                <w:rFonts w:ascii="Arial Narrow" w:hAnsi="Arial Narrow" w:eastAsia="仿宋_GB2312"/>
              </w:rPr>
            </w:pPr>
          </w:p>
        </w:tc>
        <w:tc>
          <w:tcPr>
            <w:tcW w:w="1046" w:type="pct"/>
            <w:shd w:val="clear" w:color="auto" w:fill="auto"/>
            <w:vAlign w:val="center"/>
          </w:tcPr>
          <w:p w14:paraId="466616EB">
            <w:pPr>
              <w:jc w:val="right"/>
              <w:rPr>
                <w:rFonts w:ascii="Arial Narrow" w:hAnsi="Arial Narrow" w:eastAsia="仿宋_GB2312"/>
              </w:rPr>
            </w:pPr>
          </w:p>
        </w:tc>
        <w:tc>
          <w:tcPr>
            <w:tcW w:w="698" w:type="pct"/>
            <w:shd w:val="clear" w:color="auto" w:fill="auto"/>
            <w:vAlign w:val="center"/>
          </w:tcPr>
          <w:p w14:paraId="558A12CE">
            <w:pPr>
              <w:jc w:val="right"/>
              <w:rPr>
                <w:rFonts w:ascii="Arial Narrow" w:hAnsi="Arial Narrow" w:eastAsia="仿宋_GB2312"/>
              </w:rPr>
            </w:pPr>
          </w:p>
        </w:tc>
      </w:tr>
      <w:tr w14:paraId="6C1C91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tcBorders>
              <w:bottom w:val="single" w:color="auto" w:sz="4" w:space="0"/>
            </w:tcBorders>
            <w:shd w:val="clear" w:color="auto" w:fill="auto"/>
            <w:vAlign w:val="center"/>
          </w:tcPr>
          <w:p w14:paraId="00F33707">
            <w:pPr>
              <w:adjustRightInd w:val="0"/>
              <w:snapToGrid w:val="0"/>
              <w:rPr>
                <w:rFonts w:ascii="Arial Narrow" w:hAnsi="Arial Narrow" w:eastAsia="仿宋_GB2312" w:cs="宋体"/>
                <w:kern w:val="0"/>
                <w:szCs w:val="21"/>
              </w:rPr>
            </w:pPr>
          </w:p>
        </w:tc>
        <w:tc>
          <w:tcPr>
            <w:tcW w:w="930" w:type="pct"/>
            <w:tcBorders>
              <w:bottom w:val="single" w:color="auto" w:sz="4" w:space="0"/>
            </w:tcBorders>
            <w:shd w:val="clear" w:color="auto" w:fill="auto"/>
            <w:vAlign w:val="center"/>
          </w:tcPr>
          <w:p w14:paraId="0D92C164">
            <w:pPr>
              <w:rPr>
                <w:rFonts w:ascii="Arial Narrow" w:hAnsi="Arial Narrow" w:eastAsia="仿宋_GB2312"/>
              </w:rPr>
            </w:pPr>
          </w:p>
        </w:tc>
        <w:tc>
          <w:tcPr>
            <w:tcW w:w="930" w:type="pct"/>
            <w:tcBorders>
              <w:bottom w:val="single" w:color="auto" w:sz="4" w:space="0"/>
            </w:tcBorders>
            <w:shd w:val="clear" w:color="auto" w:fill="auto"/>
            <w:vAlign w:val="center"/>
          </w:tcPr>
          <w:p w14:paraId="5211D57F">
            <w:pPr>
              <w:jc w:val="right"/>
              <w:rPr>
                <w:rFonts w:ascii="Arial Narrow" w:hAnsi="Arial Narrow" w:eastAsia="仿宋_GB2312"/>
              </w:rPr>
            </w:pPr>
          </w:p>
        </w:tc>
        <w:tc>
          <w:tcPr>
            <w:tcW w:w="1046" w:type="pct"/>
            <w:tcBorders>
              <w:bottom w:val="single" w:color="auto" w:sz="4" w:space="0"/>
            </w:tcBorders>
            <w:shd w:val="clear" w:color="auto" w:fill="auto"/>
            <w:vAlign w:val="center"/>
          </w:tcPr>
          <w:p w14:paraId="11384903">
            <w:pPr>
              <w:jc w:val="right"/>
              <w:rPr>
                <w:rFonts w:ascii="Arial Narrow" w:hAnsi="Arial Narrow" w:eastAsia="仿宋_GB2312"/>
              </w:rPr>
            </w:pPr>
          </w:p>
        </w:tc>
        <w:tc>
          <w:tcPr>
            <w:tcW w:w="698" w:type="pct"/>
            <w:tcBorders>
              <w:bottom w:val="single" w:color="auto" w:sz="4" w:space="0"/>
            </w:tcBorders>
            <w:shd w:val="clear" w:color="auto" w:fill="auto"/>
            <w:vAlign w:val="center"/>
          </w:tcPr>
          <w:p w14:paraId="3755A80B">
            <w:pPr>
              <w:jc w:val="right"/>
              <w:rPr>
                <w:rFonts w:ascii="Arial Narrow" w:hAnsi="Arial Narrow" w:eastAsia="仿宋_GB2312"/>
              </w:rPr>
            </w:pPr>
          </w:p>
        </w:tc>
      </w:tr>
      <w:tr w14:paraId="7756C26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96" w:type="pct"/>
            <w:tcBorders>
              <w:top w:val="single" w:color="auto" w:sz="4" w:space="0"/>
              <w:bottom w:val="single" w:color="auto" w:sz="8" w:space="0"/>
            </w:tcBorders>
            <w:shd w:val="clear" w:color="auto" w:fill="auto"/>
            <w:vAlign w:val="center"/>
          </w:tcPr>
          <w:p w14:paraId="1F03DDD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930" w:type="pct"/>
            <w:tcBorders>
              <w:top w:val="single" w:color="auto" w:sz="4" w:space="0"/>
              <w:bottom w:val="single" w:color="auto" w:sz="8" w:space="0"/>
            </w:tcBorders>
            <w:shd w:val="clear" w:color="auto" w:fill="auto"/>
            <w:vAlign w:val="center"/>
          </w:tcPr>
          <w:p w14:paraId="7263240D">
            <w:pPr>
              <w:rPr>
                <w:rFonts w:ascii="Arial Narrow" w:hAnsi="Arial Narrow" w:eastAsia="仿宋_GB2312"/>
                <w:b/>
                <w:bCs/>
              </w:rPr>
            </w:pPr>
          </w:p>
        </w:tc>
        <w:tc>
          <w:tcPr>
            <w:tcW w:w="930" w:type="pct"/>
            <w:tcBorders>
              <w:top w:val="single" w:color="auto" w:sz="4" w:space="0"/>
              <w:bottom w:val="single" w:color="auto" w:sz="8" w:space="0"/>
            </w:tcBorders>
            <w:shd w:val="clear" w:color="auto" w:fill="auto"/>
            <w:vAlign w:val="center"/>
          </w:tcPr>
          <w:p w14:paraId="606AEC79">
            <w:pPr>
              <w:jc w:val="right"/>
              <w:rPr>
                <w:rFonts w:ascii="Arial Narrow" w:hAnsi="Arial Narrow" w:eastAsia="仿宋_GB2312"/>
                <w:b/>
                <w:bCs/>
              </w:rPr>
            </w:pPr>
          </w:p>
        </w:tc>
        <w:tc>
          <w:tcPr>
            <w:tcW w:w="1046" w:type="pct"/>
            <w:tcBorders>
              <w:top w:val="single" w:color="auto" w:sz="4" w:space="0"/>
              <w:bottom w:val="single" w:color="auto" w:sz="8" w:space="0"/>
            </w:tcBorders>
            <w:shd w:val="clear" w:color="auto" w:fill="auto"/>
            <w:vAlign w:val="center"/>
          </w:tcPr>
          <w:p w14:paraId="00FED193">
            <w:pPr>
              <w:jc w:val="right"/>
              <w:rPr>
                <w:rFonts w:ascii="Arial Narrow" w:hAnsi="Arial Narrow" w:eastAsia="仿宋_GB2312"/>
                <w:b/>
                <w:bCs/>
              </w:rPr>
            </w:pPr>
          </w:p>
        </w:tc>
        <w:tc>
          <w:tcPr>
            <w:tcW w:w="698" w:type="pct"/>
            <w:tcBorders>
              <w:top w:val="single" w:color="auto" w:sz="4" w:space="0"/>
              <w:bottom w:val="single" w:color="auto" w:sz="8" w:space="0"/>
            </w:tcBorders>
            <w:shd w:val="clear" w:color="auto" w:fill="auto"/>
            <w:vAlign w:val="center"/>
          </w:tcPr>
          <w:p w14:paraId="4ABAB24B">
            <w:pPr>
              <w:jc w:val="right"/>
              <w:rPr>
                <w:rFonts w:ascii="Arial Narrow" w:hAnsi="Arial Narrow" w:eastAsia="仿宋_GB2312"/>
                <w:b/>
                <w:bCs/>
              </w:rPr>
            </w:pPr>
          </w:p>
        </w:tc>
      </w:tr>
    </w:tbl>
    <w:p w14:paraId="566E03CD">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（担保事项包括信用担保、以自有资产抵押对外提供债务担保等。</w:t>
      </w:r>
    </w:p>
    <w:p w14:paraId="5594A377">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如能预计被担保单位到期无法偿还债务而需本公司履行担保责任时，应当分别说明形成原因、预计产生的财务影响、获得补偿的可能性。（如无法预计，应说明理由）</w:t>
      </w:r>
    </w:p>
    <w:p w14:paraId="424FFDD2">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房地产开发企业应披露为商品房承购人向银行提供抵押贷款担保的情况，包括尚未结清的担保金额，并说明风险程度</w:t>
      </w:r>
    </w:p>
    <w:p w14:paraId="11C9493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截至2025年X月X 日，本公司为商品房承购人向银行提供抵押贷款担保的情况如下：）</w:t>
      </w:r>
    </w:p>
    <w:p w14:paraId="720A9A58">
      <w:pPr>
        <w:pStyle w:val="5"/>
      </w:pPr>
      <w:r>
        <w:t>产品质量保证条款</w:t>
      </w:r>
    </w:p>
    <w:p w14:paraId="1BD01A3B">
      <w:pPr>
        <w:pStyle w:val="5"/>
      </w:pPr>
      <w:r>
        <w:t>其他或有负债（不包括极不可能导致经济利益流出企业的或有负债）</w:t>
      </w:r>
    </w:p>
    <w:p w14:paraId="198B1171">
      <w:pPr>
        <w:pStyle w:val="4"/>
        <w:numPr>
          <w:ilvl w:val="0"/>
          <w:numId w:val="0"/>
        </w:numPr>
        <w:spacing w:before="120" w:after="216"/>
        <w:ind w:left="-420"/>
      </w:pPr>
      <w:r>
        <w:rPr>
          <w:rFonts w:hint="eastAsia"/>
        </w:rPr>
        <w:t>2、</w:t>
      </w:r>
      <w:r>
        <w:t>或有资产</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88"/>
        <w:gridCol w:w="2593"/>
        <w:gridCol w:w="2591"/>
      </w:tblGrid>
      <w:tr w14:paraId="68550B0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8" w:space="0"/>
              <w:bottom w:val="single" w:color="auto" w:sz="4" w:space="0"/>
            </w:tcBorders>
            <w:shd w:val="clear" w:color="auto" w:fill="auto"/>
            <w:vAlign w:val="center"/>
          </w:tcPr>
          <w:p w14:paraId="0728E4E3">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种  类</w:t>
            </w:r>
          </w:p>
        </w:tc>
        <w:tc>
          <w:tcPr>
            <w:tcW w:w="1429" w:type="pct"/>
            <w:tcBorders>
              <w:top w:val="single" w:color="auto" w:sz="8" w:space="0"/>
              <w:bottom w:val="single" w:color="auto" w:sz="4" w:space="0"/>
            </w:tcBorders>
            <w:shd w:val="clear" w:color="auto" w:fill="auto"/>
            <w:vAlign w:val="center"/>
          </w:tcPr>
          <w:p w14:paraId="46E17ADB">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形成原因</w:t>
            </w:r>
          </w:p>
        </w:tc>
        <w:tc>
          <w:tcPr>
            <w:tcW w:w="1428" w:type="pct"/>
            <w:tcBorders>
              <w:top w:val="single" w:color="auto" w:sz="8" w:space="0"/>
              <w:bottom w:val="single" w:color="auto" w:sz="4" w:space="0"/>
            </w:tcBorders>
            <w:shd w:val="clear" w:color="auto" w:fill="auto"/>
            <w:vAlign w:val="center"/>
          </w:tcPr>
          <w:p w14:paraId="53330BB5">
            <w:pPr>
              <w:adjustRightInd w:val="0"/>
              <w:snapToGrid w:val="0"/>
              <w:jc w:val="right"/>
              <w:rPr>
                <w:rFonts w:ascii="Arial Narrow" w:hAnsi="Arial Narrow" w:eastAsia="仿宋_GB2312" w:cs="宋体"/>
                <w:b/>
                <w:kern w:val="0"/>
                <w:szCs w:val="21"/>
              </w:rPr>
            </w:pPr>
            <w:r>
              <w:rPr>
                <w:rFonts w:ascii="Arial Narrow" w:hAnsi="Arial Narrow" w:eastAsia="仿宋_GB2312" w:cs="宋体"/>
                <w:b/>
                <w:kern w:val="0"/>
                <w:szCs w:val="21"/>
              </w:rPr>
              <w:t>预计产生的财务影响</w:t>
            </w:r>
          </w:p>
        </w:tc>
      </w:tr>
      <w:tr w14:paraId="7B475F9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tcBorders>
            <w:shd w:val="clear" w:color="auto" w:fill="auto"/>
            <w:vAlign w:val="center"/>
          </w:tcPr>
          <w:p w14:paraId="2194D114">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一、子公司</w:t>
            </w:r>
          </w:p>
        </w:tc>
        <w:tc>
          <w:tcPr>
            <w:tcW w:w="1429" w:type="pct"/>
            <w:tcBorders>
              <w:top w:val="single" w:color="auto" w:sz="4" w:space="0"/>
            </w:tcBorders>
            <w:shd w:val="clear" w:color="auto" w:fill="auto"/>
            <w:vAlign w:val="center"/>
          </w:tcPr>
          <w:p w14:paraId="6525B552">
            <w:pPr>
              <w:jc w:val="right"/>
              <w:rPr>
                <w:rFonts w:ascii="Arial Narrow" w:hAnsi="Arial Narrow" w:eastAsia="仿宋_GB2312"/>
              </w:rPr>
            </w:pPr>
          </w:p>
        </w:tc>
        <w:tc>
          <w:tcPr>
            <w:tcW w:w="1428" w:type="pct"/>
            <w:tcBorders>
              <w:top w:val="single" w:color="auto" w:sz="4" w:space="0"/>
            </w:tcBorders>
            <w:shd w:val="clear" w:color="auto" w:fill="auto"/>
            <w:vAlign w:val="center"/>
          </w:tcPr>
          <w:p w14:paraId="72A9E872">
            <w:pPr>
              <w:jc w:val="right"/>
              <w:rPr>
                <w:rFonts w:ascii="Arial Narrow" w:hAnsi="Arial Narrow" w:eastAsia="仿宋_GB2312"/>
              </w:rPr>
            </w:pPr>
          </w:p>
        </w:tc>
      </w:tr>
      <w:tr w14:paraId="6CEDC85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C2A04C8">
            <w:pPr>
              <w:adjustRightInd w:val="0"/>
              <w:snapToGrid w:val="0"/>
              <w:rPr>
                <w:rFonts w:ascii="Arial Narrow" w:hAnsi="Arial Narrow" w:eastAsia="仿宋_GB2312" w:cs="宋体"/>
                <w:kern w:val="0"/>
                <w:szCs w:val="21"/>
              </w:rPr>
            </w:pPr>
          </w:p>
        </w:tc>
        <w:tc>
          <w:tcPr>
            <w:tcW w:w="1429" w:type="pct"/>
            <w:shd w:val="clear" w:color="auto" w:fill="auto"/>
            <w:vAlign w:val="center"/>
          </w:tcPr>
          <w:p w14:paraId="73065507">
            <w:pPr>
              <w:jc w:val="right"/>
              <w:rPr>
                <w:rFonts w:ascii="Arial Narrow" w:hAnsi="Arial Narrow" w:eastAsia="仿宋_GB2312"/>
              </w:rPr>
            </w:pPr>
          </w:p>
        </w:tc>
        <w:tc>
          <w:tcPr>
            <w:tcW w:w="1428" w:type="pct"/>
            <w:shd w:val="clear" w:color="auto" w:fill="auto"/>
            <w:vAlign w:val="center"/>
          </w:tcPr>
          <w:p w14:paraId="54F8EECB">
            <w:pPr>
              <w:jc w:val="right"/>
              <w:rPr>
                <w:rFonts w:ascii="Arial Narrow" w:hAnsi="Arial Narrow" w:eastAsia="仿宋_GB2312"/>
              </w:rPr>
            </w:pPr>
          </w:p>
        </w:tc>
      </w:tr>
      <w:tr w14:paraId="6975B2D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shd w:val="clear" w:color="auto" w:fill="auto"/>
            <w:vAlign w:val="center"/>
          </w:tcPr>
          <w:p w14:paraId="792AE52D">
            <w:pPr>
              <w:adjustRightInd w:val="0"/>
              <w:snapToGrid w:val="0"/>
              <w:rPr>
                <w:rFonts w:ascii="Arial Narrow" w:hAnsi="Arial Narrow" w:eastAsia="仿宋_GB2312" w:cs="宋体"/>
                <w:kern w:val="0"/>
                <w:szCs w:val="21"/>
              </w:rPr>
            </w:pPr>
            <w:r>
              <w:rPr>
                <w:rFonts w:ascii="Arial Narrow" w:hAnsi="Arial Narrow" w:eastAsia="仿宋_GB2312" w:cs="宋体"/>
                <w:kern w:val="0"/>
                <w:szCs w:val="21"/>
              </w:rPr>
              <w:t>二、其他公司</w:t>
            </w:r>
          </w:p>
        </w:tc>
        <w:tc>
          <w:tcPr>
            <w:tcW w:w="1429" w:type="pct"/>
            <w:shd w:val="clear" w:color="auto" w:fill="auto"/>
            <w:vAlign w:val="center"/>
          </w:tcPr>
          <w:p w14:paraId="7DA6E50E">
            <w:pPr>
              <w:jc w:val="right"/>
              <w:rPr>
                <w:rFonts w:ascii="Arial Narrow" w:hAnsi="Arial Narrow" w:eastAsia="仿宋_GB2312"/>
              </w:rPr>
            </w:pPr>
          </w:p>
        </w:tc>
        <w:tc>
          <w:tcPr>
            <w:tcW w:w="1428" w:type="pct"/>
            <w:shd w:val="clear" w:color="auto" w:fill="auto"/>
            <w:vAlign w:val="center"/>
          </w:tcPr>
          <w:p w14:paraId="06AE5814">
            <w:pPr>
              <w:jc w:val="right"/>
              <w:rPr>
                <w:rFonts w:ascii="Arial Narrow" w:hAnsi="Arial Narrow" w:eastAsia="仿宋_GB2312"/>
              </w:rPr>
            </w:pPr>
          </w:p>
        </w:tc>
      </w:tr>
      <w:tr w14:paraId="63B201A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bottom w:val="single" w:color="auto" w:sz="4" w:space="0"/>
            </w:tcBorders>
            <w:shd w:val="clear" w:color="auto" w:fill="auto"/>
            <w:vAlign w:val="center"/>
          </w:tcPr>
          <w:p w14:paraId="635A7EBA">
            <w:pPr>
              <w:adjustRightInd w:val="0"/>
              <w:snapToGrid w:val="0"/>
              <w:rPr>
                <w:rFonts w:ascii="Arial Narrow" w:hAnsi="Arial Narrow" w:eastAsia="仿宋_GB2312" w:cs="宋体"/>
                <w:kern w:val="0"/>
                <w:szCs w:val="21"/>
              </w:rPr>
            </w:pPr>
          </w:p>
        </w:tc>
        <w:tc>
          <w:tcPr>
            <w:tcW w:w="1429" w:type="pct"/>
            <w:tcBorders>
              <w:bottom w:val="single" w:color="auto" w:sz="4" w:space="0"/>
            </w:tcBorders>
            <w:shd w:val="clear" w:color="auto" w:fill="auto"/>
            <w:vAlign w:val="center"/>
          </w:tcPr>
          <w:p w14:paraId="21BC8E3F">
            <w:pPr>
              <w:jc w:val="right"/>
              <w:rPr>
                <w:rFonts w:ascii="Arial Narrow" w:hAnsi="Arial Narrow" w:eastAsia="仿宋_GB2312"/>
              </w:rPr>
            </w:pPr>
          </w:p>
        </w:tc>
        <w:tc>
          <w:tcPr>
            <w:tcW w:w="1428" w:type="pct"/>
            <w:tcBorders>
              <w:bottom w:val="single" w:color="auto" w:sz="4" w:space="0"/>
            </w:tcBorders>
            <w:shd w:val="clear" w:color="auto" w:fill="auto"/>
            <w:vAlign w:val="center"/>
          </w:tcPr>
          <w:p w14:paraId="59A9D735">
            <w:pPr>
              <w:jc w:val="right"/>
              <w:rPr>
                <w:rFonts w:ascii="Arial Narrow" w:hAnsi="Arial Narrow" w:eastAsia="仿宋_GB2312"/>
              </w:rPr>
            </w:pPr>
          </w:p>
        </w:tc>
      </w:tr>
      <w:tr w14:paraId="2E5A68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143" w:type="pct"/>
            <w:tcBorders>
              <w:top w:val="single" w:color="auto" w:sz="4" w:space="0"/>
              <w:bottom w:val="single" w:color="auto" w:sz="8" w:space="0"/>
            </w:tcBorders>
            <w:shd w:val="clear" w:color="auto" w:fill="auto"/>
            <w:vAlign w:val="center"/>
          </w:tcPr>
          <w:p w14:paraId="3EF6C8CD">
            <w:pPr>
              <w:adjustRightInd w:val="0"/>
              <w:snapToGrid w:val="0"/>
              <w:rPr>
                <w:rFonts w:ascii="Arial Narrow" w:hAnsi="Arial Narrow" w:eastAsia="仿宋_GB2312" w:cs="宋体"/>
                <w:b/>
                <w:kern w:val="0"/>
                <w:szCs w:val="21"/>
              </w:rPr>
            </w:pPr>
            <w:r>
              <w:rPr>
                <w:rFonts w:ascii="Arial Narrow" w:hAnsi="Arial Narrow" w:eastAsia="仿宋_GB2312" w:cs="宋体"/>
                <w:b/>
                <w:kern w:val="0"/>
                <w:szCs w:val="21"/>
              </w:rPr>
              <w:t>合  计</w:t>
            </w:r>
          </w:p>
        </w:tc>
        <w:tc>
          <w:tcPr>
            <w:tcW w:w="1429" w:type="pct"/>
            <w:tcBorders>
              <w:top w:val="single" w:color="auto" w:sz="4" w:space="0"/>
              <w:bottom w:val="single" w:color="auto" w:sz="8" w:space="0"/>
            </w:tcBorders>
            <w:shd w:val="clear" w:color="auto" w:fill="auto"/>
            <w:vAlign w:val="center"/>
          </w:tcPr>
          <w:p w14:paraId="1C82257C">
            <w:pPr>
              <w:jc w:val="right"/>
              <w:rPr>
                <w:rFonts w:ascii="Arial Narrow" w:hAnsi="Arial Narrow" w:eastAsia="仿宋_GB2312"/>
                <w:b/>
                <w:bCs/>
              </w:rPr>
            </w:pPr>
          </w:p>
        </w:tc>
        <w:tc>
          <w:tcPr>
            <w:tcW w:w="1428" w:type="pct"/>
            <w:tcBorders>
              <w:top w:val="single" w:color="auto" w:sz="4" w:space="0"/>
              <w:bottom w:val="single" w:color="auto" w:sz="8" w:space="0"/>
            </w:tcBorders>
            <w:shd w:val="clear" w:color="auto" w:fill="auto"/>
            <w:vAlign w:val="center"/>
          </w:tcPr>
          <w:p w14:paraId="47E4C4B0">
            <w:pPr>
              <w:jc w:val="right"/>
              <w:rPr>
                <w:rFonts w:ascii="Arial Narrow" w:hAnsi="Arial Narrow" w:eastAsia="仿宋_GB2312"/>
                <w:b/>
                <w:bCs/>
              </w:rPr>
            </w:pPr>
          </w:p>
        </w:tc>
      </w:tr>
    </w:tbl>
    <w:p w14:paraId="5D57C6CB">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【企业通常不应当披露或有资产。但或有资产很可能会给企业带来经济利益的，应当披露其形成的原因、预计产生的财务影响】</w:t>
      </w:r>
    </w:p>
    <w:p w14:paraId="0B72396F">
      <w:pPr>
        <w:snapToGrid w:val="0"/>
        <w:spacing w:before="192" w:beforeLines="80" w:after="216" w:afterLines="90"/>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（如果公司没有需要在财务报表附注中说明的或有事项，也应予以说明。）</w:t>
      </w:r>
    </w:p>
    <w:p w14:paraId="38120914">
      <w:pPr>
        <w:snapToGrid w:val="0"/>
        <w:spacing w:before="192" w:beforeLines="80" w:after="216" w:afterLines="90"/>
        <w:rPr>
          <w:rFonts w:ascii="Arial Narrow" w:hAnsi="Arial Narrow" w:eastAsia="仿宋_GB2312" w:cs="宋体"/>
          <w:color w:val="FF0000"/>
          <w:kern w:val="0"/>
          <w:sz w:val="24"/>
        </w:rPr>
      </w:pPr>
      <w:r>
        <w:rPr>
          <w:rFonts w:ascii="Arial Narrow" w:hAnsi="Arial Narrow" w:eastAsia="仿宋_GB2312" w:cs="宋体"/>
          <w:color w:val="FF0000"/>
          <w:kern w:val="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日，本公司不存在应披露的未决诉讼、对外担保等或有事项。</w:t>
      </w:r>
    </w:p>
    <w:p w14:paraId="26F30F1F">
      <w:pPr>
        <w:snapToGrid w:val="0"/>
        <w:spacing w:after="216" w:afterLines="90"/>
        <w:rPr>
          <w:rFonts w:ascii="Arial Narrow" w:hAnsi="Arial Narrow" w:eastAsia="仿宋_GB2312"/>
          <w:color w:val="0000FF"/>
          <w:sz w:val="24"/>
        </w:rPr>
      </w:pPr>
      <w:r>
        <w:rPr>
          <w:rFonts w:ascii="Arial Narrow" w:hAnsi="Arial Narrow" w:eastAsia="仿宋_GB2312"/>
          <w:color w:val="0000FF"/>
          <w:sz w:val="24"/>
        </w:rPr>
        <w:t>（特别提示：如披露了以上一项或多项或有事项，则上述语句修改为：）</w:t>
      </w:r>
    </w:p>
    <w:p w14:paraId="5597DD58">
      <w:pPr>
        <w:snapToGrid w:val="0"/>
        <w:spacing w:before="120" w:beforeLines="50" w:after="216" w:afterLines="90"/>
        <w:rPr>
          <w:rFonts w:ascii="Arial Narrow" w:hAnsi="Arial Narrow" w:eastAsia="仿宋_GB2312" w:cs="宋体"/>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kern w:val="0"/>
          <w:sz w:val="24"/>
        </w:rPr>
        <w:t>2025年12月31</w:t>
      </w:r>
      <w:r>
        <w:rPr>
          <w:rFonts w:ascii="Arial Narrow" w:hAnsi="Arial Narrow" w:eastAsia="仿宋_GB2312" w:cs="宋体"/>
          <w:color w:val="FF0000"/>
          <w:kern w:val="0"/>
          <w:sz w:val="24"/>
        </w:rPr>
        <w:t>日</w:t>
      </w:r>
      <w:r>
        <w:rPr>
          <w:rFonts w:ascii="Arial Narrow" w:hAnsi="Arial Narrow" w:eastAsia="仿宋_GB2312"/>
          <w:color w:val="FF0000"/>
          <w:sz w:val="24"/>
        </w:rPr>
        <w:t>，本公司不存在其他应披露的或有事项。</w:t>
      </w:r>
    </w:p>
    <w:p w14:paraId="3E1364F1">
      <w:pPr>
        <w:pStyle w:val="2"/>
        <w:spacing w:before="120" w:after="216"/>
      </w:pPr>
      <w:r>
        <w:t>资产负债表日后事项</w:t>
      </w:r>
    </w:p>
    <w:p w14:paraId="4E6CE200">
      <w:pPr>
        <w:pStyle w:val="4"/>
        <w:numPr>
          <w:ilvl w:val="2"/>
          <w:numId w:val="18"/>
        </w:numPr>
        <w:spacing w:before="120" w:after="216"/>
        <w:ind w:left="0"/>
      </w:pPr>
      <w:r>
        <w:t>重要的资产负债表日后事项说明</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1980"/>
        <w:gridCol w:w="2556"/>
      </w:tblGrid>
      <w:tr w14:paraId="5121107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68" w:type="dxa"/>
            <w:tcBorders>
              <w:top w:val="single" w:color="auto" w:sz="8" w:space="0"/>
              <w:bottom w:val="single" w:color="auto" w:sz="4" w:space="0"/>
            </w:tcBorders>
            <w:shd w:val="clear" w:color="auto" w:fill="auto"/>
            <w:vAlign w:val="center"/>
          </w:tcPr>
          <w:p w14:paraId="4226F3D7">
            <w:pPr>
              <w:adjustRightInd w:val="0"/>
              <w:snapToGrid w:val="0"/>
              <w:rPr>
                <w:rFonts w:ascii="Arial Narrow" w:hAnsi="Arial Narrow" w:eastAsia="仿宋_GB2312"/>
                <w:b/>
                <w:szCs w:val="21"/>
              </w:rPr>
            </w:pPr>
            <w:r>
              <w:rPr>
                <w:rFonts w:ascii="Arial Narrow" w:hAnsi="Arial Narrow" w:eastAsia="仿宋_GB2312"/>
                <w:b/>
                <w:szCs w:val="21"/>
              </w:rPr>
              <w:t>项  目</w:t>
            </w:r>
          </w:p>
        </w:tc>
        <w:tc>
          <w:tcPr>
            <w:tcW w:w="2268" w:type="dxa"/>
            <w:tcBorders>
              <w:top w:val="single" w:color="auto" w:sz="8" w:space="0"/>
              <w:bottom w:val="single" w:color="auto" w:sz="4" w:space="0"/>
            </w:tcBorders>
            <w:shd w:val="clear" w:color="auto" w:fill="auto"/>
            <w:vAlign w:val="center"/>
          </w:tcPr>
          <w:p w14:paraId="6B6567C7">
            <w:pPr>
              <w:adjustRightInd w:val="0"/>
              <w:snapToGrid w:val="0"/>
              <w:rPr>
                <w:rFonts w:ascii="Arial Narrow" w:hAnsi="Arial Narrow" w:eastAsia="仿宋_GB2312"/>
                <w:b/>
                <w:bCs/>
                <w:szCs w:val="21"/>
              </w:rPr>
            </w:pPr>
            <w:r>
              <w:rPr>
                <w:rFonts w:ascii="Arial Narrow" w:hAnsi="Arial Narrow" w:eastAsia="仿宋_GB2312"/>
                <w:b/>
                <w:bCs/>
                <w:szCs w:val="21"/>
              </w:rPr>
              <w:t>内  容</w:t>
            </w:r>
          </w:p>
        </w:tc>
        <w:tc>
          <w:tcPr>
            <w:tcW w:w="1980" w:type="dxa"/>
            <w:tcBorders>
              <w:top w:val="single" w:color="auto" w:sz="8" w:space="0"/>
              <w:bottom w:val="single" w:color="auto" w:sz="4" w:space="0"/>
            </w:tcBorders>
            <w:shd w:val="clear" w:color="auto" w:fill="auto"/>
            <w:vAlign w:val="center"/>
          </w:tcPr>
          <w:p w14:paraId="2C4B33FB">
            <w:pPr>
              <w:adjustRightInd w:val="0"/>
              <w:snapToGrid w:val="0"/>
              <w:jc w:val="right"/>
              <w:rPr>
                <w:rFonts w:ascii="Arial Narrow" w:hAnsi="Arial Narrow" w:eastAsia="仿宋_GB2312"/>
                <w:b/>
                <w:bCs/>
                <w:szCs w:val="21"/>
              </w:rPr>
            </w:pPr>
            <w:r>
              <w:rPr>
                <w:rFonts w:ascii="Arial Narrow" w:hAnsi="Arial Narrow" w:eastAsia="仿宋_GB2312"/>
                <w:b/>
                <w:bCs/>
                <w:szCs w:val="21"/>
              </w:rPr>
              <w:t>对财务状况和经营成果的影响数</w:t>
            </w:r>
          </w:p>
        </w:tc>
        <w:tc>
          <w:tcPr>
            <w:tcW w:w="2556" w:type="dxa"/>
            <w:tcBorders>
              <w:top w:val="single" w:color="auto" w:sz="8" w:space="0"/>
              <w:bottom w:val="single" w:color="auto" w:sz="4" w:space="0"/>
            </w:tcBorders>
            <w:shd w:val="clear" w:color="auto" w:fill="auto"/>
            <w:vAlign w:val="center"/>
          </w:tcPr>
          <w:p w14:paraId="5C15F33B">
            <w:pPr>
              <w:adjustRightInd w:val="0"/>
              <w:snapToGrid w:val="0"/>
              <w:jc w:val="right"/>
              <w:rPr>
                <w:rFonts w:ascii="Arial Narrow" w:hAnsi="Arial Narrow" w:eastAsia="仿宋_GB2312"/>
                <w:b/>
                <w:bCs/>
                <w:szCs w:val="21"/>
              </w:rPr>
            </w:pPr>
            <w:r>
              <w:rPr>
                <w:rFonts w:ascii="Arial Narrow" w:hAnsi="Arial Narrow" w:eastAsia="仿宋_GB2312"/>
                <w:b/>
                <w:bCs/>
                <w:szCs w:val="21"/>
              </w:rPr>
              <w:t>无法估计影响数的原因</w:t>
            </w:r>
          </w:p>
        </w:tc>
      </w:tr>
      <w:tr w14:paraId="0DCFA0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tcBorders>
              <w:top w:val="single" w:color="auto" w:sz="4" w:space="0"/>
            </w:tcBorders>
            <w:shd w:val="clear" w:color="auto" w:fill="auto"/>
            <w:vAlign w:val="center"/>
          </w:tcPr>
          <w:p w14:paraId="7C81DD53">
            <w:pPr>
              <w:rPr>
                <w:rFonts w:ascii="Arial Narrow" w:hAnsi="Arial Narrow" w:eastAsia="仿宋_GB2312"/>
              </w:rPr>
            </w:pPr>
          </w:p>
        </w:tc>
        <w:tc>
          <w:tcPr>
            <w:tcW w:w="2268" w:type="dxa"/>
            <w:tcBorders>
              <w:top w:val="single" w:color="auto" w:sz="4" w:space="0"/>
            </w:tcBorders>
            <w:shd w:val="clear" w:color="auto" w:fill="auto"/>
            <w:vAlign w:val="center"/>
          </w:tcPr>
          <w:p w14:paraId="1D14C485">
            <w:pPr>
              <w:rPr>
                <w:rFonts w:ascii="Arial Narrow" w:hAnsi="Arial Narrow" w:eastAsia="仿宋_GB2312"/>
              </w:rPr>
            </w:pPr>
          </w:p>
        </w:tc>
        <w:tc>
          <w:tcPr>
            <w:tcW w:w="1980" w:type="dxa"/>
            <w:tcBorders>
              <w:top w:val="single" w:color="auto" w:sz="4" w:space="0"/>
            </w:tcBorders>
            <w:shd w:val="clear" w:color="auto" w:fill="auto"/>
            <w:vAlign w:val="center"/>
          </w:tcPr>
          <w:p w14:paraId="40C3F676">
            <w:pPr>
              <w:jc w:val="right"/>
              <w:rPr>
                <w:rFonts w:ascii="Arial Narrow" w:hAnsi="Arial Narrow" w:eastAsia="仿宋_GB2312"/>
              </w:rPr>
            </w:pPr>
          </w:p>
        </w:tc>
        <w:tc>
          <w:tcPr>
            <w:tcW w:w="2556" w:type="dxa"/>
            <w:tcBorders>
              <w:top w:val="single" w:color="auto" w:sz="4" w:space="0"/>
            </w:tcBorders>
            <w:shd w:val="clear" w:color="auto" w:fill="auto"/>
            <w:vAlign w:val="center"/>
          </w:tcPr>
          <w:p w14:paraId="38D2E608">
            <w:pPr>
              <w:jc w:val="right"/>
              <w:rPr>
                <w:rFonts w:ascii="Arial Narrow" w:hAnsi="Arial Narrow" w:eastAsia="仿宋_GB2312"/>
              </w:rPr>
            </w:pPr>
          </w:p>
        </w:tc>
      </w:tr>
      <w:tr w14:paraId="467348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715098F8">
            <w:pPr>
              <w:rPr>
                <w:rFonts w:ascii="Arial Narrow" w:hAnsi="Arial Narrow" w:eastAsia="仿宋_GB2312"/>
              </w:rPr>
            </w:pPr>
          </w:p>
        </w:tc>
        <w:tc>
          <w:tcPr>
            <w:tcW w:w="2268" w:type="dxa"/>
            <w:shd w:val="clear" w:color="auto" w:fill="auto"/>
            <w:vAlign w:val="center"/>
          </w:tcPr>
          <w:p w14:paraId="3C095350">
            <w:pPr>
              <w:rPr>
                <w:rFonts w:ascii="Arial Narrow" w:hAnsi="Arial Narrow" w:eastAsia="仿宋_GB2312"/>
              </w:rPr>
            </w:pPr>
          </w:p>
        </w:tc>
        <w:tc>
          <w:tcPr>
            <w:tcW w:w="1980" w:type="dxa"/>
            <w:shd w:val="clear" w:color="auto" w:fill="auto"/>
            <w:vAlign w:val="center"/>
          </w:tcPr>
          <w:p w14:paraId="4CCDE939">
            <w:pPr>
              <w:jc w:val="right"/>
              <w:rPr>
                <w:rFonts w:ascii="Arial Narrow" w:hAnsi="Arial Narrow" w:eastAsia="仿宋_GB2312"/>
              </w:rPr>
            </w:pPr>
          </w:p>
        </w:tc>
        <w:tc>
          <w:tcPr>
            <w:tcW w:w="2556" w:type="dxa"/>
            <w:shd w:val="clear" w:color="auto" w:fill="auto"/>
            <w:vAlign w:val="center"/>
          </w:tcPr>
          <w:p w14:paraId="1278FC49">
            <w:pPr>
              <w:jc w:val="right"/>
              <w:rPr>
                <w:rFonts w:ascii="Arial Narrow" w:hAnsi="Arial Narrow" w:eastAsia="仿宋_GB2312"/>
              </w:rPr>
            </w:pPr>
          </w:p>
        </w:tc>
      </w:tr>
      <w:tr w14:paraId="3DC9DB9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4FAE3126">
            <w:pPr>
              <w:rPr>
                <w:rFonts w:ascii="Arial Narrow" w:hAnsi="Arial Narrow" w:eastAsia="仿宋_GB2312"/>
              </w:rPr>
            </w:pPr>
          </w:p>
        </w:tc>
        <w:tc>
          <w:tcPr>
            <w:tcW w:w="2268" w:type="dxa"/>
            <w:shd w:val="clear" w:color="auto" w:fill="auto"/>
            <w:vAlign w:val="center"/>
          </w:tcPr>
          <w:p w14:paraId="68A05771">
            <w:pPr>
              <w:rPr>
                <w:rFonts w:ascii="Arial Narrow" w:hAnsi="Arial Narrow" w:eastAsia="仿宋_GB2312"/>
              </w:rPr>
            </w:pPr>
          </w:p>
        </w:tc>
        <w:tc>
          <w:tcPr>
            <w:tcW w:w="1980" w:type="dxa"/>
            <w:shd w:val="clear" w:color="auto" w:fill="auto"/>
            <w:vAlign w:val="center"/>
          </w:tcPr>
          <w:p w14:paraId="6A4785AE">
            <w:pPr>
              <w:jc w:val="right"/>
              <w:rPr>
                <w:rFonts w:ascii="Arial Narrow" w:hAnsi="Arial Narrow" w:eastAsia="仿宋_GB2312"/>
              </w:rPr>
            </w:pPr>
          </w:p>
        </w:tc>
        <w:tc>
          <w:tcPr>
            <w:tcW w:w="2556" w:type="dxa"/>
            <w:shd w:val="clear" w:color="auto" w:fill="auto"/>
            <w:vAlign w:val="center"/>
          </w:tcPr>
          <w:p w14:paraId="54E0592C">
            <w:pPr>
              <w:jc w:val="right"/>
              <w:rPr>
                <w:rFonts w:ascii="Arial Narrow" w:hAnsi="Arial Narrow" w:eastAsia="仿宋_GB2312"/>
              </w:rPr>
            </w:pPr>
          </w:p>
        </w:tc>
      </w:tr>
      <w:tr w14:paraId="4C3C5F6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PrEx>
        <w:trPr>
          <w:cantSplit/>
          <w:trHeight w:val="340" w:hRule="atLeast"/>
          <w:jc w:val="center"/>
        </w:trPr>
        <w:tc>
          <w:tcPr>
            <w:tcW w:w="2268" w:type="dxa"/>
            <w:shd w:val="clear" w:color="auto" w:fill="auto"/>
            <w:vAlign w:val="center"/>
          </w:tcPr>
          <w:p w14:paraId="03F99A81">
            <w:pPr>
              <w:rPr>
                <w:rFonts w:ascii="Arial Narrow" w:hAnsi="Arial Narrow" w:eastAsia="仿宋_GB2312"/>
              </w:rPr>
            </w:pPr>
          </w:p>
        </w:tc>
        <w:tc>
          <w:tcPr>
            <w:tcW w:w="2268" w:type="dxa"/>
            <w:shd w:val="clear" w:color="auto" w:fill="auto"/>
            <w:vAlign w:val="center"/>
          </w:tcPr>
          <w:p w14:paraId="19A90342">
            <w:pPr>
              <w:rPr>
                <w:rFonts w:ascii="Arial Narrow" w:hAnsi="Arial Narrow" w:eastAsia="仿宋_GB2312"/>
              </w:rPr>
            </w:pPr>
          </w:p>
        </w:tc>
        <w:tc>
          <w:tcPr>
            <w:tcW w:w="1980" w:type="dxa"/>
            <w:shd w:val="clear" w:color="auto" w:fill="auto"/>
            <w:vAlign w:val="center"/>
          </w:tcPr>
          <w:p w14:paraId="03EEBDE4">
            <w:pPr>
              <w:jc w:val="right"/>
              <w:rPr>
                <w:rFonts w:ascii="Arial Narrow" w:hAnsi="Arial Narrow" w:eastAsia="仿宋_GB2312"/>
              </w:rPr>
            </w:pPr>
          </w:p>
        </w:tc>
        <w:tc>
          <w:tcPr>
            <w:tcW w:w="2556" w:type="dxa"/>
            <w:shd w:val="clear" w:color="auto" w:fill="auto"/>
            <w:vAlign w:val="center"/>
          </w:tcPr>
          <w:p w14:paraId="78F78F2B">
            <w:pPr>
              <w:jc w:val="right"/>
              <w:rPr>
                <w:rFonts w:ascii="Arial Narrow" w:hAnsi="Arial Narrow" w:eastAsia="仿宋_GB2312"/>
              </w:rPr>
            </w:pPr>
          </w:p>
        </w:tc>
      </w:tr>
    </w:tbl>
    <w:p w14:paraId="732E4B86">
      <w:pPr>
        <w:pStyle w:val="4"/>
        <w:spacing w:before="120" w:after="216"/>
        <w:rPr>
          <w:rFonts w:hint="eastAsia" w:asciiTheme="minorHAnsi" w:hAnsiTheme="minorHAnsi" w:eastAsiaTheme="minorEastAsia" w:cstheme="minorBidi"/>
          <w:kern w:val="0"/>
          <w:sz w:val="20"/>
          <w:szCs w:val="20"/>
        </w:rPr>
      </w:pPr>
      <w:r>
        <w:t>资产负债表日后利润分配情况说明</w:t>
      </w:r>
    </w:p>
    <w:tbl>
      <w:tblPr>
        <w:tblStyle w:val="12"/>
        <w:tblW w:w="0" w:type="auto"/>
        <w:jc w:val="center"/>
        <w:tblLayout w:type="fixed"/>
        <w:tblCellMar>
          <w:top w:w="0" w:type="dxa"/>
          <w:left w:w="108" w:type="dxa"/>
          <w:bottom w:w="0" w:type="dxa"/>
          <w:right w:w="108" w:type="dxa"/>
        </w:tblCellMar>
      </w:tblPr>
      <w:tblGrid>
        <w:gridCol w:w="4535"/>
        <w:gridCol w:w="4535"/>
      </w:tblGrid>
      <w:tr w14:paraId="47973DD3">
        <w:trPr>
          <w:trHeight w:val="340" w:hRule="atLeast"/>
          <w:tblHeader/>
          <w:jc w:val="center"/>
        </w:trPr>
        <w:tc>
          <w:tcPr>
            <w:tcW w:w="4535" w:type="dxa"/>
            <w:tcBorders>
              <w:top w:val="single" w:color="auto" w:sz="8" w:space="0"/>
              <w:left w:val="nil"/>
              <w:bottom w:val="nil"/>
              <w:right w:val="nil"/>
            </w:tcBorders>
            <w:shd w:val="clear" w:color="auto" w:fill="auto"/>
            <w:noWrap/>
            <w:vAlign w:val="center"/>
          </w:tcPr>
          <w:p w14:paraId="447D88C9">
            <w:pPr>
              <w:widowControl/>
              <w:jc w:val="left"/>
              <w:rPr>
                <w:rFonts w:ascii="仿宋_GB2312" w:hAnsi="Arial Narrow" w:eastAsia="仿宋_GB2312"/>
                <w:szCs w:val="21"/>
              </w:rPr>
            </w:pPr>
            <w:bookmarkStart w:id="12" w:name="jds412"/>
            <w:r>
              <w:rPr>
                <w:rFonts w:hint="eastAsia" w:ascii="仿宋_GB2312" w:hAnsi="Arial Narrow" w:eastAsia="仿宋_GB2312"/>
                <w:szCs w:val="21"/>
              </w:rPr>
              <w:t>拟分配的利润或股利</w:t>
            </w:r>
          </w:p>
        </w:tc>
        <w:tc>
          <w:tcPr>
            <w:tcW w:w="4535" w:type="dxa"/>
            <w:tcBorders>
              <w:top w:val="single" w:color="auto" w:sz="8" w:space="0"/>
              <w:left w:val="nil"/>
              <w:bottom w:val="nil"/>
              <w:right w:val="nil"/>
            </w:tcBorders>
            <w:shd w:val="clear" w:color="auto" w:fill="auto"/>
            <w:noWrap/>
            <w:vAlign w:val="center"/>
          </w:tcPr>
          <w:p w14:paraId="1EF567AE">
            <w:pPr>
              <w:jc w:val="right"/>
              <w:rPr>
                <w:rFonts w:ascii="Arial Narrow" w:hAnsi="Arial Narrow"/>
                <w:szCs w:val="21"/>
              </w:rPr>
            </w:pPr>
          </w:p>
        </w:tc>
      </w:tr>
      <w:tr w14:paraId="254D74E3">
        <w:tblPrEx>
          <w:tblCellMar>
            <w:top w:w="0" w:type="dxa"/>
            <w:left w:w="108" w:type="dxa"/>
            <w:bottom w:w="0" w:type="dxa"/>
            <w:right w:w="108" w:type="dxa"/>
          </w:tblCellMar>
        </w:tblPrEx>
        <w:trPr>
          <w:trHeight w:val="340" w:hRule="atLeast"/>
          <w:jc w:val="center"/>
        </w:trPr>
        <w:tc>
          <w:tcPr>
            <w:tcW w:w="4535" w:type="dxa"/>
            <w:tcBorders>
              <w:top w:val="nil"/>
              <w:left w:val="nil"/>
              <w:bottom w:val="single" w:color="auto" w:sz="8" w:space="0"/>
              <w:right w:val="nil"/>
            </w:tcBorders>
            <w:shd w:val="clear" w:color="auto" w:fill="auto"/>
            <w:noWrap/>
            <w:vAlign w:val="center"/>
          </w:tcPr>
          <w:p w14:paraId="102BA9A9">
            <w:pPr>
              <w:jc w:val="left"/>
              <w:rPr>
                <w:rFonts w:ascii="仿宋_GB2312" w:hAnsi="Arial Narrow" w:eastAsia="仿宋_GB2312"/>
                <w:szCs w:val="21"/>
              </w:rPr>
            </w:pPr>
            <w:r>
              <w:rPr>
                <w:rFonts w:hint="eastAsia" w:ascii="仿宋_GB2312" w:hAnsi="Arial Narrow" w:eastAsia="仿宋_GB2312"/>
                <w:szCs w:val="21"/>
              </w:rPr>
              <w:t>经审议批准宣告发放的利润或股利</w:t>
            </w:r>
          </w:p>
        </w:tc>
        <w:tc>
          <w:tcPr>
            <w:tcW w:w="4535" w:type="dxa"/>
            <w:tcBorders>
              <w:top w:val="nil"/>
              <w:left w:val="nil"/>
              <w:bottom w:val="single" w:color="auto" w:sz="8" w:space="0"/>
              <w:right w:val="nil"/>
            </w:tcBorders>
            <w:shd w:val="clear" w:color="auto" w:fill="auto"/>
            <w:noWrap/>
            <w:vAlign w:val="center"/>
          </w:tcPr>
          <w:p w14:paraId="76188259">
            <w:pPr>
              <w:jc w:val="right"/>
              <w:rPr>
                <w:rFonts w:ascii="Arial Narrow" w:hAnsi="Arial Narrow"/>
                <w:szCs w:val="21"/>
              </w:rPr>
            </w:pPr>
          </w:p>
        </w:tc>
      </w:tr>
      <w:bookmarkEnd w:id="12"/>
    </w:tbl>
    <w:p w14:paraId="7F9ABEDB">
      <w:pPr>
        <w:pStyle w:val="4"/>
        <w:spacing w:before="120" w:after="216"/>
      </w:pPr>
      <w:r>
        <w:t>销售退回</w:t>
      </w:r>
    </w:p>
    <w:p w14:paraId="6E98C254">
      <w:pPr>
        <w:pStyle w:val="4"/>
        <w:spacing w:before="120" w:after="216"/>
      </w:pPr>
      <w:r>
        <w:t>其他资产负债表日后事项说明</w:t>
      </w:r>
    </w:p>
    <w:p w14:paraId="75640A9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（如果公司没有需要说明的资产负债表日后事项，也应予以说明。）</w:t>
      </w:r>
    </w:p>
    <w:p w14:paraId="19F67F33">
      <w:pPr>
        <w:snapToGrid w:val="0"/>
        <w:spacing w:after="216" w:afterLines="90"/>
        <w:rPr>
          <w:rFonts w:ascii="Arial Narrow" w:hAnsi="Arial Narrow" w:eastAsia="仿宋_GB2312"/>
          <w:color w:val="FF000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2026年X月X日</w:t>
      </w:r>
      <w:r>
        <w:rPr>
          <w:rFonts w:ascii="Arial Narrow" w:hAnsi="Arial Narrow" w:eastAsia="仿宋_GB2312"/>
          <w:color w:val="FF0000"/>
          <w:sz w:val="24"/>
        </w:rPr>
        <w:t>（董事会批准报告日），本公司不存在应披露的资产负债表日后事项。</w:t>
      </w:r>
    </w:p>
    <w:p w14:paraId="207A7A42">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（特别提示：如披露了以上一项或多项资产负债表日后事项，则上述语句修改为：）</w:t>
      </w:r>
    </w:p>
    <w:p w14:paraId="15B0E855">
      <w:pPr>
        <w:snapToGrid w:val="0"/>
        <w:spacing w:after="216" w:afterLines="90"/>
        <w:rPr>
          <w:rFonts w:ascii="Arial Narrow" w:hAnsi="Arial Narrow" w:eastAsia="仿宋_GB2312" w:cs="Arial"/>
          <w:bCs/>
          <w:color w:val="0000FF"/>
          <w:kern w:val="0"/>
          <w:sz w:val="24"/>
        </w:rPr>
      </w:pPr>
      <w:r>
        <w:rPr>
          <w:rFonts w:ascii="Arial Narrow" w:hAnsi="Arial Narrow" w:eastAsia="仿宋_GB2312"/>
          <w:color w:val="FF0000"/>
          <w:sz w:val="24"/>
        </w:rPr>
        <w:t>截至</w:t>
      </w:r>
      <w:r>
        <w:rPr>
          <w:rFonts w:ascii="Arial Narrow" w:hAnsi="Arial Narrow" w:eastAsia="仿宋_GB2312" w:cs="Arial"/>
          <w:color w:val="FF0000"/>
          <w:sz w:val="24"/>
        </w:rPr>
        <w:t>2026年X月X 日</w:t>
      </w:r>
      <w:r>
        <w:rPr>
          <w:rFonts w:ascii="Arial Narrow" w:hAnsi="Arial Narrow" w:eastAsia="仿宋_GB2312"/>
          <w:color w:val="FF0000"/>
          <w:sz w:val="24"/>
        </w:rPr>
        <w:t>（董事会批准报告日），本公司不存在其他应披露的资产负债表日后事项。</w:t>
      </w:r>
    </w:p>
    <w:p w14:paraId="3ECDBAC1">
      <w:pPr>
        <w:pStyle w:val="2"/>
        <w:spacing w:before="120" w:after="216"/>
      </w:pPr>
      <w:bookmarkStart w:id="13" w:name="_Ref78903103"/>
      <w:r>
        <w:t>关联方关系及其交易</w:t>
      </w:r>
      <w:bookmarkEnd w:id="13"/>
    </w:p>
    <w:p w14:paraId="7582489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（注：国有控股上市公司，关联方的认定应同时遵循企业会计准则和证监会相关规定）</w:t>
      </w:r>
    </w:p>
    <w:p w14:paraId="2227B7D4">
      <w:pPr>
        <w:pStyle w:val="4"/>
        <w:numPr>
          <w:ilvl w:val="2"/>
          <w:numId w:val="19"/>
        </w:numPr>
        <w:spacing w:before="120" w:after="216"/>
        <w:ind w:left="0"/>
      </w:pPr>
      <w:r>
        <w:t>本公司的母公司情况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46"/>
        <w:gridCol w:w="1130"/>
        <w:gridCol w:w="1357"/>
        <w:gridCol w:w="1130"/>
        <w:gridCol w:w="1504"/>
        <w:gridCol w:w="1505"/>
      </w:tblGrid>
      <w:tr w14:paraId="444B844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348" w:type="pct"/>
            <w:tcBorders>
              <w:top w:val="single" w:color="auto" w:sz="8" w:space="0"/>
              <w:bottom w:val="single" w:color="auto" w:sz="4" w:space="0"/>
            </w:tcBorders>
            <w:shd w:val="clear" w:color="auto" w:fill="auto"/>
            <w:vAlign w:val="center"/>
          </w:tcPr>
          <w:p w14:paraId="68C3F3F0">
            <w:pPr>
              <w:pStyle w:val="1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母公司名称</w:t>
            </w:r>
          </w:p>
        </w:tc>
        <w:tc>
          <w:tcPr>
            <w:tcW w:w="623" w:type="pct"/>
            <w:tcBorders>
              <w:top w:val="single" w:color="auto" w:sz="8" w:space="0"/>
              <w:bottom w:val="single" w:color="auto" w:sz="4" w:space="0"/>
            </w:tcBorders>
            <w:shd w:val="clear" w:color="auto" w:fill="auto"/>
            <w:vAlign w:val="center"/>
          </w:tcPr>
          <w:p w14:paraId="407239AB">
            <w:pPr>
              <w:pStyle w:val="1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注册地</w:t>
            </w:r>
          </w:p>
        </w:tc>
        <w:tc>
          <w:tcPr>
            <w:tcW w:w="748" w:type="pct"/>
            <w:tcBorders>
              <w:top w:val="single" w:color="auto" w:sz="8" w:space="0"/>
              <w:bottom w:val="single" w:color="auto" w:sz="4" w:space="0"/>
            </w:tcBorders>
            <w:shd w:val="clear" w:color="auto" w:fill="auto"/>
            <w:vAlign w:val="center"/>
          </w:tcPr>
          <w:p w14:paraId="791B3C25">
            <w:pPr>
              <w:pStyle w:val="16"/>
              <w:spacing w:afterLines="0" w:line="240" w:lineRule="auto"/>
              <w:ind w:firstLine="0" w:firstLineChars="0"/>
              <w:rPr>
                <w:rFonts w:ascii="Arial Narrow" w:hAnsi="Arial Narrow" w:eastAsia="仿宋_GB2312"/>
                <w:b/>
                <w:szCs w:val="21"/>
              </w:rPr>
            </w:pPr>
            <w:r>
              <w:rPr>
                <w:rFonts w:ascii="Arial Narrow" w:hAnsi="Arial Narrow" w:eastAsia="仿宋_GB2312"/>
                <w:b/>
                <w:szCs w:val="21"/>
              </w:rPr>
              <w:t>业务性质</w:t>
            </w:r>
          </w:p>
        </w:tc>
        <w:tc>
          <w:tcPr>
            <w:tcW w:w="623" w:type="pct"/>
            <w:tcBorders>
              <w:top w:val="single" w:color="auto" w:sz="8" w:space="0"/>
              <w:bottom w:val="single" w:color="auto" w:sz="4" w:space="0"/>
            </w:tcBorders>
            <w:shd w:val="clear" w:color="auto" w:fill="auto"/>
            <w:vAlign w:val="center"/>
          </w:tcPr>
          <w:p w14:paraId="24DF4E48">
            <w:pPr>
              <w:pStyle w:val="1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注册资本</w:t>
            </w:r>
          </w:p>
        </w:tc>
        <w:tc>
          <w:tcPr>
            <w:tcW w:w="829" w:type="pct"/>
            <w:tcBorders>
              <w:top w:val="single" w:color="auto" w:sz="8" w:space="0"/>
              <w:bottom w:val="single" w:color="auto" w:sz="4" w:space="0"/>
            </w:tcBorders>
            <w:shd w:val="clear" w:color="auto" w:fill="auto"/>
            <w:vAlign w:val="center"/>
          </w:tcPr>
          <w:p w14:paraId="25CAD6EE">
            <w:pPr>
              <w:pStyle w:val="1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母公司对本公司的持股比例（%）</w:t>
            </w:r>
          </w:p>
        </w:tc>
        <w:tc>
          <w:tcPr>
            <w:tcW w:w="830" w:type="pct"/>
            <w:tcBorders>
              <w:top w:val="single" w:color="auto" w:sz="8" w:space="0"/>
              <w:bottom w:val="single" w:color="auto" w:sz="4" w:space="0"/>
            </w:tcBorders>
            <w:shd w:val="clear" w:color="auto" w:fill="auto"/>
            <w:vAlign w:val="center"/>
          </w:tcPr>
          <w:p w14:paraId="71A439D5">
            <w:pPr>
              <w:pStyle w:val="16"/>
              <w:spacing w:afterLines="0" w:line="240" w:lineRule="auto"/>
              <w:ind w:firstLine="0" w:firstLineChars="0"/>
              <w:jc w:val="right"/>
              <w:rPr>
                <w:rFonts w:ascii="Arial Narrow" w:hAnsi="Arial Narrow" w:eastAsia="仿宋_GB2312"/>
                <w:b/>
                <w:szCs w:val="21"/>
              </w:rPr>
            </w:pPr>
            <w:r>
              <w:rPr>
                <w:rFonts w:ascii="Arial Narrow" w:hAnsi="Arial Narrow" w:eastAsia="仿宋_GB2312"/>
                <w:b/>
                <w:szCs w:val="21"/>
              </w:rPr>
              <w:t>母公司对本公司的表决权比例（%）</w:t>
            </w:r>
          </w:p>
        </w:tc>
      </w:tr>
      <w:tr w14:paraId="1821BF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348" w:type="pct"/>
            <w:tcBorders>
              <w:top w:val="single" w:color="auto" w:sz="4" w:space="0"/>
            </w:tcBorders>
            <w:shd w:val="clear" w:color="auto" w:fill="auto"/>
            <w:vAlign w:val="center"/>
          </w:tcPr>
          <w:p w14:paraId="201DB6C3">
            <w:pPr>
              <w:rPr>
                <w:rFonts w:ascii="Arial Narrow" w:hAnsi="Arial Narrow" w:eastAsia="仿宋_GB2312"/>
              </w:rPr>
            </w:pPr>
          </w:p>
        </w:tc>
        <w:tc>
          <w:tcPr>
            <w:tcW w:w="623" w:type="pct"/>
            <w:tcBorders>
              <w:top w:val="single" w:color="auto" w:sz="4" w:space="0"/>
            </w:tcBorders>
            <w:shd w:val="clear" w:color="auto" w:fill="auto"/>
            <w:vAlign w:val="center"/>
          </w:tcPr>
          <w:p w14:paraId="2EF92810">
            <w:pPr>
              <w:rPr>
                <w:rFonts w:ascii="Arial Narrow" w:hAnsi="Arial Narrow" w:eastAsia="仿宋_GB2312"/>
              </w:rPr>
            </w:pPr>
          </w:p>
        </w:tc>
        <w:tc>
          <w:tcPr>
            <w:tcW w:w="748" w:type="pct"/>
            <w:tcBorders>
              <w:top w:val="single" w:color="auto" w:sz="4" w:space="0"/>
            </w:tcBorders>
            <w:shd w:val="clear" w:color="auto" w:fill="auto"/>
            <w:vAlign w:val="center"/>
          </w:tcPr>
          <w:p w14:paraId="2782C3C2">
            <w:pPr>
              <w:rPr>
                <w:rFonts w:ascii="Arial Narrow" w:hAnsi="Arial Narrow" w:eastAsia="仿宋_GB2312"/>
              </w:rPr>
            </w:pPr>
          </w:p>
        </w:tc>
        <w:tc>
          <w:tcPr>
            <w:tcW w:w="623" w:type="pct"/>
            <w:tcBorders>
              <w:top w:val="single" w:color="auto" w:sz="4" w:space="0"/>
            </w:tcBorders>
            <w:shd w:val="clear" w:color="auto" w:fill="auto"/>
            <w:vAlign w:val="center"/>
          </w:tcPr>
          <w:p w14:paraId="5E9CAA10">
            <w:pPr>
              <w:jc w:val="right"/>
              <w:rPr>
                <w:rFonts w:ascii="Arial Narrow" w:hAnsi="Arial Narrow" w:eastAsia="仿宋_GB2312"/>
              </w:rPr>
            </w:pPr>
          </w:p>
        </w:tc>
        <w:tc>
          <w:tcPr>
            <w:tcW w:w="829" w:type="pct"/>
            <w:tcBorders>
              <w:top w:val="single" w:color="auto" w:sz="4" w:space="0"/>
            </w:tcBorders>
            <w:shd w:val="clear" w:color="auto" w:fill="auto"/>
            <w:vAlign w:val="center"/>
          </w:tcPr>
          <w:p w14:paraId="3B3517AE">
            <w:pPr>
              <w:jc w:val="right"/>
              <w:rPr>
                <w:rFonts w:ascii="Arial Narrow" w:hAnsi="Arial Narrow" w:eastAsia="仿宋_GB2312"/>
              </w:rPr>
            </w:pPr>
          </w:p>
        </w:tc>
        <w:tc>
          <w:tcPr>
            <w:tcW w:w="830" w:type="pct"/>
            <w:tcBorders>
              <w:top w:val="single" w:color="auto" w:sz="4" w:space="0"/>
            </w:tcBorders>
            <w:shd w:val="clear" w:color="auto" w:fill="auto"/>
            <w:vAlign w:val="center"/>
          </w:tcPr>
          <w:p w14:paraId="7EDA4F51">
            <w:pPr>
              <w:jc w:val="right"/>
              <w:rPr>
                <w:rFonts w:ascii="Arial Narrow" w:hAnsi="Arial Narrow" w:eastAsia="仿宋_GB2312"/>
              </w:rPr>
            </w:pPr>
          </w:p>
        </w:tc>
      </w:tr>
    </w:tbl>
    <w:p w14:paraId="61C9D78C">
      <w:pPr>
        <w:snapToGrid w:val="0"/>
        <w:spacing w:before="192" w:beforeLines="80" w:after="216" w:afterLines="90"/>
        <w:rPr>
          <w:rFonts w:ascii="Arial Narrow" w:hAnsi="Arial Narrow" w:eastAsia="仿宋_GB2312" w:cs="宋体"/>
          <w:color w:val="FF0000"/>
          <w:kern w:val="0"/>
          <w:sz w:val="24"/>
          <w:szCs w:val="21"/>
        </w:rPr>
      </w:pPr>
      <w:r>
        <w:rPr>
          <w:rFonts w:ascii="Arial Narrow" w:hAnsi="Arial Narrow" w:eastAsia="仿宋_GB2312" w:cs="宋体"/>
          <w:color w:val="FF0000"/>
          <w:kern w:val="0"/>
          <w:sz w:val="24"/>
          <w:szCs w:val="21"/>
        </w:rPr>
        <w:t>本公司的最终控制方为[母公司]/[最终控制方名称]。</w:t>
      </w:r>
    </w:p>
    <w:p w14:paraId="175F0F65">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（注：对于上市公司母公司不是本公司最终控制方的，说明最终控制方名称；母公司和最终控制方均不对外提供财务报表的，说明母公司之上与其最相近的对外提供财务报表的母公司名称。</w:t>
      </w:r>
    </w:p>
    <w:p w14:paraId="34DE60FF">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对于非上市公司按产权级次披露上市母公司信息）</w:t>
      </w:r>
    </w:p>
    <w:p w14:paraId="523BDF2B">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（如报告期内母公司变更、母公司注册资本或实收资本有变化，应按以下格式披露；如无变化，不披露。)</w:t>
      </w:r>
    </w:p>
    <w:p w14:paraId="5DED47DD">
      <w:pPr>
        <w:snapToGrid w:val="0"/>
        <w:spacing w:before="120" w:beforeLines="50" w:after="216" w:afterLines="90"/>
        <w:ind w:left="-2" w:leftChars="-1"/>
        <w:rPr>
          <w:rFonts w:ascii="Arial Narrow" w:hAnsi="Arial Narrow" w:eastAsia="仿宋_GB2312" w:cs="宋体"/>
          <w:kern w:val="0"/>
          <w:sz w:val="24"/>
        </w:rPr>
      </w:pPr>
      <w:r>
        <w:rPr>
          <w:rFonts w:ascii="Arial Narrow" w:hAnsi="Arial Narrow" w:eastAsia="仿宋_GB2312" w:cs="宋体"/>
          <w:kern w:val="0"/>
          <w:sz w:val="24"/>
        </w:rPr>
        <w:t>母公司注册资本</w:t>
      </w:r>
      <w:r>
        <w:rPr>
          <w:rFonts w:ascii="Arial Narrow" w:hAnsi="Arial Narrow" w:eastAsia="仿宋_GB2312" w:cs="宋体"/>
          <w:color w:val="0000FF"/>
          <w:kern w:val="0"/>
          <w:sz w:val="24"/>
        </w:rPr>
        <w:t>（实收资本）</w:t>
      </w:r>
      <w:r>
        <w:rPr>
          <w:rFonts w:ascii="Arial Narrow" w:hAnsi="Arial Narrow" w:eastAsia="仿宋_GB2312" w:cs="宋体"/>
          <w:kern w:val="0"/>
          <w:sz w:val="24"/>
        </w:rPr>
        <w:t>变化</w:t>
      </w:r>
      <w:r>
        <w:rPr>
          <w:rFonts w:hint="eastAsia" w:ascii="Arial Narrow" w:hAnsi="Arial Narrow" w:eastAsia="仿宋_GB2312" w:cs="宋体"/>
          <w:kern w:val="0"/>
          <w:sz w:val="24"/>
        </w:rPr>
        <w:t>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32"/>
        <w:gridCol w:w="1586"/>
        <w:gridCol w:w="1586"/>
        <w:gridCol w:w="1586"/>
        <w:gridCol w:w="1582"/>
      </w:tblGrid>
      <w:tr w14:paraId="2737D46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506" w:type="pct"/>
            <w:tcBorders>
              <w:top w:val="single" w:color="auto" w:sz="8" w:space="0"/>
              <w:bottom w:val="single" w:color="auto" w:sz="4" w:space="0"/>
            </w:tcBorders>
            <w:shd w:val="clear" w:color="auto" w:fill="auto"/>
            <w:vAlign w:val="center"/>
          </w:tcPr>
          <w:p w14:paraId="72EAE1EB">
            <w:pPr>
              <w:adjustRightInd w:val="0"/>
              <w:snapToGrid w:val="0"/>
              <w:rPr>
                <w:rFonts w:ascii="Arial Narrow" w:hAnsi="Arial Narrow" w:eastAsia="仿宋_GB2312"/>
                <w:b/>
                <w:szCs w:val="21"/>
              </w:rPr>
            </w:pPr>
            <w:r>
              <w:rPr>
                <w:rFonts w:ascii="Arial Narrow" w:hAnsi="Arial Narrow" w:eastAsia="仿宋_GB2312"/>
                <w:b/>
                <w:szCs w:val="21"/>
              </w:rPr>
              <w:t>母公司名称</w:t>
            </w:r>
          </w:p>
        </w:tc>
        <w:tc>
          <w:tcPr>
            <w:tcW w:w="874" w:type="pct"/>
            <w:tcBorders>
              <w:top w:val="single" w:color="auto" w:sz="8" w:space="0"/>
              <w:bottom w:val="single" w:color="auto" w:sz="4" w:space="0"/>
            </w:tcBorders>
            <w:shd w:val="clear" w:color="auto" w:fill="auto"/>
            <w:vAlign w:val="center"/>
          </w:tcPr>
          <w:p w14:paraId="37E9DF25">
            <w:pPr>
              <w:adjustRightInd w:val="0"/>
              <w:snapToGrid w:val="0"/>
              <w:jc w:val="right"/>
              <w:rPr>
                <w:rFonts w:ascii="Arial Narrow" w:hAnsi="Arial Narrow" w:eastAsia="仿宋_GB2312"/>
                <w:b/>
                <w:color w:val="000000"/>
                <w:szCs w:val="21"/>
              </w:rPr>
            </w:pPr>
            <w:r>
              <w:rPr>
                <w:rFonts w:hint="eastAsia" w:ascii="Arial Narrow" w:hAnsi="Arial Narrow" w:eastAsia="仿宋_GB2312"/>
                <w:b/>
                <w:color w:val="000000"/>
                <w:szCs w:val="21"/>
              </w:rPr>
              <w:t>期初</w:t>
            </w:r>
            <w:r>
              <w:rPr>
                <w:rFonts w:ascii="Arial Narrow" w:hAnsi="Arial Narrow" w:eastAsia="仿宋_GB2312"/>
                <w:b/>
                <w:color w:val="000000"/>
                <w:szCs w:val="21"/>
              </w:rPr>
              <w:t>余额</w:t>
            </w:r>
          </w:p>
        </w:tc>
        <w:tc>
          <w:tcPr>
            <w:tcW w:w="874" w:type="pct"/>
            <w:tcBorders>
              <w:top w:val="single" w:color="auto" w:sz="8" w:space="0"/>
              <w:bottom w:val="single" w:color="auto" w:sz="4" w:space="0"/>
            </w:tcBorders>
            <w:shd w:val="clear" w:color="auto" w:fill="auto"/>
            <w:vAlign w:val="center"/>
          </w:tcPr>
          <w:p w14:paraId="22226223">
            <w:pPr>
              <w:adjustRightInd w:val="0"/>
              <w:snapToGrid w:val="0"/>
              <w:jc w:val="right"/>
              <w:rPr>
                <w:rFonts w:ascii="Arial Narrow" w:hAnsi="Arial Narrow" w:eastAsia="仿宋_GB2312"/>
                <w:b/>
                <w:szCs w:val="21"/>
              </w:rPr>
            </w:pPr>
            <w:r>
              <w:rPr>
                <w:rFonts w:ascii="Arial Narrow" w:hAnsi="Arial Narrow" w:eastAsia="仿宋_GB2312"/>
                <w:b/>
                <w:szCs w:val="21"/>
              </w:rPr>
              <w:t>本期增加</w:t>
            </w:r>
          </w:p>
        </w:tc>
        <w:tc>
          <w:tcPr>
            <w:tcW w:w="874" w:type="pct"/>
            <w:tcBorders>
              <w:top w:val="single" w:color="auto" w:sz="8" w:space="0"/>
              <w:bottom w:val="single" w:color="auto" w:sz="4" w:space="0"/>
            </w:tcBorders>
            <w:shd w:val="clear" w:color="auto" w:fill="auto"/>
            <w:vAlign w:val="center"/>
          </w:tcPr>
          <w:p w14:paraId="1C1BAE6F">
            <w:pPr>
              <w:adjustRightInd w:val="0"/>
              <w:snapToGrid w:val="0"/>
              <w:jc w:val="right"/>
              <w:rPr>
                <w:rFonts w:ascii="Arial Narrow" w:hAnsi="Arial Narrow" w:eastAsia="仿宋_GB2312"/>
                <w:b/>
                <w:szCs w:val="21"/>
              </w:rPr>
            </w:pPr>
            <w:r>
              <w:rPr>
                <w:rFonts w:ascii="Arial Narrow" w:hAnsi="Arial Narrow" w:eastAsia="仿宋_GB2312"/>
                <w:b/>
                <w:szCs w:val="21"/>
              </w:rPr>
              <w:t>本期减少</w:t>
            </w:r>
          </w:p>
        </w:tc>
        <w:tc>
          <w:tcPr>
            <w:tcW w:w="874" w:type="pct"/>
            <w:tcBorders>
              <w:top w:val="single" w:color="auto" w:sz="8" w:space="0"/>
              <w:bottom w:val="single" w:color="auto" w:sz="4" w:space="0"/>
            </w:tcBorders>
            <w:shd w:val="clear" w:color="auto" w:fill="auto"/>
            <w:vAlign w:val="center"/>
          </w:tcPr>
          <w:p w14:paraId="6CFFAA5E">
            <w:pPr>
              <w:adjustRightInd w:val="0"/>
              <w:snapToGrid w:val="0"/>
              <w:jc w:val="right"/>
              <w:rPr>
                <w:rFonts w:ascii="Arial Narrow" w:hAnsi="Arial Narrow" w:eastAsia="仿宋_GB2312"/>
                <w:b/>
                <w:szCs w:val="21"/>
              </w:rPr>
            </w:pPr>
            <w:r>
              <w:rPr>
                <w:rFonts w:ascii="Arial Narrow" w:hAnsi="Arial Narrow" w:eastAsia="仿宋_GB2312"/>
                <w:b/>
                <w:color w:val="000000"/>
                <w:szCs w:val="21"/>
              </w:rPr>
              <w:t>期末余额</w:t>
            </w:r>
          </w:p>
        </w:tc>
      </w:tr>
      <w:tr w14:paraId="145306B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506" w:type="pct"/>
            <w:tcBorders>
              <w:top w:val="single" w:color="auto" w:sz="4" w:space="0"/>
            </w:tcBorders>
            <w:shd w:val="clear" w:color="auto" w:fill="auto"/>
            <w:vAlign w:val="center"/>
          </w:tcPr>
          <w:p w14:paraId="23DB6D60">
            <w:pPr>
              <w:rPr>
                <w:rFonts w:ascii="Arial Narrow" w:hAnsi="Arial Narrow" w:eastAsia="仿宋_GB2312"/>
              </w:rPr>
            </w:pPr>
          </w:p>
        </w:tc>
        <w:tc>
          <w:tcPr>
            <w:tcW w:w="874" w:type="pct"/>
            <w:tcBorders>
              <w:top w:val="single" w:color="auto" w:sz="4" w:space="0"/>
            </w:tcBorders>
            <w:shd w:val="clear" w:color="auto" w:fill="auto"/>
            <w:vAlign w:val="center"/>
          </w:tcPr>
          <w:p w14:paraId="33FFB113">
            <w:pPr>
              <w:jc w:val="right"/>
              <w:rPr>
                <w:rFonts w:ascii="Arial Narrow" w:hAnsi="Arial Narrow" w:eastAsia="仿宋_GB2312"/>
              </w:rPr>
            </w:pPr>
          </w:p>
        </w:tc>
        <w:tc>
          <w:tcPr>
            <w:tcW w:w="874" w:type="pct"/>
            <w:tcBorders>
              <w:top w:val="single" w:color="auto" w:sz="4" w:space="0"/>
            </w:tcBorders>
            <w:shd w:val="clear" w:color="auto" w:fill="auto"/>
            <w:vAlign w:val="center"/>
          </w:tcPr>
          <w:p w14:paraId="7338FE64">
            <w:pPr>
              <w:jc w:val="right"/>
              <w:rPr>
                <w:rFonts w:ascii="Arial Narrow" w:hAnsi="Arial Narrow" w:eastAsia="仿宋_GB2312"/>
              </w:rPr>
            </w:pPr>
          </w:p>
        </w:tc>
        <w:tc>
          <w:tcPr>
            <w:tcW w:w="874" w:type="pct"/>
            <w:tcBorders>
              <w:top w:val="single" w:color="auto" w:sz="4" w:space="0"/>
            </w:tcBorders>
            <w:shd w:val="clear" w:color="auto" w:fill="auto"/>
            <w:vAlign w:val="center"/>
          </w:tcPr>
          <w:p w14:paraId="6C843005">
            <w:pPr>
              <w:jc w:val="right"/>
              <w:rPr>
                <w:rFonts w:ascii="Arial Narrow" w:hAnsi="Arial Narrow" w:eastAsia="仿宋_GB2312"/>
              </w:rPr>
            </w:pPr>
          </w:p>
        </w:tc>
        <w:tc>
          <w:tcPr>
            <w:tcW w:w="874" w:type="pct"/>
            <w:tcBorders>
              <w:top w:val="single" w:color="auto" w:sz="4" w:space="0"/>
            </w:tcBorders>
            <w:shd w:val="clear" w:color="auto" w:fill="auto"/>
            <w:vAlign w:val="center"/>
          </w:tcPr>
          <w:p w14:paraId="26332D06">
            <w:pPr>
              <w:jc w:val="right"/>
              <w:rPr>
                <w:rFonts w:ascii="Arial Narrow" w:hAnsi="Arial Narrow" w:eastAsia="仿宋_GB2312"/>
              </w:rPr>
            </w:pPr>
          </w:p>
        </w:tc>
      </w:tr>
    </w:tbl>
    <w:p w14:paraId="5036460B">
      <w:pPr>
        <w:pStyle w:val="4"/>
        <w:spacing w:before="120" w:after="216"/>
      </w:pPr>
      <w:r>
        <w:t>本公司的子公司情况</w:t>
      </w:r>
    </w:p>
    <w:p w14:paraId="4D29F57A">
      <w:pPr>
        <w:snapToGrid w:val="0"/>
        <w:spacing w:before="120" w:beforeLines="50" w:after="216" w:afterLines="90"/>
        <w:ind w:left="-2" w:leftChars="-1"/>
        <w:rPr>
          <w:rFonts w:ascii="Arial Narrow" w:hAnsi="Arial Narrow" w:eastAsia="仿宋_GB2312"/>
          <w:sz w:val="24"/>
        </w:rPr>
      </w:pPr>
      <w:r>
        <w:rPr>
          <w:rFonts w:ascii="Arial Narrow" w:hAnsi="Arial Narrow" w:eastAsia="仿宋_GB2312"/>
          <w:sz w:val="24"/>
        </w:rPr>
        <w:t>本公司的子公司情况详见</w:t>
      </w:r>
      <w:r>
        <w:rPr>
          <w:rFonts w:ascii="Arial Narrow" w:hAnsi="Arial Narrow" w:eastAsia="仿宋_GB2312"/>
          <w:color w:val="FF0000"/>
          <w:sz w:val="24"/>
        </w:rPr>
        <w:t>附注</w:t>
      </w:r>
      <w:r>
        <w:rPr>
          <w:rFonts w:hint="eastAsia" w:ascii="Arial Narrow" w:hAnsi="Arial Narrow" w:eastAsia="仿宋_GB2312"/>
          <w:color w:val="FF0000"/>
          <w:sz w:val="24"/>
        </w:rPr>
        <w:t>七、（一）</w:t>
      </w:r>
      <w:r>
        <w:rPr>
          <w:rFonts w:ascii="Arial Narrow" w:hAnsi="Arial Narrow" w:eastAsia="仿宋_GB2312"/>
          <w:sz w:val="24"/>
        </w:rPr>
        <w:t>。</w:t>
      </w:r>
    </w:p>
    <w:p w14:paraId="5DBB2F39">
      <w:pPr>
        <w:pStyle w:val="4"/>
        <w:spacing w:before="120" w:after="216"/>
      </w:pPr>
      <w:bookmarkStart w:id="14" w:name="_Ref78903105"/>
      <w:r>
        <w:t>本公司的合营企业、联营企业情况</w:t>
      </w:r>
      <w:bookmarkEnd w:id="14"/>
    </w:p>
    <w:p w14:paraId="710F78BE">
      <w:pPr>
        <w:pStyle w:val="5"/>
        <w:numPr>
          <w:ilvl w:val="3"/>
          <w:numId w:val="20"/>
        </w:numPr>
      </w:pPr>
      <w:r>
        <w:t>重要的合营企业或联营企业基本信息</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7"/>
        <w:gridCol w:w="1031"/>
        <w:gridCol w:w="1058"/>
        <w:gridCol w:w="1214"/>
        <w:gridCol w:w="911"/>
        <w:gridCol w:w="914"/>
        <w:gridCol w:w="1677"/>
      </w:tblGrid>
      <w:tr w14:paraId="65DD646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restart"/>
            <w:tcBorders>
              <w:top w:val="single" w:color="auto" w:sz="8" w:space="0"/>
              <w:bottom w:val="nil"/>
            </w:tcBorders>
            <w:shd w:val="clear" w:color="auto" w:fill="auto"/>
            <w:vAlign w:val="center"/>
          </w:tcPr>
          <w:p w14:paraId="79980575">
            <w:pPr>
              <w:adjustRightInd w:val="0"/>
              <w:snapToGrid w:val="0"/>
              <w:rPr>
                <w:rFonts w:ascii="Arial Narrow" w:hAnsi="Arial Narrow" w:eastAsia="仿宋_GB2312"/>
                <w:b/>
                <w:szCs w:val="21"/>
              </w:rPr>
            </w:pPr>
            <w:r>
              <w:rPr>
                <w:rFonts w:ascii="Arial Narrow" w:hAnsi="Arial Narrow" w:eastAsia="仿宋_GB2312"/>
                <w:b/>
                <w:szCs w:val="21"/>
              </w:rPr>
              <w:t>合营企业或联营</w:t>
            </w:r>
          </w:p>
          <w:p w14:paraId="58166432">
            <w:pPr>
              <w:adjustRightInd w:val="0"/>
              <w:snapToGrid w:val="0"/>
              <w:rPr>
                <w:rFonts w:ascii="Arial Narrow" w:hAnsi="Arial Narrow" w:eastAsia="仿宋_GB2312"/>
                <w:b/>
                <w:szCs w:val="21"/>
              </w:rPr>
            </w:pPr>
            <w:r>
              <w:rPr>
                <w:rFonts w:ascii="Arial Narrow" w:hAnsi="Arial Narrow" w:eastAsia="仿宋_GB2312"/>
                <w:b/>
                <w:szCs w:val="21"/>
              </w:rPr>
              <w:t>企业名称</w:t>
            </w:r>
          </w:p>
        </w:tc>
        <w:tc>
          <w:tcPr>
            <w:tcW w:w="568" w:type="pct"/>
            <w:vMerge w:val="restart"/>
            <w:tcBorders>
              <w:top w:val="single" w:color="auto" w:sz="8" w:space="0"/>
              <w:bottom w:val="nil"/>
            </w:tcBorders>
            <w:shd w:val="clear" w:color="auto" w:fill="auto"/>
            <w:vAlign w:val="center"/>
          </w:tcPr>
          <w:p w14:paraId="6E0EB464">
            <w:pPr>
              <w:adjustRightInd w:val="0"/>
              <w:snapToGrid w:val="0"/>
              <w:rPr>
                <w:rFonts w:ascii="Arial Narrow" w:hAnsi="Arial Narrow" w:eastAsia="仿宋_GB2312"/>
                <w:b/>
                <w:szCs w:val="21"/>
              </w:rPr>
            </w:pPr>
            <w:r>
              <w:rPr>
                <w:rFonts w:ascii="Arial Narrow" w:hAnsi="Arial Narrow" w:eastAsia="仿宋_GB2312"/>
                <w:b/>
                <w:szCs w:val="21"/>
              </w:rPr>
              <w:t>主要</w:t>
            </w:r>
          </w:p>
          <w:p w14:paraId="452B658D">
            <w:pPr>
              <w:adjustRightInd w:val="0"/>
              <w:snapToGrid w:val="0"/>
              <w:rPr>
                <w:rFonts w:ascii="Arial Narrow" w:hAnsi="Arial Narrow" w:eastAsia="仿宋_GB2312"/>
                <w:b/>
                <w:szCs w:val="21"/>
              </w:rPr>
            </w:pPr>
            <w:r>
              <w:rPr>
                <w:rFonts w:ascii="Arial Narrow" w:hAnsi="Arial Narrow" w:eastAsia="仿宋_GB2312"/>
                <w:b/>
                <w:szCs w:val="21"/>
              </w:rPr>
              <w:t>经营地</w:t>
            </w:r>
          </w:p>
        </w:tc>
        <w:tc>
          <w:tcPr>
            <w:tcW w:w="583" w:type="pct"/>
            <w:vMerge w:val="restart"/>
            <w:tcBorders>
              <w:top w:val="single" w:color="auto" w:sz="8" w:space="0"/>
              <w:bottom w:val="nil"/>
            </w:tcBorders>
            <w:shd w:val="clear" w:color="auto" w:fill="auto"/>
            <w:vAlign w:val="center"/>
          </w:tcPr>
          <w:p w14:paraId="2CE3AA91">
            <w:pPr>
              <w:adjustRightInd w:val="0"/>
              <w:snapToGrid w:val="0"/>
              <w:rPr>
                <w:rFonts w:ascii="Arial Narrow" w:hAnsi="Arial Narrow" w:eastAsia="仿宋_GB2312"/>
                <w:b/>
                <w:szCs w:val="21"/>
              </w:rPr>
            </w:pPr>
            <w:r>
              <w:rPr>
                <w:rFonts w:ascii="Arial Narrow" w:hAnsi="Arial Narrow" w:eastAsia="仿宋_GB2312"/>
                <w:b/>
                <w:szCs w:val="21"/>
              </w:rPr>
              <w:t>注册地</w:t>
            </w:r>
          </w:p>
        </w:tc>
        <w:tc>
          <w:tcPr>
            <w:tcW w:w="669" w:type="pct"/>
            <w:vMerge w:val="restart"/>
            <w:tcBorders>
              <w:top w:val="single" w:color="auto" w:sz="8" w:space="0"/>
              <w:bottom w:val="nil"/>
            </w:tcBorders>
            <w:shd w:val="clear" w:color="auto" w:fill="auto"/>
            <w:vAlign w:val="center"/>
          </w:tcPr>
          <w:p w14:paraId="35133612">
            <w:pPr>
              <w:adjustRightInd w:val="0"/>
              <w:snapToGrid w:val="0"/>
              <w:rPr>
                <w:rFonts w:ascii="Arial Narrow" w:hAnsi="Arial Narrow" w:eastAsia="仿宋_GB2312"/>
                <w:b/>
                <w:szCs w:val="21"/>
              </w:rPr>
            </w:pPr>
            <w:r>
              <w:rPr>
                <w:rFonts w:ascii="Arial Narrow" w:hAnsi="Arial Narrow" w:eastAsia="仿宋_GB2312"/>
                <w:b/>
                <w:szCs w:val="21"/>
              </w:rPr>
              <w:t>业务性质</w:t>
            </w:r>
          </w:p>
        </w:tc>
        <w:tc>
          <w:tcPr>
            <w:tcW w:w="1006" w:type="pct"/>
            <w:gridSpan w:val="2"/>
            <w:tcBorders>
              <w:top w:val="single" w:color="auto" w:sz="8" w:space="0"/>
              <w:bottom w:val="nil"/>
            </w:tcBorders>
            <w:shd w:val="clear" w:color="auto" w:fill="auto"/>
            <w:vAlign w:val="center"/>
          </w:tcPr>
          <w:p w14:paraId="3D0E2FA0">
            <w:pPr>
              <w:adjustRightInd w:val="0"/>
              <w:snapToGrid w:val="0"/>
              <w:jc w:val="center"/>
              <w:rPr>
                <w:rFonts w:ascii="Arial Narrow" w:hAnsi="Arial Narrow" w:eastAsia="仿宋_GB2312"/>
                <w:b/>
                <w:szCs w:val="21"/>
              </w:rPr>
            </w:pPr>
            <w:r>
              <w:rPr>
                <w:rFonts w:ascii="Arial Narrow" w:hAnsi="Arial Narrow" w:eastAsia="仿宋_GB2312"/>
                <w:b/>
                <w:szCs w:val="21"/>
              </w:rPr>
              <w:t>持股比例(%)</w:t>
            </w:r>
          </w:p>
        </w:tc>
        <w:tc>
          <w:tcPr>
            <w:tcW w:w="924" w:type="pct"/>
            <w:vMerge w:val="restart"/>
            <w:tcBorders>
              <w:top w:val="single" w:color="auto" w:sz="8" w:space="0"/>
              <w:bottom w:val="nil"/>
            </w:tcBorders>
            <w:shd w:val="clear" w:color="auto" w:fill="auto"/>
            <w:vAlign w:val="center"/>
          </w:tcPr>
          <w:p w14:paraId="6445D3DB">
            <w:pPr>
              <w:adjustRightInd w:val="0"/>
              <w:snapToGrid w:val="0"/>
              <w:jc w:val="right"/>
              <w:rPr>
                <w:rFonts w:ascii="Arial Narrow" w:hAnsi="Arial Narrow" w:eastAsia="仿宋_GB2312"/>
                <w:b/>
                <w:szCs w:val="21"/>
              </w:rPr>
            </w:pPr>
            <w:r>
              <w:rPr>
                <w:rFonts w:ascii="Arial Narrow" w:hAnsi="Arial Narrow" w:eastAsia="仿宋_GB2312"/>
                <w:b/>
                <w:szCs w:val="21"/>
              </w:rPr>
              <w:t>表决权比例(%)</w:t>
            </w:r>
          </w:p>
        </w:tc>
      </w:tr>
      <w:tr w14:paraId="5AB5590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250" w:type="pct"/>
            <w:vMerge w:val="continue"/>
            <w:tcBorders>
              <w:top w:val="nil"/>
              <w:bottom w:val="single" w:color="auto" w:sz="4" w:space="0"/>
            </w:tcBorders>
            <w:shd w:val="clear" w:color="auto" w:fill="auto"/>
            <w:vAlign w:val="center"/>
          </w:tcPr>
          <w:p w14:paraId="7960C5AF">
            <w:pPr>
              <w:adjustRightInd w:val="0"/>
              <w:snapToGrid w:val="0"/>
              <w:rPr>
                <w:rFonts w:ascii="Arial Narrow" w:hAnsi="Arial Narrow" w:eastAsia="仿宋_GB2312" w:cs="Arial"/>
                <w:szCs w:val="21"/>
              </w:rPr>
            </w:pPr>
          </w:p>
        </w:tc>
        <w:tc>
          <w:tcPr>
            <w:tcW w:w="568" w:type="pct"/>
            <w:vMerge w:val="continue"/>
            <w:tcBorders>
              <w:top w:val="nil"/>
              <w:bottom w:val="single" w:color="auto" w:sz="4" w:space="0"/>
            </w:tcBorders>
            <w:shd w:val="clear" w:color="auto" w:fill="auto"/>
            <w:vAlign w:val="center"/>
          </w:tcPr>
          <w:p w14:paraId="108CD2B9">
            <w:pPr>
              <w:adjustRightInd w:val="0"/>
              <w:snapToGrid w:val="0"/>
              <w:rPr>
                <w:rFonts w:ascii="Arial Narrow" w:hAnsi="Arial Narrow" w:eastAsia="仿宋_GB2312" w:cs="Arial"/>
                <w:szCs w:val="21"/>
              </w:rPr>
            </w:pPr>
          </w:p>
        </w:tc>
        <w:tc>
          <w:tcPr>
            <w:tcW w:w="583" w:type="pct"/>
            <w:vMerge w:val="continue"/>
            <w:tcBorders>
              <w:top w:val="nil"/>
              <w:bottom w:val="single" w:color="auto" w:sz="4" w:space="0"/>
            </w:tcBorders>
            <w:shd w:val="clear" w:color="auto" w:fill="auto"/>
            <w:vAlign w:val="center"/>
          </w:tcPr>
          <w:p w14:paraId="057CB856">
            <w:pPr>
              <w:adjustRightInd w:val="0"/>
              <w:snapToGrid w:val="0"/>
              <w:rPr>
                <w:rFonts w:ascii="Arial Narrow" w:hAnsi="Arial Narrow" w:eastAsia="仿宋_GB2312" w:cs="Arial"/>
                <w:szCs w:val="21"/>
              </w:rPr>
            </w:pPr>
          </w:p>
        </w:tc>
        <w:tc>
          <w:tcPr>
            <w:tcW w:w="669" w:type="pct"/>
            <w:vMerge w:val="continue"/>
            <w:tcBorders>
              <w:top w:val="nil"/>
              <w:bottom w:val="single" w:color="auto" w:sz="4" w:space="0"/>
            </w:tcBorders>
            <w:shd w:val="clear" w:color="auto" w:fill="auto"/>
            <w:vAlign w:val="center"/>
          </w:tcPr>
          <w:p w14:paraId="1CB86667">
            <w:pPr>
              <w:adjustRightInd w:val="0"/>
              <w:snapToGrid w:val="0"/>
              <w:rPr>
                <w:rFonts w:ascii="Arial Narrow" w:hAnsi="Arial Narrow" w:eastAsia="仿宋_GB2312" w:cs="Arial"/>
                <w:szCs w:val="21"/>
              </w:rPr>
            </w:pPr>
          </w:p>
        </w:tc>
        <w:tc>
          <w:tcPr>
            <w:tcW w:w="502" w:type="pct"/>
            <w:tcBorders>
              <w:top w:val="nil"/>
              <w:bottom w:val="single" w:color="auto" w:sz="4" w:space="0"/>
            </w:tcBorders>
            <w:shd w:val="clear" w:color="auto" w:fill="auto"/>
            <w:vAlign w:val="center"/>
          </w:tcPr>
          <w:p w14:paraId="693D48DE">
            <w:pPr>
              <w:adjustRightInd w:val="0"/>
              <w:snapToGrid w:val="0"/>
              <w:jc w:val="right"/>
              <w:rPr>
                <w:rFonts w:ascii="Arial Narrow" w:hAnsi="Arial Narrow" w:eastAsia="仿宋_GB2312"/>
                <w:b/>
                <w:szCs w:val="21"/>
              </w:rPr>
            </w:pPr>
            <w:r>
              <w:rPr>
                <w:rFonts w:ascii="Arial Narrow" w:hAnsi="Arial Narrow" w:eastAsia="仿宋_GB2312"/>
                <w:b/>
                <w:szCs w:val="21"/>
              </w:rPr>
              <w:t>直接</w:t>
            </w:r>
          </w:p>
        </w:tc>
        <w:tc>
          <w:tcPr>
            <w:tcW w:w="504" w:type="pct"/>
            <w:tcBorders>
              <w:top w:val="nil"/>
              <w:bottom w:val="single" w:color="auto" w:sz="4" w:space="0"/>
            </w:tcBorders>
            <w:shd w:val="clear" w:color="auto" w:fill="auto"/>
            <w:vAlign w:val="center"/>
          </w:tcPr>
          <w:p w14:paraId="6F21697A">
            <w:pPr>
              <w:adjustRightInd w:val="0"/>
              <w:snapToGrid w:val="0"/>
              <w:jc w:val="right"/>
              <w:rPr>
                <w:rFonts w:ascii="Arial Narrow" w:hAnsi="Arial Narrow" w:eastAsia="仿宋_GB2312"/>
                <w:b/>
                <w:szCs w:val="21"/>
              </w:rPr>
            </w:pPr>
            <w:r>
              <w:rPr>
                <w:rFonts w:ascii="Arial Narrow" w:hAnsi="Arial Narrow" w:eastAsia="仿宋_GB2312"/>
                <w:b/>
                <w:szCs w:val="21"/>
              </w:rPr>
              <w:t>间接</w:t>
            </w:r>
          </w:p>
        </w:tc>
        <w:tc>
          <w:tcPr>
            <w:tcW w:w="924" w:type="pct"/>
            <w:vMerge w:val="continue"/>
            <w:tcBorders>
              <w:top w:val="nil"/>
              <w:bottom w:val="single" w:color="auto" w:sz="4" w:space="0"/>
            </w:tcBorders>
            <w:shd w:val="clear" w:color="auto" w:fill="auto"/>
            <w:vAlign w:val="center"/>
          </w:tcPr>
          <w:p w14:paraId="6FD85EAF">
            <w:pPr>
              <w:adjustRightInd w:val="0"/>
              <w:snapToGrid w:val="0"/>
              <w:jc w:val="right"/>
              <w:rPr>
                <w:rFonts w:ascii="Arial Narrow" w:hAnsi="Arial Narrow" w:eastAsia="仿宋_GB2312" w:cs="Arial"/>
                <w:szCs w:val="21"/>
              </w:rPr>
            </w:pPr>
          </w:p>
        </w:tc>
      </w:tr>
      <w:tr w14:paraId="2281CBB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tcBorders>
              <w:top w:val="single" w:color="auto" w:sz="4" w:space="0"/>
            </w:tcBorders>
            <w:shd w:val="clear" w:color="auto" w:fill="auto"/>
            <w:vAlign w:val="center"/>
          </w:tcPr>
          <w:p w14:paraId="7A2572AD">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一、合营企业</w:t>
            </w:r>
          </w:p>
        </w:tc>
        <w:tc>
          <w:tcPr>
            <w:tcW w:w="568" w:type="pct"/>
            <w:tcBorders>
              <w:top w:val="single" w:color="auto" w:sz="4" w:space="0"/>
            </w:tcBorders>
            <w:shd w:val="clear" w:color="auto" w:fill="auto"/>
            <w:vAlign w:val="center"/>
          </w:tcPr>
          <w:p w14:paraId="09AD50D6">
            <w:pPr>
              <w:rPr>
                <w:rFonts w:ascii="Arial Narrow" w:hAnsi="Arial Narrow" w:eastAsia="仿宋_GB2312"/>
              </w:rPr>
            </w:pPr>
          </w:p>
        </w:tc>
        <w:tc>
          <w:tcPr>
            <w:tcW w:w="583" w:type="pct"/>
            <w:tcBorders>
              <w:top w:val="single" w:color="auto" w:sz="4" w:space="0"/>
            </w:tcBorders>
            <w:shd w:val="clear" w:color="auto" w:fill="auto"/>
            <w:vAlign w:val="center"/>
          </w:tcPr>
          <w:p w14:paraId="5902CA21">
            <w:pPr>
              <w:rPr>
                <w:rFonts w:ascii="Arial Narrow" w:hAnsi="Arial Narrow" w:eastAsia="仿宋_GB2312"/>
              </w:rPr>
            </w:pPr>
          </w:p>
        </w:tc>
        <w:tc>
          <w:tcPr>
            <w:tcW w:w="669" w:type="pct"/>
            <w:tcBorders>
              <w:top w:val="single" w:color="auto" w:sz="4" w:space="0"/>
            </w:tcBorders>
            <w:shd w:val="clear" w:color="auto" w:fill="auto"/>
            <w:vAlign w:val="center"/>
          </w:tcPr>
          <w:p w14:paraId="5B112A28">
            <w:pPr>
              <w:rPr>
                <w:rFonts w:ascii="Arial Narrow" w:hAnsi="Arial Narrow" w:eastAsia="仿宋_GB2312"/>
              </w:rPr>
            </w:pPr>
          </w:p>
        </w:tc>
        <w:tc>
          <w:tcPr>
            <w:tcW w:w="502" w:type="pct"/>
            <w:tcBorders>
              <w:top w:val="single" w:color="auto" w:sz="4" w:space="0"/>
            </w:tcBorders>
            <w:shd w:val="clear" w:color="auto" w:fill="auto"/>
            <w:vAlign w:val="center"/>
          </w:tcPr>
          <w:p w14:paraId="3C8B1606">
            <w:pPr>
              <w:jc w:val="right"/>
              <w:rPr>
                <w:rFonts w:ascii="Arial Narrow" w:hAnsi="Arial Narrow" w:eastAsia="仿宋_GB2312"/>
              </w:rPr>
            </w:pPr>
          </w:p>
        </w:tc>
        <w:tc>
          <w:tcPr>
            <w:tcW w:w="504" w:type="pct"/>
            <w:tcBorders>
              <w:top w:val="single" w:color="auto" w:sz="4" w:space="0"/>
            </w:tcBorders>
            <w:shd w:val="clear" w:color="auto" w:fill="auto"/>
            <w:vAlign w:val="center"/>
          </w:tcPr>
          <w:p w14:paraId="3ED8C7AF">
            <w:pPr>
              <w:jc w:val="right"/>
              <w:rPr>
                <w:rFonts w:ascii="Arial Narrow" w:hAnsi="Arial Narrow" w:eastAsia="仿宋_GB2312"/>
              </w:rPr>
            </w:pPr>
          </w:p>
        </w:tc>
        <w:tc>
          <w:tcPr>
            <w:tcW w:w="924" w:type="pct"/>
            <w:tcBorders>
              <w:top w:val="single" w:color="auto" w:sz="4" w:space="0"/>
            </w:tcBorders>
            <w:shd w:val="clear" w:color="auto" w:fill="auto"/>
            <w:vAlign w:val="center"/>
          </w:tcPr>
          <w:p w14:paraId="1D7166CF">
            <w:pPr>
              <w:jc w:val="right"/>
              <w:rPr>
                <w:rFonts w:ascii="Arial Narrow" w:hAnsi="Arial Narrow" w:eastAsia="仿宋_GB2312"/>
              </w:rPr>
            </w:pPr>
          </w:p>
        </w:tc>
      </w:tr>
      <w:tr w14:paraId="06BFD3A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87043DA">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35E7FA62">
            <w:pPr>
              <w:rPr>
                <w:rFonts w:ascii="Arial Narrow" w:hAnsi="Arial Narrow" w:eastAsia="仿宋_GB2312"/>
              </w:rPr>
            </w:pPr>
          </w:p>
        </w:tc>
        <w:tc>
          <w:tcPr>
            <w:tcW w:w="583" w:type="pct"/>
            <w:shd w:val="clear" w:color="auto" w:fill="auto"/>
            <w:vAlign w:val="center"/>
          </w:tcPr>
          <w:p w14:paraId="1F7D4291">
            <w:pPr>
              <w:rPr>
                <w:rFonts w:ascii="Arial Narrow" w:hAnsi="Arial Narrow" w:eastAsia="仿宋_GB2312"/>
              </w:rPr>
            </w:pPr>
          </w:p>
        </w:tc>
        <w:tc>
          <w:tcPr>
            <w:tcW w:w="669" w:type="pct"/>
            <w:shd w:val="clear" w:color="auto" w:fill="auto"/>
            <w:vAlign w:val="center"/>
          </w:tcPr>
          <w:p w14:paraId="236F7AA9">
            <w:pPr>
              <w:rPr>
                <w:rFonts w:ascii="Arial Narrow" w:hAnsi="Arial Narrow" w:eastAsia="仿宋_GB2312"/>
              </w:rPr>
            </w:pPr>
          </w:p>
        </w:tc>
        <w:tc>
          <w:tcPr>
            <w:tcW w:w="502" w:type="pct"/>
            <w:shd w:val="clear" w:color="auto" w:fill="auto"/>
            <w:vAlign w:val="center"/>
          </w:tcPr>
          <w:p w14:paraId="06C171E6">
            <w:pPr>
              <w:jc w:val="right"/>
              <w:rPr>
                <w:rFonts w:ascii="Arial Narrow" w:hAnsi="Arial Narrow" w:eastAsia="仿宋_GB2312"/>
              </w:rPr>
            </w:pPr>
          </w:p>
        </w:tc>
        <w:tc>
          <w:tcPr>
            <w:tcW w:w="504" w:type="pct"/>
            <w:shd w:val="clear" w:color="auto" w:fill="auto"/>
            <w:vAlign w:val="center"/>
          </w:tcPr>
          <w:p w14:paraId="463B497D">
            <w:pPr>
              <w:jc w:val="right"/>
              <w:rPr>
                <w:rFonts w:ascii="Arial Narrow" w:hAnsi="Arial Narrow" w:eastAsia="仿宋_GB2312"/>
              </w:rPr>
            </w:pPr>
          </w:p>
        </w:tc>
        <w:tc>
          <w:tcPr>
            <w:tcW w:w="924" w:type="pct"/>
            <w:shd w:val="clear" w:color="auto" w:fill="auto"/>
            <w:vAlign w:val="center"/>
          </w:tcPr>
          <w:p w14:paraId="6B7F1E71">
            <w:pPr>
              <w:jc w:val="right"/>
              <w:rPr>
                <w:rFonts w:ascii="Arial Narrow" w:hAnsi="Arial Narrow" w:eastAsia="仿宋_GB2312"/>
              </w:rPr>
            </w:pPr>
          </w:p>
        </w:tc>
      </w:tr>
      <w:tr w14:paraId="21B83A6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08289328">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17A209F3">
            <w:pPr>
              <w:rPr>
                <w:rFonts w:ascii="Arial Narrow" w:hAnsi="Arial Narrow" w:eastAsia="仿宋_GB2312"/>
              </w:rPr>
            </w:pPr>
          </w:p>
        </w:tc>
        <w:tc>
          <w:tcPr>
            <w:tcW w:w="583" w:type="pct"/>
            <w:shd w:val="clear" w:color="auto" w:fill="auto"/>
            <w:vAlign w:val="center"/>
          </w:tcPr>
          <w:p w14:paraId="3E646D65">
            <w:pPr>
              <w:rPr>
                <w:rFonts w:ascii="Arial Narrow" w:hAnsi="Arial Narrow" w:eastAsia="仿宋_GB2312"/>
              </w:rPr>
            </w:pPr>
          </w:p>
        </w:tc>
        <w:tc>
          <w:tcPr>
            <w:tcW w:w="669" w:type="pct"/>
            <w:shd w:val="clear" w:color="auto" w:fill="auto"/>
            <w:vAlign w:val="center"/>
          </w:tcPr>
          <w:p w14:paraId="2DC5856C">
            <w:pPr>
              <w:rPr>
                <w:rFonts w:ascii="Arial Narrow" w:hAnsi="Arial Narrow" w:eastAsia="仿宋_GB2312"/>
              </w:rPr>
            </w:pPr>
          </w:p>
        </w:tc>
        <w:tc>
          <w:tcPr>
            <w:tcW w:w="502" w:type="pct"/>
            <w:shd w:val="clear" w:color="auto" w:fill="auto"/>
            <w:vAlign w:val="center"/>
          </w:tcPr>
          <w:p w14:paraId="0D9C4FE3">
            <w:pPr>
              <w:jc w:val="right"/>
              <w:rPr>
                <w:rFonts w:ascii="Arial Narrow" w:hAnsi="Arial Narrow" w:eastAsia="仿宋_GB2312"/>
              </w:rPr>
            </w:pPr>
          </w:p>
        </w:tc>
        <w:tc>
          <w:tcPr>
            <w:tcW w:w="504" w:type="pct"/>
            <w:shd w:val="clear" w:color="auto" w:fill="auto"/>
            <w:vAlign w:val="center"/>
          </w:tcPr>
          <w:p w14:paraId="40B16E2A">
            <w:pPr>
              <w:jc w:val="right"/>
              <w:rPr>
                <w:rFonts w:ascii="Arial Narrow" w:hAnsi="Arial Narrow" w:eastAsia="仿宋_GB2312"/>
              </w:rPr>
            </w:pPr>
          </w:p>
        </w:tc>
        <w:tc>
          <w:tcPr>
            <w:tcW w:w="924" w:type="pct"/>
            <w:shd w:val="clear" w:color="auto" w:fill="auto"/>
            <w:vAlign w:val="center"/>
          </w:tcPr>
          <w:p w14:paraId="71DC0BA9">
            <w:pPr>
              <w:jc w:val="right"/>
              <w:rPr>
                <w:rFonts w:ascii="Arial Narrow" w:hAnsi="Arial Narrow" w:eastAsia="仿宋_GB2312"/>
              </w:rPr>
            </w:pPr>
          </w:p>
        </w:tc>
      </w:tr>
      <w:tr w14:paraId="17E947D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33A51307">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D7C151">
            <w:pPr>
              <w:rPr>
                <w:rFonts w:ascii="Arial Narrow" w:hAnsi="Arial Narrow" w:eastAsia="仿宋_GB2312"/>
              </w:rPr>
            </w:pPr>
          </w:p>
        </w:tc>
        <w:tc>
          <w:tcPr>
            <w:tcW w:w="583" w:type="pct"/>
            <w:shd w:val="clear" w:color="auto" w:fill="auto"/>
            <w:vAlign w:val="center"/>
          </w:tcPr>
          <w:p w14:paraId="16202F19">
            <w:pPr>
              <w:rPr>
                <w:rFonts w:ascii="Arial Narrow" w:hAnsi="Arial Narrow" w:eastAsia="仿宋_GB2312"/>
              </w:rPr>
            </w:pPr>
          </w:p>
        </w:tc>
        <w:tc>
          <w:tcPr>
            <w:tcW w:w="669" w:type="pct"/>
            <w:shd w:val="clear" w:color="auto" w:fill="auto"/>
            <w:vAlign w:val="center"/>
          </w:tcPr>
          <w:p w14:paraId="6BBB906C">
            <w:pPr>
              <w:rPr>
                <w:rFonts w:ascii="Arial Narrow" w:hAnsi="Arial Narrow" w:eastAsia="仿宋_GB2312"/>
              </w:rPr>
            </w:pPr>
          </w:p>
        </w:tc>
        <w:tc>
          <w:tcPr>
            <w:tcW w:w="502" w:type="pct"/>
            <w:shd w:val="clear" w:color="auto" w:fill="auto"/>
            <w:vAlign w:val="center"/>
          </w:tcPr>
          <w:p w14:paraId="15A05DDF">
            <w:pPr>
              <w:jc w:val="right"/>
              <w:rPr>
                <w:rFonts w:ascii="Arial Narrow" w:hAnsi="Arial Narrow" w:eastAsia="仿宋_GB2312"/>
              </w:rPr>
            </w:pPr>
          </w:p>
        </w:tc>
        <w:tc>
          <w:tcPr>
            <w:tcW w:w="504" w:type="pct"/>
            <w:shd w:val="clear" w:color="auto" w:fill="auto"/>
            <w:vAlign w:val="center"/>
          </w:tcPr>
          <w:p w14:paraId="443DF75F">
            <w:pPr>
              <w:jc w:val="right"/>
              <w:rPr>
                <w:rFonts w:ascii="Arial Narrow" w:hAnsi="Arial Narrow" w:eastAsia="仿宋_GB2312"/>
              </w:rPr>
            </w:pPr>
          </w:p>
        </w:tc>
        <w:tc>
          <w:tcPr>
            <w:tcW w:w="924" w:type="pct"/>
            <w:shd w:val="clear" w:color="auto" w:fill="auto"/>
            <w:vAlign w:val="center"/>
          </w:tcPr>
          <w:p w14:paraId="1847DCAB">
            <w:pPr>
              <w:jc w:val="right"/>
              <w:rPr>
                <w:rFonts w:ascii="Arial Narrow" w:hAnsi="Arial Narrow" w:eastAsia="仿宋_GB2312"/>
              </w:rPr>
            </w:pPr>
          </w:p>
        </w:tc>
      </w:tr>
      <w:tr w14:paraId="172D463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6B75D407">
            <w:pPr>
              <w:adjustRightInd w:val="0"/>
              <w:snapToGrid w:val="0"/>
              <w:rPr>
                <w:rFonts w:ascii="Arial Narrow" w:hAnsi="Arial Narrow" w:eastAsia="仿宋_GB2312"/>
                <w:color w:val="000000" w:themeColor="text1"/>
                <w:szCs w:val="21"/>
                <w14:textFill>
                  <w14:solidFill>
                    <w14:schemeClr w14:val="tx1"/>
                  </w14:solidFill>
                </w14:textFill>
              </w:rPr>
            </w:pPr>
            <w:r>
              <w:rPr>
                <w:rFonts w:ascii="Arial Narrow" w:hAnsi="Arial Narrow" w:eastAsia="仿宋_GB2312"/>
                <w:color w:val="000000" w:themeColor="text1"/>
                <w:szCs w:val="21"/>
                <w14:textFill>
                  <w14:solidFill>
                    <w14:schemeClr w14:val="tx1"/>
                  </w14:solidFill>
                </w14:textFill>
              </w:rPr>
              <w:t>二、联营企业</w:t>
            </w:r>
          </w:p>
        </w:tc>
        <w:tc>
          <w:tcPr>
            <w:tcW w:w="568" w:type="pct"/>
            <w:shd w:val="clear" w:color="auto" w:fill="auto"/>
            <w:vAlign w:val="center"/>
          </w:tcPr>
          <w:p w14:paraId="2253F0FA">
            <w:pPr>
              <w:rPr>
                <w:rFonts w:ascii="Arial Narrow" w:hAnsi="Arial Narrow" w:eastAsia="仿宋_GB2312"/>
              </w:rPr>
            </w:pPr>
          </w:p>
        </w:tc>
        <w:tc>
          <w:tcPr>
            <w:tcW w:w="583" w:type="pct"/>
            <w:shd w:val="clear" w:color="auto" w:fill="auto"/>
            <w:vAlign w:val="center"/>
          </w:tcPr>
          <w:p w14:paraId="095077F9">
            <w:pPr>
              <w:rPr>
                <w:rFonts w:ascii="Arial Narrow" w:hAnsi="Arial Narrow" w:eastAsia="仿宋_GB2312"/>
              </w:rPr>
            </w:pPr>
          </w:p>
        </w:tc>
        <w:tc>
          <w:tcPr>
            <w:tcW w:w="669" w:type="pct"/>
            <w:shd w:val="clear" w:color="auto" w:fill="auto"/>
            <w:vAlign w:val="center"/>
          </w:tcPr>
          <w:p w14:paraId="6F173411">
            <w:pPr>
              <w:rPr>
                <w:rFonts w:ascii="Arial Narrow" w:hAnsi="Arial Narrow" w:eastAsia="仿宋_GB2312"/>
              </w:rPr>
            </w:pPr>
          </w:p>
        </w:tc>
        <w:tc>
          <w:tcPr>
            <w:tcW w:w="502" w:type="pct"/>
            <w:shd w:val="clear" w:color="auto" w:fill="auto"/>
            <w:vAlign w:val="center"/>
          </w:tcPr>
          <w:p w14:paraId="68355B3F">
            <w:pPr>
              <w:jc w:val="right"/>
              <w:rPr>
                <w:rFonts w:ascii="Arial Narrow" w:hAnsi="Arial Narrow" w:eastAsia="仿宋_GB2312"/>
              </w:rPr>
            </w:pPr>
          </w:p>
        </w:tc>
        <w:tc>
          <w:tcPr>
            <w:tcW w:w="504" w:type="pct"/>
            <w:shd w:val="clear" w:color="auto" w:fill="auto"/>
            <w:vAlign w:val="center"/>
          </w:tcPr>
          <w:p w14:paraId="61FA6F74">
            <w:pPr>
              <w:jc w:val="right"/>
              <w:rPr>
                <w:rFonts w:ascii="Arial Narrow" w:hAnsi="Arial Narrow" w:eastAsia="仿宋_GB2312"/>
              </w:rPr>
            </w:pPr>
          </w:p>
        </w:tc>
        <w:tc>
          <w:tcPr>
            <w:tcW w:w="924" w:type="pct"/>
            <w:shd w:val="clear" w:color="auto" w:fill="auto"/>
            <w:vAlign w:val="center"/>
          </w:tcPr>
          <w:p w14:paraId="5F92A0BC">
            <w:pPr>
              <w:jc w:val="right"/>
              <w:rPr>
                <w:rFonts w:ascii="Arial Narrow" w:hAnsi="Arial Narrow" w:eastAsia="仿宋_GB2312"/>
              </w:rPr>
            </w:pPr>
          </w:p>
        </w:tc>
      </w:tr>
      <w:tr w14:paraId="541879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3EEB2709">
            <w:pPr>
              <w:adjustRightInd w:val="0"/>
              <w:snapToGrid w:val="0"/>
              <w:rPr>
                <w:rFonts w:ascii="Arial Narrow" w:hAnsi="Arial Narrow" w:eastAsia="仿宋_GB2312"/>
                <w:color w:val="000000" w:themeColor="text1"/>
                <w:szCs w:val="21"/>
                <w14:textFill>
                  <w14:solidFill>
                    <w14:schemeClr w14:val="tx1"/>
                  </w14:solidFill>
                </w14:textFill>
              </w:rPr>
            </w:pPr>
          </w:p>
        </w:tc>
        <w:tc>
          <w:tcPr>
            <w:tcW w:w="568" w:type="pct"/>
            <w:shd w:val="clear" w:color="auto" w:fill="auto"/>
            <w:vAlign w:val="center"/>
          </w:tcPr>
          <w:p w14:paraId="5E455E8E">
            <w:pPr>
              <w:rPr>
                <w:rFonts w:ascii="Arial Narrow" w:hAnsi="Arial Narrow" w:eastAsia="仿宋_GB2312"/>
              </w:rPr>
            </w:pPr>
          </w:p>
        </w:tc>
        <w:tc>
          <w:tcPr>
            <w:tcW w:w="583" w:type="pct"/>
            <w:shd w:val="clear" w:color="auto" w:fill="auto"/>
            <w:vAlign w:val="center"/>
          </w:tcPr>
          <w:p w14:paraId="26496912">
            <w:pPr>
              <w:rPr>
                <w:rFonts w:ascii="Arial Narrow" w:hAnsi="Arial Narrow" w:eastAsia="仿宋_GB2312"/>
              </w:rPr>
            </w:pPr>
          </w:p>
        </w:tc>
        <w:tc>
          <w:tcPr>
            <w:tcW w:w="669" w:type="pct"/>
            <w:shd w:val="clear" w:color="auto" w:fill="auto"/>
            <w:vAlign w:val="center"/>
          </w:tcPr>
          <w:p w14:paraId="69509833">
            <w:pPr>
              <w:rPr>
                <w:rFonts w:ascii="Arial Narrow" w:hAnsi="Arial Narrow" w:eastAsia="仿宋_GB2312"/>
              </w:rPr>
            </w:pPr>
          </w:p>
        </w:tc>
        <w:tc>
          <w:tcPr>
            <w:tcW w:w="502" w:type="pct"/>
            <w:shd w:val="clear" w:color="auto" w:fill="auto"/>
            <w:vAlign w:val="center"/>
          </w:tcPr>
          <w:p w14:paraId="53EBD35D">
            <w:pPr>
              <w:jc w:val="right"/>
              <w:rPr>
                <w:rFonts w:ascii="Arial Narrow" w:hAnsi="Arial Narrow" w:eastAsia="仿宋_GB2312"/>
              </w:rPr>
            </w:pPr>
          </w:p>
        </w:tc>
        <w:tc>
          <w:tcPr>
            <w:tcW w:w="504" w:type="pct"/>
            <w:shd w:val="clear" w:color="auto" w:fill="auto"/>
            <w:vAlign w:val="center"/>
          </w:tcPr>
          <w:p w14:paraId="191873C6">
            <w:pPr>
              <w:jc w:val="right"/>
              <w:rPr>
                <w:rFonts w:ascii="Arial Narrow" w:hAnsi="Arial Narrow" w:eastAsia="仿宋_GB2312"/>
              </w:rPr>
            </w:pPr>
          </w:p>
        </w:tc>
        <w:tc>
          <w:tcPr>
            <w:tcW w:w="924" w:type="pct"/>
            <w:shd w:val="clear" w:color="auto" w:fill="auto"/>
            <w:vAlign w:val="center"/>
          </w:tcPr>
          <w:p w14:paraId="5A1E365D">
            <w:pPr>
              <w:jc w:val="right"/>
              <w:rPr>
                <w:rFonts w:ascii="Arial Narrow" w:hAnsi="Arial Narrow" w:eastAsia="仿宋_GB2312"/>
              </w:rPr>
            </w:pPr>
          </w:p>
        </w:tc>
      </w:tr>
      <w:tr w14:paraId="07FDF6B9">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4A09973E">
            <w:pPr>
              <w:adjustRightInd w:val="0"/>
              <w:snapToGrid w:val="0"/>
              <w:rPr>
                <w:rFonts w:ascii="Arial Narrow" w:hAnsi="Arial Narrow" w:eastAsia="仿宋_GB2312" w:cs="Arial"/>
                <w:color w:val="0000FF"/>
                <w:szCs w:val="21"/>
              </w:rPr>
            </w:pPr>
            <w:r>
              <w:rPr>
                <w:rFonts w:ascii="Arial Narrow" w:hAnsi="Arial Narrow" w:eastAsia="仿宋_GB2312"/>
                <w:color w:val="0000FF"/>
                <w:szCs w:val="21"/>
              </w:rPr>
              <w:t>可无限量添加行</w:t>
            </w:r>
          </w:p>
        </w:tc>
        <w:tc>
          <w:tcPr>
            <w:tcW w:w="568" w:type="pct"/>
            <w:shd w:val="clear" w:color="auto" w:fill="auto"/>
            <w:vAlign w:val="center"/>
          </w:tcPr>
          <w:p w14:paraId="6CFBF6D1">
            <w:pPr>
              <w:rPr>
                <w:rFonts w:ascii="Arial Narrow" w:hAnsi="Arial Narrow" w:eastAsia="仿宋_GB2312"/>
              </w:rPr>
            </w:pPr>
          </w:p>
        </w:tc>
        <w:tc>
          <w:tcPr>
            <w:tcW w:w="583" w:type="pct"/>
            <w:shd w:val="clear" w:color="auto" w:fill="auto"/>
            <w:vAlign w:val="center"/>
          </w:tcPr>
          <w:p w14:paraId="1938B334">
            <w:pPr>
              <w:rPr>
                <w:rFonts w:ascii="Arial Narrow" w:hAnsi="Arial Narrow" w:eastAsia="仿宋_GB2312"/>
              </w:rPr>
            </w:pPr>
          </w:p>
        </w:tc>
        <w:tc>
          <w:tcPr>
            <w:tcW w:w="669" w:type="pct"/>
            <w:shd w:val="clear" w:color="auto" w:fill="auto"/>
            <w:vAlign w:val="center"/>
          </w:tcPr>
          <w:p w14:paraId="2F3F8E5C">
            <w:pPr>
              <w:rPr>
                <w:rFonts w:ascii="Arial Narrow" w:hAnsi="Arial Narrow" w:eastAsia="仿宋_GB2312"/>
              </w:rPr>
            </w:pPr>
          </w:p>
        </w:tc>
        <w:tc>
          <w:tcPr>
            <w:tcW w:w="502" w:type="pct"/>
            <w:shd w:val="clear" w:color="auto" w:fill="auto"/>
            <w:vAlign w:val="center"/>
          </w:tcPr>
          <w:p w14:paraId="3445294D">
            <w:pPr>
              <w:jc w:val="right"/>
              <w:rPr>
                <w:rFonts w:ascii="Arial Narrow" w:hAnsi="Arial Narrow" w:eastAsia="仿宋_GB2312"/>
              </w:rPr>
            </w:pPr>
          </w:p>
        </w:tc>
        <w:tc>
          <w:tcPr>
            <w:tcW w:w="504" w:type="pct"/>
            <w:shd w:val="clear" w:color="auto" w:fill="auto"/>
            <w:vAlign w:val="center"/>
          </w:tcPr>
          <w:p w14:paraId="5C4E4C8F">
            <w:pPr>
              <w:jc w:val="right"/>
              <w:rPr>
                <w:rFonts w:ascii="Arial Narrow" w:hAnsi="Arial Narrow" w:eastAsia="仿宋_GB2312"/>
              </w:rPr>
            </w:pPr>
          </w:p>
        </w:tc>
        <w:tc>
          <w:tcPr>
            <w:tcW w:w="924" w:type="pct"/>
            <w:shd w:val="clear" w:color="auto" w:fill="auto"/>
            <w:vAlign w:val="center"/>
          </w:tcPr>
          <w:p w14:paraId="42DBDEC5">
            <w:pPr>
              <w:jc w:val="right"/>
              <w:rPr>
                <w:rFonts w:ascii="Arial Narrow" w:hAnsi="Arial Narrow" w:eastAsia="仿宋_GB2312"/>
              </w:rPr>
            </w:pPr>
          </w:p>
        </w:tc>
      </w:tr>
      <w:tr w14:paraId="1B66DA5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250" w:type="pct"/>
            <w:shd w:val="clear" w:color="auto" w:fill="auto"/>
            <w:vAlign w:val="center"/>
          </w:tcPr>
          <w:p w14:paraId="34EED1CD">
            <w:pPr>
              <w:adjustRightInd w:val="0"/>
              <w:snapToGrid w:val="0"/>
              <w:rPr>
                <w:rFonts w:ascii="Arial Narrow" w:hAnsi="Arial Narrow" w:eastAsia="仿宋_GB2312" w:cs="Arial"/>
                <w:szCs w:val="21"/>
              </w:rPr>
            </w:pPr>
          </w:p>
        </w:tc>
        <w:tc>
          <w:tcPr>
            <w:tcW w:w="568" w:type="pct"/>
            <w:shd w:val="clear" w:color="auto" w:fill="auto"/>
            <w:vAlign w:val="center"/>
          </w:tcPr>
          <w:p w14:paraId="48F380F6">
            <w:pPr>
              <w:rPr>
                <w:rFonts w:ascii="Arial Narrow" w:hAnsi="Arial Narrow" w:eastAsia="仿宋_GB2312"/>
              </w:rPr>
            </w:pPr>
          </w:p>
        </w:tc>
        <w:tc>
          <w:tcPr>
            <w:tcW w:w="583" w:type="pct"/>
            <w:shd w:val="clear" w:color="auto" w:fill="auto"/>
            <w:vAlign w:val="center"/>
          </w:tcPr>
          <w:p w14:paraId="40A72EE4">
            <w:pPr>
              <w:rPr>
                <w:rFonts w:ascii="Arial Narrow" w:hAnsi="Arial Narrow" w:eastAsia="仿宋_GB2312"/>
              </w:rPr>
            </w:pPr>
          </w:p>
        </w:tc>
        <w:tc>
          <w:tcPr>
            <w:tcW w:w="669" w:type="pct"/>
            <w:shd w:val="clear" w:color="auto" w:fill="auto"/>
            <w:vAlign w:val="center"/>
          </w:tcPr>
          <w:p w14:paraId="68BEAC47">
            <w:pPr>
              <w:rPr>
                <w:rFonts w:ascii="Arial Narrow" w:hAnsi="Arial Narrow" w:eastAsia="仿宋_GB2312"/>
              </w:rPr>
            </w:pPr>
          </w:p>
        </w:tc>
        <w:tc>
          <w:tcPr>
            <w:tcW w:w="502" w:type="pct"/>
            <w:shd w:val="clear" w:color="auto" w:fill="auto"/>
            <w:vAlign w:val="center"/>
          </w:tcPr>
          <w:p w14:paraId="75E41C9F">
            <w:pPr>
              <w:jc w:val="right"/>
              <w:rPr>
                <w:rFonts w:ascii="Arial Narrow" w:hAnsi="Arial Narrow" w:eastAsia="仿宋_GB2312"/>
              </w:rPr>
            </w:pPr>
          </w:p>
        </w:tc>
        <w:tc>
          <w:tcPr>
            <w:tcW w:w="504" w:type="pct"/>
            <w:shd w:val="clear" w:color="auto" w:fill="auto"/>
            <w:vAlign w:val="center"/>
          </w:tcPr>
          <w:p w14:paraId="4B2AF121">
            <w:pPr>
              <w:jc w:val="right"/>
              <w:rPr>
                <w:rFonts w:ascii="Arial Narrow" w:hAnsi="Arial Narrow" w:eastAsia="仿宋_GB2312"/>
              </w:rPr>
            </w:pPr>
          </w:p>
        </w:tc>
        <w:tc>
          <w:tcPr>
            <w:tcW w:w="924" w:type="pct"/>
            <w:shd w:val="clear" w:color="auto" w:fill="auto"/>
            <w:vAlign w:val="center"/>
          </w:tcPr>
          <w:p w14:paraId="49715215">
            <w:pPr>
              <w:jc w:val="right"/>
              <w:rPr>
                <w:rFonts w:ascii="Arial Narrow" w:hAnsi="Arial Narrow" w:eastAsia="仿宋_GB2312"/>
              </w:rPr>
            </w:pPr>
          </w:p>
        </w:tc>
      </w:tr>
    </w:tbl>
    <w:p w14:paraId="50B1657E">
      <w:pPr>
        <w:snapToGrid w:val="0"/>
        <w:spacing w:after="216" w:afterLines="90"/>
        <w:ind w:right="-6" w:rightChars="-3"/>
        <w:rPr>
          <w:rFonts w:ascii="Arial Narrow" w:hAnsi="Arial Narrow" w:eastAsia="仿宋_GB2312"/>
          <w:color w:val="0000FF"/>
          <w:sz w:val="24"/>
        </w:rPr>
      </w:pPr>
      <w:r>
        <w:rPr>
          <w:rFonts w:hint="eastAsia" w:ascii="微软雅黑" w:hAnsi="微软雅黑" w:eastAsia="微软雅黑" w:cs="微软雅黑"/>
          <w:sz w:val="24"/>
        </w:rPr>
        <w:t>①</w:t>
      </w:r>
      <w:r>
        <w:rPr>
          <w:rFonts w:ascii="Arial Narrow" w:hAnsi="Arial Narrow" w:eastAsia="仿宋_GB2312"/>
          <w:color w:val="0000FF"/>
          <w:sz w:val="24"/>
        </w:rPr>
        <w:t>持股比例不同于表决权比例的，应说明表决权比例及差异原因。</w:t>
      </w:r>
    </w:p>
    <w:p w14:paraId="408F6891">
      <w:pPr>
        <w:snapToGrid w:val="0"/>
        <w:spacing w:after="216" w:afterLines="90"/>
        <w:ind w:right="-6" w:rightChars="-3"/>
        <w:rPr>
          <w:rFonts w:ascii="Arial Narrow" w:hAnsi="Arial Narrow" w:eastAsia="仿宋_GB2312"/>
          <w:sz w:val="24"/>
        </w:rPr>
      </w:pPr>
      <w:r>
        <w:rPr>
          <w:rFonts w:hint="eastAsia" w:ascii="微软雅黑" w:hAnsi="微软雅黑" w:eastAsia="微软雅黑" w:cs="微软雅黑"/>
          <w:sz w:val="24"/>
        </w:rPr>
        <w:t>②</w:t>
      </w:r>
      <w:r>
        <w:rPr>
          <w:rFonts w:ascii="Arial Narrow" w:hAnsi="Arial Narrow" w:eastAsia="仿宋_GB2312"/>
          <w:color w:val="0000FF"/>
          <w:sz w:val="24"/>
        </w:rPr>
        <w:t>持有其他主体20%以下表决权但具有重大影响，或者持有其他主体20%或以上表决权但不具有重大影响的，应披露相关判断和依据。</w:t>
      </w:r>
    </w:p>
    <w:p w14:paraId="58AB5BB0">
      <w:pPr>
        <w:snapToGrid w:val="0"/>
        <w:spacing w:after="216" w:afterLines="90"/>
        <w:rPr>
          <w:rFonts w:ascii="Arial Narrow" w:hAnsi="Arial Narrow" w:eastAsia="仿宋_GB2312"/>
          <w:sz w:val="24"/>
        </w:rPr>
      </w:pPr>
      <w:r>
        <w:rPr>
          <w:rFonts w:ascii="Arial Narrow" w:hAnsi="Arial Narrow" w:eastAsia="仿宋_GB2312"/>
          <w:sz w:val="24"/>
        </w:rPr>
        <w:t>重要的合营企业或联营企业财务信息详见</w:t>
      </w:r>
      <w:r>
        <w:rPr>
          <w:rFonts w:ascii="Arial Narrow" w:hAnsi="Arial Narrow" w:eastAsia="仿宋_GB2312"/>
          <w:color w:val="FF0000"/>
          <w:sz w:val="24"/>
        </w:rPr>
        <w:t>附注</w:t>
      </w:r>
      <w:r>
        <w:rPr>
          <w:rFonts w:hint="eastAsia" w:ascii="Arial Narrow" w:hAnsi="Arial Narrow" w:eastAsia="仿宋_GB2312"/>
          <w:color w:val="FF0000"/>
          <w:sz w:val="24"/>
        </w:rPr>
        <w:t>八、</w:t>
      </w:r>
      <w:r>
        <w:rPr>
          <w:rFonts w:ascii="Arial Narrow" w:hAnsi="Arial Narrow" w:eastAsia="仿宋_GB2312"/>
          <w:color w:val="FF0000"/>
          <w:sz w:val="24"/>
        </w:rPr>
        <w:t>18</w:t>
      </w:r>
      <w:r>
        <w:rPr>
          <w:rFonts w:hint="eastAsia" w:ascii="Arial Narrow" w:hAnsi="Arial Narrow" w:eastAsia="仿宋_GB2312"/>
          <w:sz w:val="24"/>
        </w:rPr>
        <w:t>。</w:t>
      </w:r>
    </w:p>
    <w:p w14:paraId="40E9670C">
      <w:pPr>
        <w:pStyle w:val="5"/>
        <w:rPr>
          <w:rFonts w:cs="宋体"/>
          <w:kern w:val="0"/>
        </w:rPr>
      </w:pPr>
      <w:r>
        <w:t>本期与本公司发生关联方交易，或前期与本公司发生关联方交易形成余额的其他</w:t>
      </w:r>
      <w:r>
        <w:rPr>
          <w:rFonts w:cs="宋体"/>
          <w:kern w:val="0"/>
        </w:rPr>
        <w:t>合营或联营企业情况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72"/>
        <w:gridCol w:w="5400"/>
      </w:tblGrid>
      <w:tr w14:paraId="600AB16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024" w:type="pct"/>
            <w:tcBorders>
              <w:top w:val="single" w:color="auto" w:sz="8" w:space="0"/>
              <w:bottom w:val="single" w:color="auto" w:sz="4" w:space="0"/>
            </w:tcBorders>
            <w:shd w:val="clear" w:color="auto" w:fill="auto"/>
            <w:vAlign w:val="center"/>
          </w:tcPr>
          <w:p w14:paraId="552317B7">
            <w:pPr>
              <w:adjustRightInd w:val="0"/>
              <w:snapToGrid w:val="0"/>
              <w:rPr>
                <w:rFonts w:ascii="Arial Narrow" w:hAnsi="Arial Narrow" w:eastAsia="仿宋_GB2312"/>
                <w:b/>
                <w:szCs w:val="21"/>
              </w:rPr>
            </w:pPr>
            <w:r>
              <w:rPr>
                <w:rFonts w:ascii="Arial Narrow" w:hAnsi="Arial Narrow" w:eastAsia="仿宋_GB2312"/>
                <w:b/>
                <w:szCs w:val="21"/>
              </w:rPr>
              <w:t>合营或联营企业名称</w:t>
            </w:r>
          </w:p>
        </w:tc>
        <w:tc>
          <w:tcPr>
            <w:tcW w:w="2976" w:type="pct"/>
            <w:tcBorders>
              <w:top w:val="single" w:color="auto" w:sz="8" w:space="0"/>
              <w:bottom w:val="single" w:color="auto" w:sz="4" w:space="0"/>
            </w:tcBorders>
            <w:shd w:val="clear" w:color="auto" w:fill="auto"/>
            <w:vAlign w:val="center"/>
          </w:tcPr>
          <w:p w14:paraId="3E51B7F3">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r>
      <w:tr w14:paraId="2DDF12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tcBorders>
              <w:top w:val="single" w:color="auto" w:sz="4" w:space="0"/>
            </w:tcBorders>
            <w:shd w:val="clear" w:color="auto" w:fill="auto"/>
            <w:vAlign w:val="center"/>
          </w:tcPr>
          <w:p w14:paraId="1544AB3D">
            <w:pPr>
              <w:rPr>
                <w:rFonts w:ascii="Arial Narrow" w:hAnsi="Arial Narrow" w:eastAsia="仿宋_GB2312"/>
              </w:rPr>
            </w:pPr>
          </w:p>
        </w:tc>
        <w:tc>
          <w:tcPr>
            <w:tcW w:w="2976" w:type="pct"/>
            <w:tcBorders>
              <w:top w:val="single" w:color="auto" w:sz="4" w:space="0"/>
            </w:tcBorders>
            <w:shd w:val="clear" w:color="auto" w:fill="auto"/>
            <w:vAlign w:val="center"/>
          </w:tcPr>
          <w:p w14:paraId="066A0F71">
            <w:pPr>
              <w:jc w:val="right"/>
              <w:rPr>
                <w:rFonts w:ascii="Arial Narrow" w:hAnsi="Arial Narrow" w:eastAsia="仿宋_GB2312"/>
              </w:rPr>
            </w:pPr>
          </w:p>
        </w:tc>
      </w:tr>
      <w:tr w14:paraId="7EE8B5E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61C573A9">
            <w:pPr>
              <w:rPr>
                <w:rFonts w:ascii="Arial Narrow" w:hAnsi="Arial Narrow" w:eastAsia="仿宋_GB2312"/>
              </w:rPr>
            </w:pPr>
          </w:p>
        </w:tc>
        <w:tc>
          <w:tcPr>
            <w:tcW w:w="2976" w:type="pct"/>
            <w:shd w:val="clear" w:color="auto" w:fill="auto"/>
            <w:vAlign w:val="center"/>
          </w:tcPr>
          <w:p w14:paraId="6EF317E6">
            <w:pPr>
              <w:jc w:val="right"/>
              <w:rPr>
                <w:rFonts w:ascii="Arial Narrow" w:hAnsi="Arial Narrow" w:eastAsia="仿宋_GB2312"/>
              </w:rPr>
            </w:pPr>
          </w:p>
        </w:tc>
      </w:tr>
      <w:tr w14:paraId="41419B7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024" w:type="pct"/>
            <w:shd w:val="clear" w:color="auto" w:fill="auto"/>
            <w:vAlign w:val="center"/>
          </w:tcPr>
          <w:p w14:paraId="55F4383C">
            <w:pPr>
              <w:rPr>
                <w:rFonts w:ascii="Arial Narrow" w:hAnsi="Arial Narrow" w:eastAsia="仿宋_GB2312"/>
              </w:rPr>
            </w:pPr>
          </w:p>
        </w:tc>
        <w:tc>
          <w:tcPr>
            <w:tcW w:w="2976" w:type="pct"/>
            <w:shd w:val="clear" w:color="auto" w:fill="auto"/>
            <w:vAlign w:val="center"/>
          </w:tcPr>
          <w:p w14:paraId="151E2A18">
            <w:pPr>
              <w:jc w:val="right"/>
              <w:rPr>
                <w:rFonts w:ascii="Arial Narrow" w:hAnsi="Arial Narrow" w:eastAsia="仿宋_GB2312"/>
              </w:rPr>
            </w:pPr>
          </w:p>
        </w:tc>
      </w:tr>
    </w:tbl>
    <w:p w14:paraId="40978017">
      <w:pPr>
        <w:pStyle w:val="4"/>
        <w:spacing w:before="120" w:after="216"/>
      </w:pPr>
      <w:r>
        <w:t>本公司的其他关联方情况</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5116"/>
        <w:gridCol w:w="1942"/>
        <w:gridCol w:w="2014"/>
      </w:tblGrid>
      <w:tr w14:paraId="064CEA9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5125" w:type="dxa"/>
            <w:tcBorders>
              <w:top w:val="single" w:color="auto" w:sz="8" w:space="0"/>
              <w:bottom w:val="single" w:color="auto" w:sz="4" w:space="0"/>
            </w:tcBorders>
            <w:shd w:val="clear" w:color="auto" w:fill="auto"/>
            <w:vAlign w:val="center"/>
          </w:tcPr>
          <w:p w14:paraId="0F19C11C">
            <w:pPr>
              <w:adjustRightInd w:val="0"/>
              <w:snapToGrid w:val="0"/>
              <w:rPr>
                <w:rFonts w:ascii="Arial Narrow" w:hAnsi="Arial Narrow" w:eastAsia="仿宋_GB2312"/>
                <w:b/>
                <w:szCs w:val="21"/>
              </w:rPr>
            </w:pPr>
            <w:r>
              <w:rPr>
                <w:rFonts w:ascii="Arial Narrow" w:hAnsi="Arial Narrow" w:eastAsia="仿宋_GB2312"/>
                <w:b/>
                <w:szCs w:val="21"/>
              </w:rPr>
              <w:t>关联方名称</w:t>
            </w:r>
          </w:p>
        </w:tc>
        <w:tc>
          <w:tcPr>
            <w:tcW w:w="1945" w:type="dxa"/>
            <w:tcBorders>
              <w:top w:val="single" w:color="auto" w:sz="8" w:space="0"/>
              <w:bottom w:val="single" w:color="auto" w:sz="4" w:space="0"/>
            </w:tcBorders>
            <w:shd w:val="clear" w:color="auto" w:fill="auto"/>
            <w:vAlign w:val="center"/>
          </w:tcPr>
          <w:p w14:paraId="6A11FEF9">
            <w:pPr>
              <w:adjustRightInd w:val="0"/>
              <w:snapToGrid w:val="0"/>
              <w:jc w:val="right"/>
              <w:rPr>
                <w:rFonts w:ascii="Arial Narrow" w:hAnsi="Arial Narrow" w:eastAsia="仿宋_GB2312"/>
                <w:b/>
                <w:szCs w:val="21"/>
              </w:rPr>
            </w:pPr>
            <w:r>
              <w:rPr>
                <w:rFonts w:ascii="Arial Narrow" w:hAnsi="Arial Narrow" w:eastAsia="仿宋_GB2312"/>
                <w:b/>
                <w:szCs w:val="21"/>
              </w:rPr>
              <w:t>与本公司关系</w:t>
            </w:r>
          </w:p>
        </w:tc>
        <w:tc>
          <w:tcPr>
            <w:tcW w:w="2017" w:type="dxa"/>
            <w:tcBorders>
              <w:top w:val="single" w:color="auto" w:sz="8" w:space="0"/>
              <w:bottom w:val="single" w:color="auto" w:sz="4" w:space="0"/>
            </w:tcBorders>
            <w:shd w:val="clear" w:color="auto" w:fill="auto"/>
            <w:vAlign w:val="center"/>
          </w:tcPr>
          <w:p w14:paraId="4F6F9250">
            <w:pPr>
              <w:adjustRightInd w:val="0"/>
              <w:snapToGrid w:val="0"/>
              <w:jc w:val="right"/>
              <w:rPr>
                <w:rFonts w:ascii="Arial Narrow" w:hAnsi="Arial Narrow" w:eastAsia="仿宋_GB2312"/>
                <w:b/>
                <w:szCs w:val="21"/>
              </w:rPr>
            </w:pPr>
            <w:r>
              <w:rPr>
                <w:rFonts w:ascii="Arial Narrow" w:hAnsi="Arial Narrow" w:eastAsia="仿宋_GB2312"/>
                <w:b/>
                <w:szCs w:val="21"/>
              </w:rPr>
              <w:t>组织机构代码</w:t>
            </w:r>
          </w:p>
        </w:tc>
      </w:tr>
      <w:tr w14:paraId="430162F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125" w:type="dxa"/>
            <w:tcBorders>
              <w:top w:val="single" w:color="auto" w:sz="4" w:space="0"/>
            </w:tcBorders>
            <w:shd w:val="clear" w:color="auto" w:fill="auto"/>
            <w:vAlign w:val="center"/>
          </w:tcPr>
          <w:p w14:paraId="4FCF9EE8">
            <w:pPr>
              <w:rPr>
                <w:rFonts w:ascii="Arial Narrow" w:hAnsi="Arial Narrow" w:eastAsia="仿宋_GB2312"/>
              </w:rPr>
            </w:pPr>
          </w:p>
        </w:tc>
        <w:tc>
          <w:tcPr>
            <w:tcW w:w="1945" w:type="dxa"/>
            <w:tcBorders>
              <w:top w:val="single" w:color="auto" w:sz="4" w:space="0"/>
            </w:tcBorders>
            <w:shd w:val="clear" w:color="auto" w:fill="auto"/>
            <w:vAlign w:val="center"/>
          </w:tcPr>
          <w:p w14:paraId="6B100923">
            <w:pPr>
              <w:jc w:val="right"/>
              <w:rPr>
                <w:rFonts w:ascii="Arial Narrow" w:hAnsi="Arial Narrow" w:eastAsia="仿宋_GB2312"/>
              </w:rPr>
            </w:pPr>
          </w:p>
        </w:tc>
        <w:tc>
          <w:tcPr>
            <w:tcW w:w="2017" w:type="dxa"/>
            <w:tcBorders>
              <w:top w:val="single" w:color="auto" w:sz="4" w:space="0"/>
            </w:tcBorders>
            <w:shd w:val="clear" w:color="auto" w:fill="auto"/>
            <w:vAlign w:val="center"/>
          </w:tcPr>
          <w:p w14:paraId="613B8244">
            <w:pPr>
              <w:jc w:val="right"/>
              <w:rPr>
                <w:rFonts w:ascii="Arial Narrow" w:hAnsi="Arial Narrow" w:eastAsia="仿宋_GB2312"/>
              </w:rPr>
            </w:pPr>
          </w:p>
        </w:tc>
      </w:tr>
      <w:tr w14:paraId="38E6C0F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125" w:type="dxa"/>
            <w:shd w:val="clear" w:color="auto" w:fill="auto"/>
            <w:vAlign w:val="center"/>
          </w:tcPr>
          <w:p w14:paraId="273E65AA">
            <w:pPr>
              <w:rPr>
                <w:rFonts w:ascii="Arial Narrow" w:hAnsi="Arial Narrow" w:eastAsia="仿宋_GB2312"/>
              </w:rPr>
            </w:pPr>
          </w:p>
        </w:tc>
        <w:tc>
          <w:tcPr>
            <w:tcW w:w="1945" w:type="dxa"/>
            <w:shd w:val="clear" w:color="auto" w:fill="auto"/>
            <w:vAlign w:val="center"/>
          </w:tcPr>
          <w:p w14:paraId="1FCEEC9F">
            <w:pPr>
              <w:jc w:val="right"/>
              <w:rPr>
                <w:rFonts w:ascii="Arial Narrow" w:hAnsi="Arial Narrow" w:eastAsia="仿宋_GB2312"/>
              </w:rPr>
            </w:pPr>
          </w:p>
        </w:tc>
        <w:tc>
          <w:tcPr>
            <w:tcW w:w="2017" w:type="dxa"/>
            <w:shd w:val="clear" w:color="auto" w:fill="auto"/>
            <w:vAlign w:val="center"/>
          </w:tcPr>
          <w:p w14:paraId="60585CA3">
            <w:pPr>
              <w:jc w:val="right"/>
              <w:rPr>
                <w:rFonts w:ascii="Arial Narrow" w:hAnsi="Arial Narrow" w:eastAsia="仿宋_GB2312"/>
              </w:rPr>
            </w:pPr>
          </w:p>
        </w:tc>
      </w:tr>
      <w:tr w14:paraId="705399C2">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5125" w:type="dxa"/>
            <w:shd w:val="clear" w:color="auto" w:fill="auto"/>
            <w:vAlign w:val="center"/>
          </w:tcPr>
          <w:p w14:paraId="078699B5">
            <w:pPr>
              <w:rPr>
                <w:rFonts w:ascii="Arial Narrow" w:hAnsi="Arial Narrow" w:eastAsia="仿宋_GB2312"/>
              </w:rPr>
            </w:pPr>
          </w:p>
        </w:tc>
        <w:tc>
          <w:tcPr>
            <w:tcW w:w="1945" w:type="dxa"/>
            <w:shd w:val="clear" w:color="auto" w:fill="auto"/>
            <w:vAlign w:val="center"/>
          </w:tcPr>
          <w:p w14:paraId="51C36887">
            <w:pPr>
              <w:jc w:val="right"/>
              <w:rPr>
                <w:rFonts w:ascii="Arial Narrow" w:hAnsi="Arial Narrow" w:eastAsia="仿宋_GB2312"/>
              </w:rPr>
            </w:pPr>
          </w:p>
        </w:tc>
        <w:tc>
          <w:tcPr>
            <w:tcW w:w="2017" w:type="dxa"/>
            <w:shd w:val="clear" w:color="auto" w:fill="auto"/>
            <w:vAlign w:val="center"/>
          </w:tcPr>
          <w:p w14:paraId="508DF096">
            <w:pPr>
              <w:jc w:val="right"/>
              <w:rPr>
                <w:rFonts w:ascii="Arial Narrow" w:hAnsi="Arial Narrow" w:eastAsia="仿宋_GB2312"/>
              </w:rPr>
            </w:pPr>
          </w:p>
        </w:tc>
      </w:tr>
    </w:tbl>
    <w:p w14:paraId="523E9D90">
      <w:pPr>
        <w:pStyle w:val="4"/>
        <w:spacing w:before="120" w:after="216"/>
      </w:pPr>
      <w:r>
        <w:t>关联交易情况</w:t>
      </w:r>
    </w:p>
    <w:p w14:paraId="472F8157">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 xml:space="preserve">【披露要求：分别说明各关联方关系的性质、交易类型及交易要素。交易要素至少应当包括：1.交易的金额。2.未结算项目的金额、条款和条件，以及有关提供或取得担保的信息。3.未结算应收项目的坏账准备金额。4.定价政策。 </w:t>
      </w:r>
    </w:p>
    <w:p w14:paraId="0481D34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关联方交易应分别关联方以及交易类型，披露关联交易定价方式及决策程序、关联交易金额占同类交易金额的比例等情况。】</w:t>
      </w:r>
    </w:p>
    <w:p w14:paraId="039226A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参考披露格式如下：</w:t>
      </w:r>
    </w:p>
    <w:p w14:paraId="18E0A2F1">
      <w:pPr>
        <w:pStyle w:val="5"/>
        <w:numPr>
          <w:ilvl w:val="3"/>
          <w:numId w:val="21"/>
        </w:numPr>
      </w:pPr>
      <w:r>
        <w:t>关联采购与销售情况</w:t>
      </w:r>
    </w:p>
    <w:p w14:paraId="7CD7B0B8">
      <w:pPr>
        <w:keepNext/>
        <w:widowControl/>
        <w:adjustRightInd w:val="0"/>
        <w:spacing w:after="216" w:afterLines="90"/>
        <w:rPr>
          <w:rFonts w:ascii="Arial Narrow" w:hAnsi="Arial Narrow" w:eastAsia="仿宋_GB2312"/>
          <w:sz w:val="24"/>
        </w:rPr>
      </w:pPr>
      <w:r>
        <w:rPr>
          <w:rFonts w:ascii="Arial Narrow" w:hAnsi="Arial Narrow" w:eastAsia="仿宋_GB2312"/>
          <w:sz w:val="24"/>
        </w:rPr>
        <w:t>A、采购商品、接受劳务情况表</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64"/>
        <w:gridCol w:w="952"/>
        <w:gridCol w:w="1400"/>
        <w:gridCol w:w="1239"/>
        <w:gridCol w:w="1239"/>
        <w:gridCol w:w="1239"/>
        <w:gridCol w:w="1239"/>
      </w:tblGrid>
      <w:tr w14:paraId="2132769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64" w:type="dxa"/>
            <w:vMerge w:val="restart"/>
            <w:tcBorders>
              <w:top w:val="single" w:color="auto" w:sz="8" w:space="0"/>
              <w:bottom w:val="nil"/>
            </w:tcBorders>
            <w:shd w:val="clear" w:color="auto" w:fill="auto"/>
            <w:vAlign w:val="center"/>
          </w:tcPr>
          <w:p w14:paraId="79A37362">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952" w:type="dxa"/>
            <w:vMerge w:val="restart"/>
            <w:tcBorders>
              <w:top w:val="single" w:color="auto" w:sz="8" w:space="0"/>
              <w:bottom w:val="nil"/>
            </w:tcBorders>
            <w:shd w:val="clear" w:color="auto" w:fill="auto"/>
            <w:vAlign w:val="center"/>
          </w:tcPr>
          <w:p w14:paraId="0E8E7037">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1400" w:type="dxa"/>
            <w:vMerge w:val="restart"/>
            <w:tcBorders>
              <w:top w:val="single" w:color="auto" w:sz="8" w:space="0"/>
              <w:bottom w:val="nil"/>
            </w:tcBorders>
            <w:shd w:val="clear" w:color="auto" w:fill="auto"/>
            <w:vAlign w:val="center"/>
          </w:tcPr>
          <w:p w14:paraId="097399F8">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2478" w:type="dxa"/>
            <w:gridSpan w:val="2"/>
            <w:tcBorders>
              <w:top w:val="single" w:color="auto" w:sz="8" w:space="0"/>
              <w:bottom w:val="nil"/>
            </w:tcBorders>
            <w:shd w:val="clear" w:color="auto" w:fill="auto"/>
            <w:vAlign w:val="center"/>
          </w:tcPr>
          <w:p w14:paraId="32E6641C">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2478" w:type="dxa"/>
            <w:gridSpan w:val="2"/>
            <w:tcBorders>
              <w:top w:val="single" w:color="auto" w:sz="8" w:space="0"/>
              <w:bottom w:val="nil"/>
            </w:tcBorders>
            <w:shd w:val="clear" w:color="auto" w:fill="auto"/>
            <w:vAlign w:val="center"/>
          </w:tcPr>
          <w:p w14:paraId="4B9B55AC">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236D28F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64" w:type="dxa"/>
            <w:vMerge w:val="continue"/>
            <w:tcBorders>
              <w:top w:val="nil"/>
              <w:bottom w:val="single" w:color="auto" w:sz="4" w:space="0"/>
            </w:tcBorders>
            <w:shd w:val="clear" w:color="auto" w:fill="auto"/>
            <w:vAlign w:val="center"/>
          </w:tcPr>
          <w:p w14:paraId="27FD1152">
            <w:pPr>
              <w:adjustRightInd w:val="0"/>
              <w:snapToGrid w:val="0"/>
              <w:rPr>
                <w:rFonts w:ascii="Arial Narrow" w:hAnsi="Arial Narrow" w:eastAsia="仿宋_GB2312"/>
                <w:b/>
                <w:szCs w:val="21"/>
              </w:rPr>
            </w:pPr>
          </w:p>
        </w:tc>
        <w:tc>
          <w:tcPr>
            <w:tcW w:w="952" w:type="dxa"/>
            <w:vMerge w:val="continue"/>
            <w:tcBorders>
              <w:top w:val="nil"/>
              <w:bottom w:val="single" w:color="auto" w:sz="4" w:space="0"/>
            </w:tcBorders>
            <w:shd w:val="clear" w:color="auto" w:fill="auto"/>
            <w:vAlign w:val="center"/>
          </w:tcPr>
          <w:p w14:paraId="328E37AE">
            <w:pPr>
              <w:adjustRightInd w:val="0"/>
              <w:snapToGrid w:val="0"/>
              <w:rPr>
                <w:rFonts w:ascii="Arial Narrow" w:hAnsi="Arial Narrow" w:eastAsia="仿宋_GB2312"/>
                <w:b/>
                <w:szCs w:val="21"/>
              </w:rPr>
            </w:pPr>
          </w:p>
        </w:tc>
        <w:tc>
          <w:tcPr>
            <w:tcW w:w="1400" w:type="dxa"/>
            <w:vMerge w:val="continue"/>
            <w:tcBorders>
              <w:top w:val="nil"/>
              <w:bottom w:val="single" w:color="auto" w:sz="4" w:space="0"/>
            </w:tcBorders>
            <w:shd w:val="clear" w:color="auto" w:fill="auto"/>
            <w:vAlign w:val="center"/>
          </w:tcPr>
          <w:p w14:paraId="14FACD3B">
            <w:pPr>
              <w:adjustRightInd w:val="0"/>
              <w:snapToGrid w:val="0"/>
              <w:rPr>
                <w:rFonts w:ascii="Arial Narrow" w:hAnsi="Arial Narrow" w:eastAsia="仿宋_GB2312"/>
                <w:b/>
                <w:szCs w:val="21"/>
              </w:rPr>
            </w:pPr>
          </w:p>
        </w:tc>
        <w:tc>
          <w:tcPr>
            <w:tcW w:w="1239" w:type="dxa"/>
            <w:tcBorders>
              <w:top w:val="nil"/>
              <w:bottom w:val="single" w:color="auto" w:sz="4" w:space="0"/>
            </w:tcBorders>
            <w:shd w:val="clear" w:color="auto" w:fill="auto"/>
            <w:vAlign w:val="center"/>
          </w:tcPr>
          <w:p w14:paraId="749FFAB1">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38614339">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065CC358">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2FBEAE15">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c>
          <w:tcPr>
            <w:tcW w:w="1239" w:type="dxa"/>
            <w:tcBorders>
              <w:top w:val="nil"/>
              <w:bottom w:val="single" w:color="auto" w:sz="4" w:space="0"/>
            </w:tcBorders>
            <w:shd w:val="clear" w:color="auto" w:fill="auto"/>
            <w:vAlign w:val="center"/>
          </w:tcPr>
          <w:p w14:paraId="41292E6D">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63E6DA6C">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2A563E5F">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w:t>
            </w:r>
          </w:p>
          <w:p w14:paraId="49A393E2">
            <w:pPr>
              <w:adjustRightInd w:val="0"/>
              <w:snapToGrid w:val="0"/>
              <w:jc w:val="right"/>
              <w:rPr>
                <w:rFonts w:ascii="Arial Narrow" w:hAnsi="Arial Narrow" w:eastAsia="仿宋_GB2312"/>
                <w:b/>
                <w:szCs w:val="21"/>
              </w:rPr>
            </w:pPr>
            <w:r>
              <w:rPr>
                <w:rFonts w:ascii="Arial Narrow" w:hAnsi="Arial Narrow" w:eastAsia="仿宋_GB2312"/>
                <w:b/>
                <w:szCs w:val="21"/>
              </w:rPr>
              <w:t>比例％</w:t>
            </w:r>
          </w:p>
        </w:tc>
      </w:tr>
      <w:tr w14:paraId="792FDAE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tcBorders>
              <w:top w:val="single" w:color="auto" w:sz="4" w:space="0"/>
            </w:tcBorders>
            <w:shd w:val="clear" w:color="auto" w:fill="auto"/>
            <w:vAlign w:val="center"/>
          </w:tcPr>
          <w:p w14:paraId="2DCA03E5">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52" w:type="dxa"/>
            <w:tcBorders>
              <w:top w:val="single" w:color="auto" w:sz="4" w:space="0"/>
            </w:tcBorders>
            <w:shd w:val="clear" w:color="auto" w:fill="auto"/>
            <w:vAlign w:val="center"/>
          </w:tcPr>
          <w:p w14:paraId="3A043272">
            <w:pPr>
              <w:rPr>
                <w:rFonts w:ascii="Arial Narrow" w:hAnsi="Arial Narrow" w:eastAsia="仿宋_GB2312"/>
              </w:rPr>
            </w:pPr>
          </w:p>
        </w:tc>
        <w:tc>
          <w:tcPr>
            <w:tcW w:w="1400" w:type="dxa"/>
            <w:tcBorders>
              <w:top w:val="single" w:color="auto" w:sz="4" w:space="0"/>
            </w:tcBorders>
            <w:shd w:val="clear" w:color="auto" w:fill="auto"/>
            <w:vAlign w:val="center"/>
          </w:tcPr>
          <w:p w14:paraId="4E10197A">
            <w:pPr>
              <w:rPr>
                <w:rFonts w:ascii="Arial Narrow" w:hAnsi="Arial Narrow" w:eastAsia="仿宋_GB2312"/>
              </w:rPr>
            </w:pPr>
          </w:p>
        </w:tc>
        <w:tc>
          <w:tcPr>
            <w:tcW w:w="1239" w:type="dxa"/>
            <w:tcBorders>
              <w:top w:val="single" w:color="auto" w:sz="4" w:space="0"/>
            </w:tcBorders>
            <w:shd w:val="clear" w:color="auto" w:fill="auto"/>
            <w:vAlign w:val="center"/>
          </w:tcPr>
          <w:p w14:paraId="5AAE43E5">
            <w:pPr>
              <w:jc w:val="right"/>
              <w:rPr>
                <w:rFonts w:ascii="Arial Narrow" w:hAnsi="Arial Narrow" w:eastAsia="仿宋_GB2312"/>
              </w:rPr>
            </w:pPr>
          </w:p>
        </w:tc>
        <w:tc>
          <w:tcPr>
            <w:tcW w:w="1239" w:type="dxa"/>
            <w:tcBorders>
              <w:top w:val="single" w:color="auto" w:sz="4" w:space="0"/>
            </w:tcBorders>
            <w:shd w:val="clear" w:color="auto" w:fill="auto"/>
            <w:vAlign w:val="center"/>
          </w:tcPr>
          <w:p w14:paraId="6A6F9B94">
            <w:pPr>
              <w:jc w:val="right"/>
              <w:rPr>
                <w:rFonts w:ascii="Arial Narrow" w:hAnsi="Arial Narrow" w:eastAsia="仿宋_GB2312"/>
              </w:rPr>
            </w:pPr>
          </w:p>
        </w:tc>
        <w:tc>
          <w:tcPr>
            <w:tcW w:w="1239" w:type="dxa"/>
            <w:tcBorders>
              <w:top w:val="single" w:color="auto" w:sz="4" w:space="0"/>
            </w:tcBorders>
            <w:shd w:val="clear" w:color="auto" w:fill="auto"/>
            <w:vAlign w:val="center"/>
          </w:tcPr>
          <w:p w14:paraId="56B0727A">
            <w:pPr>
              <w:jc w:val="right"/>
              <w:rPr>
                <w:rFonts w:ascii="Arial Narrow" w:hAnsi="Arial Narrow" w:eastAsia="仿宋_GB2312"/>
              </w:rPr>
            </w:pPr>
          </w:p>
        </w:tc>
        <w:tc>
          <w:tcPr>
            <w:tcW w:w="1239" w:type="dxa"/>
            <w:tcBorders>
              <w:top w:val="single" w:color="auto" w:sz="4" w:space="0"/>
            </w:tcBorders>
            <w:shd w:val="clear" w:color="auto" w:fill="auto"/>
            <w:vAlign w:val="center"/>
          </w:tcPr>
          <w:p w14:paraId="4A2499DF">
            <w:pPr>
              <w:jc w:val="right"/>
              <w:rPr>
                <w:rFonts w:ascii="Arial Narrow" w:hAnsi="Arial Narrow" w:eastAsia="仿宋_GB2312"/>
              </w:rPr>
            </w:pPr>
          </w:p>
        </w:tc>
      </w:tr>
      <w:tr w14:paraId="7CD147B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shd w:val="clear" w:color="auto" w:fill="auto"/>
            <w:vAlign w:val="center"/>
          </w:tcPr>
          <w:p w14:paraId="3BED900F">
            <w:pPr>
              <w:adjustRightInd w:val="0"/>
              <w:snapToGrid w:val="0"/>
              <w:rPr>
                <w:rFonts w:ascii="Arial Narrow" w:hAnsi="Arial Narrow" w:eastAsia="仿宋_GB2312"/>
                <w:color w:val="000000"/>
                <w:szCs w:val="21"/>
              </w:rPr>
            </w:pPr>
          </w:p>
        </w:tc>
        <w:tc>
          <w:tcPr>
            <w:tcW w:w="952" w:type="dxa"/>
            <w:shd w:val="clear" w:color="auto" w:fill="auto"/>
            <w:vAlign w:val="center"/>
          </w:tcPr>
          <w:p w14:paraId="23BC5582">
            <w:pPr>
              <w:rPr>
                <w:rFonts w:ascii="Arial Narrow" w:hAnsi="Arial Narrow" w:eastAsia="仿宋_GB2312"/>
              </w:rPr>
            </w:pPr>
          </w:p>
        </w:tc>
        <w:tc>
          <w:tcPr>
            <w:tcW w:w="1400" w:type="dxa"/>
            <w:shd w:val="clear" w:color="auto" w:fill="auto"/>
            <w:vAlign w:val="center"/>
          </w:tcPr>
          <w:p w14:paraId="0B292FB3">
            <w:pPr>
              <w:rPr>
                <w:rFonts w:ascii="Arial Narrow" w:hAnsi="Arial Narrow" w:eastAsia="仿宋_GB2312"/>
              </w:rPr>
            </w:pPr>
          </w:p>
        </w:tc>
        <w:tc>
          <w:tcPr>
            <w:tcW w:w="1239" w:type="dxa"/>
            <w:shd w:val="clear" w:color="auto" w:fill="auto"/>
            <w:vAlign w:val="center"/>
          </w:tcPr>
          <w:p w14:paraId="4617A6D7">
            <w:pPr>
              <w:jc w:val="right"/>
              <w:rPr>
                <w:rFonts w:ascii="Arial Narrow" w:hAnsi="Arial Narrow" w:eastAsia="仿宋_GB2312"/>
              </w:rPr>
            </w:pPr>
          </w:p>
        </w:tc>
        <w:tc>
          <w:tcPr>
            <w:tcW w:w="1239" w:type="dxa"/>
            <w:shd w:val="clear" w:color="auto" w:fill="auto"/>
            <w:vAlign w:val="center"/>
          </w:tcPr>
          <w:p w14:paraId="14686485">
            <w:pPr>
              <w:jc w:val="right"/>
              <w:rPr>
                <w:rFonts w:ascii="Arial Narrow" w:hAnsi="Arial Narrow" w:eastAsia="仿宋_GB2312"/>
              </w:rPr>
            </w:pPr>
          </w:p>
        </w:tc>
        <w:tc>
          <w:tcPr>
            <w:tcW w:w="1239" w:type="dxa"/>
            <w:shd w:val="clear" w:color="auto" w:fill="auto"/>
            <w:vAlign w:val="center"/>
          </w:tcPr>
          <w:p w14:paraId="03E4F0B3">
            <w:pPr>
              <w:jc w:val="right"/>
              <w:rPr>
                <w:rFonts w:ascii="Arial Narrow" w:hAnsi="Arial Narrow" w:eastAsia="仿宋_GB2312"/>
              </w:rPr>
            </w:pPr>
          </w:p>
        </w:tc>
        <w:tc>
          <w:tcPr>
            <w:tcW w:w="1239" w:type="dxa"/>
            <w:shd w:val="clear" w:color="auto" w:fill="auto"/>
            <w:vAlign w:val="center"/>
          </w:tcPr>
          <w:p w14:paraId="00F2C737">
            <w:pPr>
              <w:jc w:val="right"/>
              <w:rPr>
                <w:rFonts w:ascii="Arial Narrow" w:hAnsi="Arial Narrow" w:eastAsia="仿宋_GB2312"/>
              </w:rPr>
            </w:pPr>
          </w:p>
        </w:tc>
      </w:tr>
      <w:tr w14:paraId="7C880FA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shd w:val="clear" w:color="auto" w:fill="auto"/>
            <w:vAlign w:val="center"/>
          </w:tcPr>
          <w:p w14:paraId="03B852C8">
            <w:pPr>
              <w:adjustRightInd w:val="0"/>
              <w:snapToGrid w:val="0"/>
              <w:rPr>
                <w:rFonts w:ascii="Arial Narrow" w:hAnsi="Arial Narrow" w:eastAsia="仿宋_GB2312"/>
                <w:color w:val="000000"/>
                <w:szCs w:val="21"/>
              </w:rPr>
            </w:pPr>
          </w:p>
        </w:tc>
        <w:tc>
          <w:tcPr>
            <w:tcW w:w="952" w:type="dxa"/>
            <w:shd w:val="clear" w:color="auto" w:fill="auto"/>
            <w:vAlign w:val="center"/>
          </w:tcPr>
          <w:p w14:paraId="514C7CE0">
            <w:pPr>
              <w:rPr>
                <w:rFonts w:ascii="Arial Narrow" w:hAnsi="Arial Narrow" w:eastAsia="仿宋_GB2312"/>
              </w:rPr>
            </w:pPr>
          </w:p>
        </w:tc>
        <w:tc>
          <w:tcPr>
            <w:tcW w:w="1400" w:type="dxa"/>
            <w:shd w:val="clear" w:color="auto" w:fill="auto"/>
            <w:vAlign w:val="center"/>
          </w:tcPr>
          <w:p w14:paraId="7E5F7C61">
            <w:pPr>
              <w:rPr>
                <w:rFonts w:ascii="Arial Narrow" w:hAnsi="Arial Narrow" w:eastAsia="仿宋_GB2312"/>
              </w:rPr>
            </w:pPr>
          </w:p>
        </w:tc>
        <w:tc>
          <w:tcPr>
            <w:tcW w:w="1239" w:type="dxa"/>
            <w:shd w:val="clear" w:color="auto" w:fill="auto"/>
            <w:vAlign w:val="center"/>
          </w:tcPr>
          <w:p w14:paraId="3033A1BB">
            <w:pPr>
              <w:jc w:val="right"/>
              <w:rPr>
                <w:rFonts w:ascii="Arial Narrow" w:hAnsi="Arial Narrow" w:eastAsia="仿宋_GB2312"/>
              </w:rPr>
            </w:pPr>
          </w:p>
        </w:tc>
        <w:tc>
          <w:tcPr>
            <w:tcW w:w="1239" w:type="dxa"/>
            <w:shd w:val="clear" w:color="auto" w:fill="auto"/>
            <w:vAlign w:val="center"/>
          </w:tcPr>
          <w:p w14:paraId="47D04C97">
            <w:pPr>
              <w:jc w:val="right"/>
              <w:rPr>
                <w:rFonts w:ascii="Arial Narrow" w:hAnsi="Arial Narrow" w:eastAsia="仿宋_GB2312"/>
              </w:rPr>
            </w:pPr>
          </w:p>
        </w:tc>
        <w:tc>
          <w:tcPr>
            <w:tcW w:w="1239" w:type="dxa"/>
            <w:shd w:val="clear" w:color="auto" w:fill="auto"/>
            <w:vAlign w:val="center"/>
          </w:tcPr>
          <w:p w14:paraId="1D17058A">
            <w:pPr>
              <w:jc w:val="right"/>
              <w:rPr>
                <w:rFonts w:ascii="Arial Narrow" w:hAnsi="Arial Narrow" w:eastAsia="仿宋_GB2312"/>
              </w:rPr>
            </w:pPr>
          </w:p>
        </w:tc>
        <w:tc>
          <w:tcPr>
            <w:tcW w:w="1239" w:type="dxa"/>
            <w:shd w:val="clear" w:color="auto" w:fill="auto"/>
            <w:vAlign w:val="center"/>
          </w:tcPr>
          <w:p w14:paraId="173C39F4">
            <w:pPr>
              <w:jc w:val="right"/>
              <w:rPr>
                <w:rFonts w:ascii="Arial Narrow" w:hAnsi="Arial Narrow" w:eastAsia="仿宋_GB2312"/>
              </w:rPr>
            </w:pPr>
          </w:p>
        </w:tc>
      </w:tr>
      <w:tr w14:paraId="577CB19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64" w:type="dxa"/>
            <w:shd w:val="clear" w:color="auto" w:fill="auto"/>
            <w:vAlign w:val="center"/>
          </w:tcPr>
          <w:p w14:paraId="0ACDFEA6">
            <w:pPr>
              <w:adjustRightInd w:val="0"/>
              <w:snapToGrid w:val="0"/>
              <w:rPr>
                <w:rFonts w:ascii="Arial Narrow" w:hAnsi="Arial Narrow" w:eastAsia="仿宋_GB2312"/>
                <w:color w:val="000000"/>
                <w:szCs w:val="21"/>
              </w:rPr>
            </w:pPr>
          </w:p>
        </w:tc>
        <w:tc>
          <w:tcPr>
            <w:tcW w:w="952" w:type="dxa"/>
            <w:shd w:val="clear" w:color="auto" w:fill="auto"/>
            <w:vAlign w:val="center"/>
          </w:tcPr>
          <w:p w14:paraId="1BAECC98">
            <w:pPr>
              <w:rPr>
                <w:rFonts w:ascii="Arial Narrow" w:hAnsi="Arial Narrow" w:eastAsia="仿宋_GB2312"/>
              </w:rPr>
            </w:pPr>
          </w:p>
        </w:tc>
        <w:tc>
          <w:tcPr>
            <w:tcW w:w="1400" w:type="dxa"/>
            <w:shd w:val="clear" w:color="auto" w:fill="auto"/>
            <w:vAlign w:val="center"/>
          </w:tcPr>
          <w:p w14:paraId="1BEBB618">
            <w:pPr>
              <w:rPr>
                <w:rFonts w:ascii="Arial Narrow" w:hAnsi="Arial Narrow" w:eastAsia="仿宋_GB2312"/>
              </w:rPr>
            </w:pPr>
          </w:p>
        </w:tc>
        <w:tc>
          <w:tcPr>
            <w:tcW w:w="1239" w:type="dxa"/>
            <w:shd w:val="clear" w:color="auto" w:fill="auto"/>
            <w:vAlign w:val="center"/>
          </w:tcPr>
          <w:p w14:paraId="3CB56626">
            <w:pPr>
              <w:jc w:val="right"/>
              <w:rPr>
                <w:rFonts w:ascii="Arial Narrow" w:hAnsi="Arial Narrow" w:eastAsia="仿宋_GB2312"/>
              </w:rPr>
            </w:pPr>
          </w:p>
        </w:tc>
        <w:tc>
          <w:tcPr>
            <w:tcW w:w="1239" w:type="dxa"/>
            <w:shd w:val="clear" w:color="auto" w:fill="auto"/>
            <w:vAlign w:val="center"/>
          </w:tcPr>
          <w:p w14:paraId="161C98D3">
            <w:pPr>
              <w:jc w:val="right"/>
              <w:rPr>
                <w:rFonts w:ascii="Arial Narrow" w:hAnsi="Arial Narrow" w:eastAsia="仿宋_GB2312"/>
              </w:rPr>
            </w:pPr>
          </w:p>
        </w:tc>
        <w:tc>
          <w:tcPr>
            <w:tcW w:w="1239" w:type="dxa"/>
            <w:shd w:val="clear" w:color="auto" w:fill="auto"/>
            <w:vAlign w:val="center"/>
          </w:tcPr>
          <w:p w14:paraId="621F8209">
            <w:pPr>
              <w:jc w:val="right"/>
              <w:rPr>
                <w:rFonts w:ascii="Arial Narrow" w:hAnsi="Arial Narrow" w:eastAsia="仿宋_GB2312"/>
              </w:rPr>
            </w:pPr>
          </w:p>
        </w:tc>
        <w:tc>
          <w:tcPr>
            <w:tcW w:w="1239" w:type="dxa"/>
            <w:shd w:val="clear" w:color="auto" w:fill="auto"/>
            <w:vAlign w:val="center"/>
          </w:tcPr>
          <w:p w14:paraId="6DCC73A0">
            <w:pPr>
              <w:jc w:val="right"/>
              <w:rPr>
                <w:rFonts w:ascii="Arial Narrow" w:hAnsi="Arial Narrow" w:eastAsia="仿宋_GB2312"/>
              </w:rPr>
            </w:pPr>
          </w:p>
        </w:tc>
      </w:tr>
    </w:tbl>
    <w:p w14:paraId="65B5E06B">
      <w:pPr>
        <w:keepNext/>
        <w:widowControl/>
        <w:adjustRightInd w:val="0"/>
        <w:spacing w:before="120" w:beforeLines="50" w:after="216" w:afterLines="90"/>
        <w:rPr>
          <w:rFonts w:ascii="Arial Narrow" w:hAnsi="Arial Narrow" w:eastAsia="仿宋_GB2312"/>
          <w:sz w:val="24"/>
        </w:rPr>
      </w:pPr>
      <w:r>
        <w:rPr>
          <w:rFonts w:ascii="Arial Narrow" w:hAnsi="Arial Narrow" w:eastAsia="仿宋_GB2312"/>
          <w:sz w:val="24"/>
        </w:rPr>
        <w:t>B、出售商品、提供劳务情况表</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0"/>
        <w:gridCol w:w="952"/>
        <w:gridCol w:w="1414"/>
        <w:gridCol w:w="1239"/>
        <w:gridCol w:w="1239"/>
        <w:gridCol w:w="1239"/>
        <w:gridCol w:w="1239"/>
      </w:tblGrid>
      <w:tr w14:paraId="0D0DDB9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dxa"/>
            <w:vMerge w:val="restart"/>
            <w:tcBorders>
              <w:top w:val="single" w:color="auto" w:sz="8" w:space="0"/>
              <w:bottom w:val="nil"/>
            </w:tcBorders>
            <w:shd w:val="clear" w:color="auto" w:fill="auto"/>
            <w:vAlign w:val="center"/>
          </w:tcPr>
          <w:p w14:paraId="0D6F5EA9">
            <w:pPr>
              <w:adjustRightInd w:val="0"/>
              <w:snapToGrid w:val="0"/>
              <w:rPr>
                <w:rFonts w:ascii="Arial Narrow" w:hAnsi="Arial Narrow" w:eastAsia="仿宋_GB2312"/>
                <w:b/>
                <w:szCs w:val="21"/>
              </w:rPr>
            </w:pPr>
            <w:r>
              <w:rPr>
                <w:rFonts w:ascii="Arial Narrow" w:hAnsi="Arial Narrow" w:eastAsia="仿宋_GB2312"/>
                <w:b/>
                <w:szCs w:val="21"/>
              </w:rPr>
              <w:t>关联方</w:t>
            </w:r>
          </w:p>
        </w:tc>
        <w:tc>
          <w:tcPr>
            <w:tcW w:w="952" w:type="dxa"/>
            <w:vMerge w:val="restart"/>
            <w:tcBorders>
              <w:top w:val="single" w:color="auto" w:sz="8" w:space="0"/>
              <w:bottom w:val="nil"/>
            </w:tcBorders>
            <w:shd w:val="clear" w:color="auto" w:fill="auto"/>
            <w:vAlign w:val="center"/>
          </w:tcPr>
          <w:p w14:paraId="048F418E">
            <w:pPr>
              <w:adjustRightInd w:val="0"/>
              <w:snapToGrid w:val="0"/>
              <w:rPr>
                <w:rFonts w:ascii="Arial Narrow" w:hAnsi="Arial Narrow" w:eastAsia="仿宋_GB2312"/>
                <w:b/>
                <w:szCs w:val="21"/>
              </w:rPr>
            </w:pPr>
            <w:r>
              <w:rPr>
                <w:rFonts w:ascii="Arial Narrow" w:hAnsi="Arial Narrow" w:eastAsia="仿宋_GB2312"/>
                <w:b/>
                <w:szCs w:val="21"/>
              </w:rPr>
              <w:t>关联交易内容</w:t>
            </w:r>
          </w:p>
        </w:tc>
        <w:tc>
          <w:tcPr>
            <w:tcW w:w="1414" w:type="dxa"/>
            <w:vMerge w:val="restart"/>
            <w:tcBorders>
              <w:top w:val="single" w:color="auto" w:sz="8" w:space="0"/>
              <w:bottom w:val="nil"/>
            </w:tcBorders>
            <w:shd w:val="clear" w:color="auto" w:fill="auto"/>
            <w:vAlign w:val="center"/>
          </w:tcPr>
          <w:p w14:paraId="06D294FE">
            <w:pPr>
              <w:adjustRightInd w:val="0"/>
              <w:snapToGrid w:val="0"/>
              <w:rPr>
                <w:rFonts w:ascii="Arial Narrow" w:hAnsi="Arial Narrow" w:eastAsia="仿宋_GB2312"/>
                <w:b/>
                <w:szCs w:val="21"/>
              </w:rPr>
            </w:pPr>
            <w:r>
              <w:rPr>
                <w:rFonts w:ascii="Arial Narrow" w:hAnsi="Arial Narrow" w:eastAsia="仿宋_GB2312"/>
                <w:b/>
                <w:szCs w:val="21"/>
              </w:rPr>
              <w:t>关联交易定价方式及决策程序</w:t>
            </w:r>
          </w:p>
        </w:tc>
        <w:tc>
          <w:tcPr>
            <w:tcW w:w="2478" w:type="dxa"/>
            <w:gridSpan w:val="2"/>
            <w:tcBorders>
              <w:top w:val="single" w:color="auto" w:sz="8" w:space="0"/>
              <w:bottom w:val="nil"/>
            </w:tcBorders>
            <w:shd w:val="clear" w:color="auto" w:fill="auto"/>
            <w:vAlign w:val="center"/>
          </w:tcPr>
          <w:p w14:paraId="57AA94C9">
            <w:pPr>
              <w:adjustRightInd w:val="0"/>
              <w:snapToGrid w:val="0"/>
              <w:jc w:val="center"/>
              <w:rPr>
                <w:rFonts w:ascii="Arial Narrow" w:hAnsi="Arial Narrow" w:eastAsia="仿宋_GB2312"/>
                <w:b/>
                <w:szCs w:val="21"/>
              </w:rPr>
            </w:pPr>
            <w:r>
              <w:rPr>
                <w:rFonts w:ascii="Arial Narrow" w:hAnsi="Arial Narrow" w:eastAsia="仿宋_GB2312" w:cs="Arial"/>
                <w:b/>
                <w:szCs w:val="21"/>
              </w:rPr>
              <w:t>本期发生额</w:t>
            </w:r>
          </w:p>
        </w:tc>
        <w:tc>
          <w:tcPr>
            <w:tcW w:w="2478" w:type="dxa"/>
            <w:gridSpan w:val="2"/>
            <w:tcBorders>
              <w:top w:val="single" w:color="auto" w:sz="8" w:space="0"/>
              <w:bottom w:val="nil"/>
            </w:tcBorders>
            <w:shd w:val="clear" w:color="auto" w:fill="auto"/>
            <w:vAlign w:val="center"/>
          </w:tcPr>
          <w:p w14:paraId="461ACBEB">
            <w:pPr>
              <w:adjustRightInd w:val="0"/>
              <w:snapToGrid w:val="0"/>
              <w:jc w:val="center"/>
              <w:rPr>
                <w:rFonts w:ascii="Arial Narrow" w:hAnsi="Arial Narrow" w:eastAsia="仿宋_GB2312" w:cs="Arial"/>
                <w:b/>
                <w:szCs w:val="21"/>
              </w:rPr>
            </w:pPr>
            <w:r>
              <w:rPr>
                <w:rFonts w:ascii="Arial Narrow" w:hAnsi="Arial Narrow" w:eastAsia="仿宋_GB2312" w:cs="Arial"/>
                <w:b/>
                <w:szCs w:val="21"/>
              </w:rPr>
              <w:t>上期发生额</w:t>
            </w:r>
          </w:p>
        </w:tc>
      </w:tr>
      <w:tr w14:paraId="001499D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750" w:type="dxa"/>
            <w:vMerge w:val="continue"/>
            <w:tcBorders>
              <w:top w:val="nil"/>
              <w:bottom w:val="single" w:color="auto" w:sz="4" w:space="0"/>
            </w:tcBorders>
            <w:shd w:val="clear" w:color="auto" w:fill="auto"/>
            <w:vAlign w:val="center"/>
          </w:tcPr>
          <w:p w14:paraId="67AE65A1">
            <w:pPr>
              <w:adjustRightInd w:val="0"/>
              <w:snapToGrid w:val="0"/>
              <w:rPr>
                <w:rFonts w:ascii="Arial Narrow" w:hAnsi="Arial Narrow" w:eastAsia="仿宋_GB2312"/>
                <w:b/>
                <w:szCs w:val="21"/>
              </w:rPr>
            </w:pPr>
          </w:p>
        </w:tc>
        <w:tc>
          <w:tcPr>
            <w:tcW w:w="952" w:type="dxa"/>
            <w:vMerge w:val="continue"/>
            <w:tcBorders>
              <w:top w:val="nil"/>
              <w:bottom w:val="single" w:color="auto" w:sz="4" w:space="0"/>
            </w:tcBorders>
            <w:shd w:val="clear" w:color="auto" w:fill="auto"/>
            <w:vAlign w:val="center"/>
          </w:tcPr>
          <w:p w14:paraId="287DC4A8">
            <w:pPr>
              <w:adjustRightInd w:val="0"/>
              <w:snapToGrid w:val="0"/>
              <w:rPr>
                <w:rFonts w:ascii="Arial Narrow" w:hAnsi="Arial Narrow" w:eastAsia="仿宋_GB2312"/>
                <w:b/>
                <w:szCs w:val="21"/>
              </w:rPr>
            </w:pPr>
          </w:p>
        </w:tc>
        <w:tc>
          <w:tcPr>
            <w:tcW w:w="1414" w:type="dxa"/>
            <w:vMerge w:val="continue"/>
            <w:tcBorders>
              <w:top w:val="nil"/>
              <w:bottom w:val="single" w:color="auto" w:sz="4" w:space="0"/>
            </w:tcBorders>
            <w:shd w:val="clear" w:color="auto" w:fill="auto"/>
            <w:vAlign w:val="center"/>
          </w:tcPr>
          <w:p w14:paraId="7BEE1B79">
            <w:pPr>
              <w:adjustRightInd w:val="0"/>
              <w:snapToGrid w:val="0"/>
              <w:rPr>
                <w:rFonts w:ascii="Arial Narrow" w:hAnsi="Arial Narrow" w:eastAsia="仿宋_GB2312"/>
                <w:b/>
                <w:szCs w:val="21"/>
              </w:rPr>
            </w:pPr>
          </w:p>
        </w:tc>
        <w:tc>
          <w:tcPr>
            <w:tcW w:w="1239" w:type="dxa"/>
            <w:tcBorders>
              <w:top w:val="nil"/>
              <w:bottom w:val="single" w:color="auto" w:sz="4" w:space="0"/>
            </w:tcBorders>
            <w:shd w:val="clear" w:color="auto" w:fill="auto"/>
            <w:vAlign w:val="center"/>
          </w:tcPr>
          <w:p w14:paraId="78A0E4DE">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4F7918DA">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73BB34F0">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c>
          <w:tcPr>
            <w:tcW w:w="1239" w:type="dxa"/>
            <w:tcBorders>
              <w:top w:val="nil"/>
              <w:bottom w:val="single" w:color="auto" w:sz="4" w:space="0"/>
            </w:tcBorders>
            <w:shd w:val="clear" w:color="auto" w:fill="auto"/>
            <w:vAlign w:val="center"/>
          </w:tcPr>
          <w:p w14:paraId="6FEAE1E8">
            <w:pPr>
              <w:adjustRightInd w:val="0"/>
              <w:snapToGrid w:val="0"/>
              <w:jc w:val="right"/>
              <w:rPr>
                <w:rFonts w:ascii="Arial Narrow" w:hAnsi="Arial Narrow" w:eastAsia="仿宋_GB2312"/>
                <w:b/>
                <w:szCs w:val="21"/>
              </w:rPr>
            </w:pPr>
            <w:r>
              <w:rPr>
                <w:rFonts w:ascii="Arial Narrow" w:hAnsi="Arial Narrow" w:eastAsia="仿宋_GB2312"/>
                <w:b/>
                <w:szCs w:val="21"/>
              </w:rPr>
              <w:t>金额</w:t>
            </w:r>
          </w:p>
          <w:p w14:paraId="20E971E7">
            <w:pPr>
              <w:adjustRightInd w:val="0"/>
              <w:snapToGrid w:val="0"/>
              <w:jc w:val="right"/>
              <w:rPr>
                <w:rFonts w:ascii="Arial Narrow" w:hAnsi="Arial Narrow" w:eastAsia="仿宋_GB2312"/>
                <w:b/>
                <w:szCs w:val="21"/>
              </w:rPr>
            </w:pPr>
            <w:r>
              <w:rPr>
                <w:rFonts w:ascii="Arial Narrow" w:hAnsi="Arial Narrow" w:eastAsia="仿宋_GB2312"/>
                <w:b/>
                <w:szCs w:val="21"/>
              </w:rPr>
              <w:t>（万元）</w:t>
            </w:r>
          </w:p>
        </w:tc>
        <w:tc>
          <w:tcPr>
            <w:tcW w:w="1239" w:type="dxa"/>
            <w:tcBorders>
              <w:top w:val="nil"/>
              <w:bottom w:val="single" w:color="auto" w:sz="4" w:space="0"/>
            </w:tcBorders>
            <w:shd w:val="clear" w:color="auto" w:fill="auto"/>
            <w:vAlign w:val="center"/>
          </w:tcPr>
          <w:p w14:paraId="36C35EB2">
            <w:pPr>
              <w:adjustRightInd w:val="0"/>
              <w:snapToGrid w:val="0"/>
              <w:jc w:val="right"/>
              <w:rPr>
                <w:rFonts w:ascii="Arial Narrow" w:hAnsi="Arial Narrow" w:eastAsia="仿宋_GB2312"/>
                <w:b/>
                <w:szCs w:val="21"/>
              </w:rPr>
            </w:pPr>
            <w:r>
              <w:rPr>
                <w:rFonts w:ascii="Arial Narrow" w:hAnsi="Arial Narrow" w:eastAsia="仿宋_GB2312"/>
                <w:b/>
                <w:szCs w:val="21"/>
              </w:rPr>
              <w:t>占同类交易金额的比例％</w:t>
            </w:r>
          </w:p>
        </w:tc>
      </w:tr>
      <w:tr w14:paraId="093A234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tcBorders>
              <w:top w:val="single" w:color="auto" w:sz="4" w:space="0"/>
            </w:tcBorders>
            <w:shd w:val="clear" w:color="auto" w:fill="auto"/>
            <w:vAlign w:val="center"/>
          </w:tcPr>
          <w:p w14:paraId="315EE2BD">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52" w:type="dxa"/>
            <w:tcBorders>
              <w:top w:val="single" w:color="auto" w:sz="4" w:space="0"/>
            </w:tcBorders>
            <w:shd w:val="clear" w:color="auto" w:fill="auto"/>
            <w:vAlign w:val="center"/>
          </w:tcPr>
          <w:p w14:paraId="202D3C63">
            <w:pPr>
              <w:rPr>
                <w:rFonts w:ascii="Arial Narrow" w:hAnsi="Arial Narrow" w:eastAsia="仿宋_GB2312"/>
              </w:rPr>
            </w:pPr>
          </w:p>
        </w:tc>
        <w:tc>
          <w:tcPr>
            <w:tcW w:w="1414" w:type="dxa"/>
            <w:tcBorders>
              <w:top w:val="single" w:color="auto" w:sz="4" w:space="0"/>
            </w:tcBorders>
            <w:shd w:val="clear" w:color="auto" w:fill="auto"/>
            <w:vAlign w:val="center"/>
          </w:tcPr>
          <w:p w14:paraId="02726D46">
            <w:pPr>
              <w:rPr>
                <w:rFonts w:ascii="Arial Narrow" w:hAnsi="Arial Narrow" w:eastAsia="仿宋_GB2312"/>
              </w:rPr>
            </w:pPr>
          </w:p>
        </w:tc>
        <w:tc>
          <w:tcPr>
            <w:tcW w:w="1239" w:type="dxa"/>
            <w:tcBorders>
              <w:top w:val="single" w:color="auto" w:sz="4" w:space="0"/>
            </w:tcBorders>
            <w:shd w:val="clear" w:color="auto" w:fill="auto"/>
            <w:vAlign w:val="center"/>
          </w:tcPr>
          <w:p w14:paraId="7AD6B898">
            <w:pPr>
              <w:jc w:val="right"/>
              <w:rPr>
                <w:rFonts w:ascii="Arial Narrow" w:hAnsi="Arial Narrow" w:eastAsia="仿宋_GB2312"/>
              </w:rPr>
            </w:pPr>
          </w:p>
        </w:tc>
        <w:tc>
          <w:tcPr>
            <w:tcW w:w="1239" w:type="dxa"/>
            <w:tcBorders>
              <w:top w:val="single" w:color="auto" w:sz="4" w:space="0"/>
            </w:tcBorders>
            <w:shd w:val="clear" w:color="auto" w:fill="auto"/>
            <w:vAlign w:val="center"/>
          </w:tcPr>
          <w:p w14:paraId="1A7498D5">
            <w:pPr>
              <w:jc w:val="right"/>
              <w:rPr>
                <w:rFonts w:ascii="Arial Narrow" w:hAnsi="Arial Narrow" w:eastAsia="仿宋_GB2312"/>
              </w:rPr>
            </w:pPr>
          </w:p>
        </w:tc>
        <w:tc>
          <w:tcPr>
            <w:tcW w:w="1239" w:type="dxa"/>
            <w:tcBorders>
              <w:top w:val="single" w:color="auto" w:sz="4" w:space="0"/>
            </w:tcBorders>
            <w:shd w:val="clear" w:color="auto" w:fill="auto"/>
            <w:vAlign w:val="center"/>
          </w:tcPr>
          <w:p w14:paraId="0617E64B">
            <w:pPr>
              <w:jc w:val="right"/>
              <w:rPr>
                <w:rFonts w:ascii="Arial Narrow" w:hAnsi="Arial Narrow" w:eastAsia="仿宋_GB2312"/>
              </w:rPr>
            </w:pPr>
          </w:p>
        </w:tc>
        <w:tc>
          <w:tcPr>
            <w:tcW w:w="1239" w:type="dxa"/>
            <w:tcBorders>
              <w:top w:val="single" w:color="auto" w:sz="4" w:space="0"/>
            </w:tcBorders>
            <w:shd w:val="clear" w:color="auto" w:fill="auto"/>
            <w:vAlign w:val="center"/>
          </w:tcPr>
          <w:p w14:paraId="5DEA8696">
            <w:pPr>
              <w:jc w:val="right"/>
              <w:rPr>
                <w:rFonts w:ascii="Arial Narrow" w:hAnsi="Arial Narrow" w:eastAsia="仿宋_GB2312"/>
              </w:rPr>
            </w:pPr>
          </w:p>
        </w:tc>
      </w:tr>
      <w:tr w14:paraId="27B5EAE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shd w:val="clear" w:color="auto" w:fill="auto"/>
            <w:vAlign w:val="center"/>
          </w:tcPr>
          <w:p w14:paraId="16690FA6">
            <w:pPr>
              <w:adjustRightInd w:val="0"/>
              <w:snapToGrid w:val="0"/>
              <w:rPr>
                <w:rFonts w:ascii="Arial Narrow" w:hAnsi="Arial Narrow" w:eastAsia="仿宋_GB2312"/>
                <w:color w:val="000000"/>
                <w:szCs w:val="21"/>
              </w:rPr>
            </w:pPr>
          </w:p>
        </w:tc>
        <w:tc>
          <w:tcPr>
            <w:tcW w:w="952" w:type="dxa"/>
            <w:shd w:val="clear" w:color="auto" w:fill="auto"/>
            <w:vAlign w:val="center"/>
          </w:tcPr>
          <w:p w14:paraId="578A2281">
            <w:pPr>
              <w:rPr>
                <w:rFonts w:ascii="Arial Narrow" w:hAnsi="Arial Narrow" w:eastAsia="仿宋_GB2312"/>
              </w:rPr>
            </w:pPr>
          </w:p>
        </w:tc>
        <w:tc>
          <w:tcPr>
            <w:tcW w:w="1414" w:type="dxa"/>
            <w:shd w:val="clear" w:color="auto" w:fill="auto"/>
            <w:vAlign w:val="center"/>
          </w:tcPr>
          <w:p w14:paraId="695A887A">
            <w:pPr>
              <w:rPr>
                <w:rFonts w:ascii="Arial Narrow" w:hAnsi="Arial Narrow" w:eastAsia="仿宋_GB2312"/>
              </w:rPr>
            </w:pPr>
          </w:p>
        </w:tc>
        <w:tc>
          <w:tcPr>
            <w:tcW w:w="1239" w:type="dxa"/>
            <w:shd w:val="clear" w:color="auto" w:fill="auto"/>
            <w:vAlign w:val="center"/>
          </w:tcPr>
          <w:p w14:paraId="51329373">
            <w:pPr>
              <w:jc w:val="right"/>
              <w:rPr>
                <w:rFonts w:ascii="Arial Narrow" w:hAnsi="Arial Narrow" w:eastAsia="仿宋_GB2312"/>
              </w:rPr>
            </w:pPr>
          </w:p>
        </w:tc>
        <w:tc>
          <w:tcPr>
            <w:tcW w:w="1239" w:type="dxa"/>
            <w:shd w:val="clear" w:color="auto" w:fill="auto"/>
            <w:vAlign w:val="center"/>
          </w:tcPr>
          <w:p w14:paraId="1C4F8888">
            <w:pPr>
              <w:jc w:val="right"/>
              <w:rPr>
                <w:rFonts w:ascii="Arial Narrow" w:hAnsi="Arial Narrow" w:eastAsia="仿宋_GB2312"/>
              </w:rPr>
            </w:pPr>
          </w:p>
        </w:tc>
        <w:tc>
          <w:tcPr>
            <w:tcW w:w="1239" w:type="dxa"/>
            <w:shd w:val="clear" w:color="auto" w:fill="auto"/>
            <w:vAlign w:val="center"/>
          </w:tcPr>
          <w:p w14:paraId="32359682">
            <w:pPr>
              <w:jc w:val="right"/>
              <w:rPr>
                <w:rFonts w:ascii="Arial Narrow" w:hAnsi="Arial Narrow" w:eastAsia="仿宋_GB2312"/>
              </w:rPr>
            </w:pPr>
          </w:p>
        </w:tc>
        <w:tc>
          <w:tcPr>
            <w:tcW w:w="1239" w:type="dxa"/>
            <w:shd w:val="clear" w:color="auto" w:fill="auto"/>
            <w:vAlign w:val="center"/>
          </w:tcPr>
          <w:p w14:paraId="4CDBCF8B">
            <w:pPr>
              <w:jc w:val="right"/>
              <w:rPr>
                <w:rFonts w:ascii="Arial Narrow" w:hAnsi="Arial Narrow" w:eastAsia="仿宋_GB2312"/>
              </w:rPr>
            </w:pPr>
          </w:p>
        </w:tc>
      </w:tr>
      <w:tr w14:paraId="2973C59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shd w:val="clear" w:color="auto" w:fill="auto"/>
            <w:vAlign w:val="center"/>
          </w:tcPr>
          <w:p w14:paraId="0902615D">
            <w:pPr>
              <w:adjustRightInd w:val="0"/>
              <w:snapToGrid w:val="0"/>
              <w:rPr>
                <w:rFonts w:ascii="Arial Narrow" w:hAnsi="Arial Narrow" w:eastAsia="仿宋_GB2312"/>
                <w:color w:val="000000"/>
                <w:szCs w:val="21"/>
              </w:rPr>
            </w:pPr>
          </w:p>
        </w:tc>
        <w:tc>
          <w:tcPr>
            <w:tcW w:w="952" w:type="dxa"/>
            <w:shd w:val="clear" w:color="auto" w:fill="auto"/>
            <w:vAlign w:val="center"/>
          </w:tcPr>
          <w:p w14:paraId="3B5DE967">
            <w:pPr>
              <w:rPr>
                <w:rFonts w:ascii="Arial Narrow" w:hAnsi="Arial Narrow" w:eastAsia="仿宋_GB2312"/>
              </w:rPr>
            </w:pPr>
          </w:p>
        </w:tc>
        <w:tc>
          <w:tcPr>
            <w:tcW w:w="1414" w:type="dxa"/>
            <w:shd w:val="clear" w:color="auto" w:fill="auto"/>
            <w:vAlign w:val="center"/>
          </w:tcPr>
          <w:p w14:paraId="1CCFEC3D">
            <w:pPr>
              <w:rPr>
                <w:rFonts w:ascii="Arial Narrow" w:hAnsi="Arial Narrow" w:eastAsia="仿宋_GB2312"/>
              </w:rPr>
            </w:pPr>
          </w:p>
        </w:tc>
        <w:tc>
          <w:tcPr>
            <w:tcW w:w="1239" w:type="dxa"/>
            <w:shd w:val="clear" w:color="auto" w:fill="auto"/>
            <w:vAlign w:val="center"/>
          </w:tcPr>
          <w:p w14:paraId="6FA68F23">
            <w:pPr>
              <w:jc w:val="right"/>
              <w:rPr>
                <w:rFonts w:ascii="Arial Narrow" w:hAnsi="Arial Narrow" w:eastAsia="仿宋_GB2312"/>
              </w:rPr>
            </w:pPr>
          </w:p>
        </w:tc>
        <w:tc>
          <w:tcPr>
            <w:tcW w:w="1239" w:type="dxa"/>
            <w:shd w:val="clear" w:color="auto" w:fill="auto"/>
            <w:vAlign w:val="center"/>
          </w:tcPr>
          <w:p w14:paraId="63CE2DA5">
            <w:pPr>
              <w:jc w:val="right"/>
              <w:rPr>
                <w:rFonts w:ascii="Arial Narrow" w:hAnsi="Arial Narrow" w:eastAsia="仿宋_GB2312"/>
              </w:rPr>
            </w:pPr>
          </w:p>
        </w:tc>
        <w:tc>
          <w:tcPr>
            <w:tcW w:w="1239" w:type="dxa"/>
            <w:shd w:val="clear" w:color="auto" w:fill="auto"/>
            <w:vAlign w:val="center"/>
          </w:tcPr>
          <w:p w14:paraId="77B9FD90">
            <w:pPr>
              <w:jc w:val="right"/>
              <w:rPr>
                <w:rFonts w:ascii="Arial Narrow" w:hAnsi="Arial Narrow" w:eastAsia="仿宋_GB2312"/>
              </w:rPr>
            </w:pPr>
          </w:p>
        </w:tc>
        <w:tc>
          <w:tcPr>
            <w:tcW w:w="1239" w:type="dxa"/>
            <w:shd w:val="clear" w:color="auto" w:fill="auto"/>
            <w:vAlign w:val="center"/>
          </w:tcPr>
          <w:p w14:paraId="3541695C">
            <w:pPr>
              <w:jc w:val="right"/>
              <w:rPr>
                <w:rFonts w:ascii="Arial Narrow" w:hAnsi="Arial Narrow" w:eastAsia="仿宋_GB2312"/>
              </w:rPr>
            </w:pPr>
          </w:p>
        </w:tc>
      </w:tr>
      <w:tr w14:paraId="000EEDD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750" w:type="dxa"/>
            <w:shd w:val="clear" w:color="auto" w:fill="auto"/>
            <w:vAlign w:val="center"/>
          </w:tcPr>
          <w:p w14:paraId="596F08AB">
            <w:pPr>
              <w:adjustRightInd w:val="0"/>
              <w:snapToGrid w:val="0"/>
              <w:rPr>
                <w:rFonts w:ascii="Arial Narrow" w:hAnsi="Arial Narrow" w:eastAsia="仿宋_GB2312"/>
                <w:color w:val="000000"/>
                <w:szCs w:val="21"/>
              </w:rPr>
            </w:pPr>
          </w:p>
        </w:tc>
        <w:tc>
          <w:tcPr>
            <w:tcW w:w="952" w:type="dxa"/>
            <w:shd w:val="clear" w:color="auto" w:fill="auto"/>
            <w:vAlign w:val="center"/>
          </w:tcPr>
          <w:p w14:paraId="13AC5C6B">
            <w:pPr>
              <w:rPr>
                <w:rFonts w:ascii="Arial Narrow" w:hAnsi="Arial Narrow" w:eastAsia="仿宋_GB2312"/>
              </w:rPr>
            </w:pPr>
          </w:p>
        </w:tc>
        <w:tc>
          <w:tcPr>
            <w:tcW w:w="1414" w:type="dxa"/>
            <w:shd w:val="clear" w:color="auto" w:fill="auto"/>
            <w:vAlign w:val="center"/>
          </w:tcPr>
          <w:p w14:paraId="5662359C">
            <w:pPr>
              <w:rPr>
                <w:rFonts w:ascii="Arial Narrow" w:hAnsi="Arial Narrow" w:eastAsia="仿宋_GB2312"/>
              </w:rPr>
            </w:pPr>
          </w:p>
        </w:tc>
        <w:tc>
          <w:tcPr>
            <w:tcW w:w="1239" w:type="dxa"/>
            <w:shd w:val="clear" w:color="auto" w:fill="auto"/>
            <w:vAlign w:val="center"/>
          </w:tcPr>
          <w:p w14:paraId="10AF791E">
            <w:pPr>
              <w:jc w:val="right"/>
              <w:rPr>
                <w:rFonts w:ascii="Arial Narrow" w:hAnsi="Arial Narrow" w:eastAsia="仿宋_GB2312"/>
              </w:rPr>
            </w:pPr>
          </w:p>
        </w:tc>
        <w:tc>
          <w:tcPr>
            <w:tcW w:w="1239" w:type="dxa"/>
            <w:shd w:val="clear" w:color="auto" w:fill="auto"/>
            <w:vAlign w:val="center"/>
          </w:tcPr>
          <w:p w14:paraId="36C62667">
            <w:pPr>
              <w:jc w:val="right"/>
              <w:rPr>
                <w:rFonts w:ascii="Arial Narrow" w:hAnsi="Arial Narrow" w:eastAsia="仿宋_GB2312"/>
              </w:rPr>
            </w:pPr>
          </w:p>
        </w:tc>
        <w:tc>
          <w:tcPr>
            <w:tcW w:w="1239" w:type="dxa"/>
            <w:shd w:val="clear" w:color="auto" w:fill="auto"/>
            <w:vAlign w:val="center"/>
          </w:tcPr>
          <w:p w14:paraId="6ABC013A">
            <w:pPr>
              <w:jc w:val="right"/>
              <w:rPr>
                <w:rFonts w:ascii="Arial Narrow" w:hAnsi="Arial Narrow" w:eastAsia="仿宋_GB2312"/>
              </w:rPr>
            </w:pPr>
          </w:p>
        </w:tc>
        <w:tc>
          <w:tcPr>
            <w:tcW w:w="1239" w:type="dxa"/>
            <w:shd w:val="clear" w:color="auto" w:fill="auto"/>
            <w:vAlign w:val="center"/>
          </w:tcPr>
          <w:p w14:paraId="4987F6AC">
            <w:pPr>
              <w:jc w:val="right"/>
              <w:rPr>
                <w:rFonts w:ascii="Arial Narrow" w:hAnsi="Arial Narrow" w:eastAsia="仿宋_GB2312"/>
              </w:rPr>
            </w:pPr>
          </w:p>
        </w:tc>
      </w:tr>
    </w:tbl>
    <w:p w14:paraId="57C72446">
      <w:pPr>
        <w:pStyle w:val="5"/>
        <w:rPr>
          <w:szCs w:val="21"/>
        </w:rPr>
      </w:pPr>
      <w:r>
        <w:t>其他关联交易（参考格式同上）</w:t>
      </w:r>
    </w:p>
    <w:p w14:paraId="0DC7831A">
      <w:pPr>
        <w:spacing w:after="216" w:afterLines="90"/>
        <w:rPr>
          <w:rFonts w:ascii="Arial Narrow" w:hAnsi="Arial Narrow" w:eastAsia="仿宋_GB2312"/>
          <w:sz w:val="24"/>
        </w:rPr>
      </w:pPr>
      <w:r>
        <w:rPr>
          <w:rFonts w:ascii="Arial Narrow" w:hAnsi="Arial Narrow" w:eastAsia="仿宋_GB2312"/>
          <w:sz w:val="24"/>
        </w:rPr>
        <w:t>A、购买或销售商品以外的其他资产。</w:t>
      </w:r>
    </w:p>
    <w:p w14:paraId="39FD2C40">
      <w:pPr>
        <w:spacing w:after="216" w:afterLines="90"/>
        <w:rPr>
          <w:rFonts w:ascii="Arial Narrow" w:hAnsi="Arial Narrow" w:eastAsia="仿宋_GB2312"/>
          <w:sz w:val="24"/>
        </w:rPr>
      </w:pPr>
      <w:r>
        <w:rPr>
          <w:rFonts w:ascii="Arial Narrow" w:hAnsi="Arial Narrow" w:eastAsia="仿宋_GB2312"/>
          <w:sz w:val="24"/>
        </w:rPr>
        <w:t>B、提供或接受劳务。</w:t>
      </w:r>
    </w:p>
    <w:p w14:paraId="409768BE">
      <w:pPr>
        <w:spacing w:after="216" w:afterLines="90"/>
        <w:rPr>
          <w:rFonts w:ascii="Arial Narrow" w:hAnsi="Arial Narrow" w:eastAsia="仿宋_GB2312"/>
          <w:sz w:val="24"/>
        </w:rPr>
      </w:pPr>
      <w:r>
        <w:rPr>
          <w:rFonts w:ascii="Arial Narrow" w:hAnsi="Arial Narrow" w:eastAsia="仿宋_GB2312"/>
          <w:sz w:val="24"/>
        </w:rPr>
        <w:t>C、担保。</w:t>
      </w:r>
    </w:p>
    <w:p w14:paraId="0B9A2488">
      <w:pPr>
        <w:spacing w:after="216" w:afterLines="90"/>
        <w:rPr>
          <w:rFonts w:ascii="Arial Narrow" w:hAnsi="Arial Narrow" w:eastAsia="仿宋_GB2312"/>
          <w:sz w:val="24"/>
        </w:rPr>
      </w:pPr>
      <w:r>
        <w:rPr>
          <w:rFonts w:ascii="Arial Narrow" w:hAnsi="Arial Narrow" w:eastAsia="仿宋_GB2312"/>
          <w:sz w:val="24"/>
        </w:rPr>
        <w:t>D、提供资金（贷款或股权投资）。</w:t>
      </w:r>
    </w:p>
    <w:p w14:paraId="33783146">
      <w:pPr>
        <w:spacing w:after="216" w:afterLines="90"/>
        <w:rPr>
          <w:rFonts w:ascii="Arial Narrow" w:hAnsi="Arial Narrow" w:eastAsia="仿宋_GB2312"/>
          <w:sz w:val="24"/>
        </w:rPr>
      </w:pPr>
      <w:r>
        <w:rPr>
          <w:rFonts w:ascii="Arial Narrow" w:hAnsi="Arial Narrow" w:eastAsia="仿宋_GB2312"/>
          <w:sz w:val="24"/>
        </w:rPr>
        <w:t>E、租赁。</w:t>
      </w:r>
    </w:p>
    <w:p w14:paraId="01863E6D">
      <w:pPr>
        <w:spacing w:after="216" w:afterLines="90"/>
        <w:rPr>
          <w:rFonts w:ascii="Arial Narrow" w:hAnsi="Arial Narrow" w:eastAsia="仿宋_GB2312"/>
          <w:sz w:val="24"/>
        </w:rPr>
      </w:pPr>
      <w:r>
        <w:rPr>
          <w:rFonts w:ascii="Arial Narrow" w:hAnsi="Arial Narrow" w:eastAsia="仿宋_GB2312"/>
          <w:color w:val="0000FF"/>
          <w:sz w:val="24"/>
        </w:rPr>
        <w:t>【参考披露格式如下】</w:t>
      </w:r>
    </w:p>
    <w:p w14:paraId="44E82539">
      <w:pPr>
        <w:spacing w:after="216" w:afterLines="90"/>
        <w:rPr>
          <w:rFonts w:ascii="Arial Narrow" w:hAnsi="Arial Narrow" w:eastAsia="仿宋_GB2312"/>
          <w:sz w:val="24"/>
        </w:rPr>
      </w:pPr>
      <w:r>
        <w:rPr>
          <w:rFonts w:hint="eastAsia" w:ascii="Arial Narrow" w:hAnsi="Arial Narrow" w:eastAsia="仿宋_GB2312"/>
          <w:sz w:val="24"/>
        </w:rPr>
        <w:t>本公司作为出租方当年确认的租赁收入</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8"/>
        <w:gridCol w:w="848"/>
        <w:gridCol w:w="1035"/>
        <w:gridCol w:w="748"/>
        <w:gridCol w:w="1405"/>
        <w:gridCol w:w="376"/>
        <w:gridCol w:w="1781"/>
      </w:tblGrid>
      <w:tr w14:paraId="1EA5111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B112E0A">
            <w:pPr>
              <w:adjustRightInd w:val="0"/>
              <w:snapToGrid w:val="0"/>
              <w:rPr>
                <w:rFonts w:ascii="Arial Narrow" w:hAnsi="Arial Narrow" w:eastAsia="仿宋_GB2312"/>
                <w:b/>
                <w:szCs w:val="21"/>
              </w:rPr>
            </w:pPr>
            <w:r>
              <w:rPr>
                <w:rFonts w:hint="eastAsia" w:ascii="Arial Narrow" w:hAnsi="Arial Narrow" w:eastAsia="仿宋_GB2312"/>
                <w:b/>
                <w:szCs w:val="21"/>
              </w:rPr>
              <w:t>承租方名称</w:t>
            </w:r>
          </w:p>
        </w:tc>
        <w:tc>
          <w:tcPr>
            <w:tcW w:w="1092" w:type="pct"/>
            <w:gridSpan w:val="2"/>
            <w:tcBorders>
              <w:top w:val="single" w:color="auto" w:sz="8" w:space="0"/>
              <w:bottom w:val="nil"/>
            </w:tcBorders>
            <w:shd w:val="clear" w:color="auto" w:fill="auto"/>
            <w:vAlign w:val="center"/>
          </w:tcPr>
          <w:p w14:paraId="0D202069">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249" w:type="pct"/>
            <w:gridSpan w:val="2"/>
            <w:tcBorders>
              <w:top w:val="single" w:color="auto" w:sz="8" w:space="0"/>
            </w:tcBorders>
            <w:vAlign w:val="center"/>
          </w:tcPr>
          <w:p w14:paraId="1D4CDA89">
            <w:pPr>
              <w:adjustRightInd w:val="0"/>
              <w:snapToGrid w:val="0"/>
              <w:rPr>
                <w:rFonts w:ascii="Arial Narrow" w:hAnsi="Arial Narrow" w:eastAsia="仿宋_GB2312"/>
                <w:b/>
                <w:szCs w:val="21"/>
              </w:rPr>
            </w:pPr>
            <w:r>
              <w:rPr>
                <w:rFonts w:hint="eastAsia" w:ascii="Arial Narrow" w:hAnsi="Arial Narrow" w:eastAsia="仿宋_GB2312"/>
                <w:b/>
                <w:szCs w:val="21"/>
              </w:rPr>
              <w:t>本期确认的租赁收入</w:t>
            </w:r>
          </w:p>
          <w:p w14:paraId="04008FEE">
            <w:pPr>
              <w:adjustRightInd w:val="0"/>
              <w:snapToGrid w:val="0"/>
              <w:ind w:firstLine="211" w:firstLineChars="100"/>
              <w:rPr>
                <w:rFonts w:ascii="Arial Narrow" w:hAnsi="Arial Narrow" w:eastAsia="仿宋_GB2312"/>
                <w:b/>
                <w:szCs w:val="21"/>
              </w:rPr>
            </w:pPr>
            <w:r>
              <w:rPr>
                <w:rFonts w:ascii="Arial Narrow" w:hAnsi="Arial Narrow" w:eastAsia="仿宋_GB2312"/>
                <w:b/>
                <w:szCs w:val="21"/>
              </w:rPr>
              <w:t>金额（万元）</w:t>
            </w:r>
          </w:p>
        </w:tc>
        <w:tc>
          <w:tcPr>
            <w:tcW w:w="1250" w:type="pct"/>
            <w:gridSpan w:val="2"/>
            <w:tcBorders>
              <w:top w:val="single" w:color="auto" w:sz="8" w:space="0"/>
            </w:tcBorders>
            <w:vAlign w:val="center"/>
          </w:tcPr>
          <w:p w14:paraId="01C170B3">
            <w:pPr>
              <w:adjustRightInd w:val="0"/>
              <w:snapToGrid w:val="0"/>
              <w:rPr>
                <w:rFonts w:ascii="Arial Narrow" w:hAnsi="Arial Narrow" w:eastAsia="仿宋_GB2312"/>
                <w:b/>
                <w:szCs w:val="21"/>
              </w:rPr>
            </w:pPr>
            <w:r>
              <w:rPr>
                <w:rFonts w:hint="eastAsia" w:ascii="Arial Narrow" w:hAnsi="Arial Narrow" w:eastAsia="仿宋_GB2312"/>
                <w:b/>
                <w:szCs w:val="21"/>
              </w:rPr>
              <w:t>上期确认的租赁收入</w:t>
            </w:r>
          </w:p>
          <w:p w14:paraId="04967035">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4A7123C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3C0EF69">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1092" w:type="pct"/>
            <w:gridSpan w:val="2"/>
            <w:tcBorders>
              <w:top w:val="single" w:color="auto" w:sz="4" w:space="0"/>
            </w:tcBorders>
            <w:shd w:val="clear" w:color="auto" w:fill="auto"/>
            <w:vAlign w:val="center"/>
          </w:tcPr>
          <w:p w14:paraId="4BAD9245">
            <w:pPr>
              <w:rPr>
                <w:rFonts w:ascii="Arial Narrow" w:hAnsi="Arial Narrow" w:eastAsia="仿宋_GB2312"/>
              </w:rPr>
            </w:pPr>
          </w:p>
        </w:tc>
        <w:tc>
          <w:tcPr>
            <w:tcW w:w="1249" w:type="pct"/>
            <w:gridSpan w:val="2"/>
            <w:tcBorders>
              <w:top w:val="single" w:color="auto" w:sz="4" w:space="0"/>
            </w:tcBorders>
            <w:vAlign w:val="center"/>
          </w:tcPr>
          <w:p w14:paraId="516ACA97">
            <w:pPr>
              <w:rPr>
                <w:rFonts w:ascii="Arial Narrow" w:hAnsi="Arial Narrow" w:eastAsia="仿宋_GB2312"/>
              </w:rPr>
            </w:pPr>
          </w:p>
        </w:tc>
        <w:tc>
          <w:tcPr>
            <w:tcW w:w="1250" w:type="pct"/>
            <w:gridSpan w:val="2"/>
            <w:tcBorders>
              <w:top w:val="single" w:color="auto" w:sz="4" w:space="0"/>
            </w:tcBorders>
            <w:vAlign w:val="center"/>
          </w:tcPr>
          <w:p w14:paraId="2DEE1122">
            <w:pPr>
              <w:rPr>
                <w:rFonts w:ascii="Arial Narrow" w:hAnsi="Arial Narrow" w:eastAsia="仿宋_GB2312"/>
              </w:rPr>
            </w:pPr>
          </w:p>
        </w:tc>
      </w:tr>
      <w:tr w14:paraId="07A617E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1763F2A">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0621F19">
            <w:pPr>
              <w:rPr>
                <w:rFonts w:ascii="Arial Narrow" w:hAnsi="Arial Narrow" w:eastAsia="仿宋_GB2312"/>
              </w:rPr>
            </w:pPr>
          </w:p>
        </w:tc>
        <w:tc>
          <w:tcPr>
            <w:tcW w:w="1249" w:type="pct"/>
            <w:gridSpan w:val="2"/>
            <w:vAlign w:val="center"/>
          </w:tcPr>
          <w:p w14:paraId="37C20C13">
            <w:pPr>
              <w:rPr>
                <w:rFonts w:ascii="Arial Narrow" w:hAnsi="Arial Narrow" w:eastAsia="仿宋_GB2312"/>
              </w:rPr>
            </w:pPr>
          </w:p>
        </w:tc>
        <w:tc>
          <w:tcPr>
            <w:tcW w:w="1250" w:type="pct"/>
            <w:gridSpan w:val="2"/>
            <w:vAlign w:val="center"/>
          </w:tcPr>
          <w:p w14:paraId="1BD24E6A">
            <w:pPr>
              <w:rPr>
                <w:rFonts w:ascii="Arial Narrow" w:hAnsi="Arial Narrow" w:eastAsia="仿宋_GB2312"/>
              </w:rPr>
            </w:pPr>
          </w:p>
        </w:tc>
      </w:tr>
      <w:tr w14:paraId="3CA547D6">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9F06E29">
            <w:pPr>
              <w:adjustRightInd w:val="0"/>
              <w:snapToGrid w:val="0"/>
              <w:rPr>
                <w:rFonts w:ascii="Arial Narrow" w:hAnsi="Arial Narrow" w:eastAsia="仿宋_GB2312"/>
                <w:color w:val="000000"/>
                <w:szCs w:val="21"/>
              </w:rPr>
            </w:pPr>
          </w:p>
        </w:tc>
        <w:tc>
          <w:tcPr>
            <w:tcW w:w="1092" w:type="pct"/>
            <w:gridSpan w:val="2"/>
            <w:shd w:val="clear" w:color="auto" w:fill="auto"/>
            <w:vAlign w:val="center"/>
          </w:tcPr>
          <w:p w14:paraId="67BEE1ED">
            <w:pPr>
              <w:rPr>
                <w:rFonts w:ascii="Arial Narrow" w:hAnsi="Arial Narrow" w:eastAsia="仿宋_GB2312"/>
              </w:rPr>
            </w:pPr>
          </w:p>
        </w:tc>
        <w:tc>
          <w:tcPr>
            <w:tcW w:w="1249" w:type="pct"/>
            <w:gridSpan w:val="2"/>
            <w:vAlign w:val="center"/>
          </w:tcPr>
          <w:p w14:paraId="41A5EA86">
            <w:pPr>
              <w:rPr>
                <w:rFonts w:ascii="Arial Narrow" w:hAnsi="Arial Narrow" w:eastAsia="仿宋_GB2312"/>
              </w:rPr>
            </w:pPr>
          </w:p>
        </w:tc>
        <w:tc>
          <w:tcPr>
            <w:tcW w:w="1250" w:type="pct"/>
            <w:gridSpan w:val="2"/>
            <w:vAlign w:val="center"/>
          </w:tcPr>
          <w:p w14:paraId="03DA6C85">
            <w:pPr>
              <w:rPr>
                <w:rFonts w:ascii="Arial Narrow" w:hAnsi="Arial Narrow" w:eastAsia="仿宋_GB2312"/>
              </w:rPr>
            </w:pPr>
          </w:p>
        </w:tc>
      </w:tr>
      <w:tr w14:paraId="4CA0244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900" w:type="pct"/>
            <w:gridSpan w:val="2"/>
            <w:shd w:val="clear" w:color="auto" w:fill="auto"/>
            <w:vAlign w:val="center"/>
          </w:tcPr>
          <w:p w14:paraId="2BC1B921">
            <w:pPr>
              <w:adjustRightInd w:val="0"/>
              <w:snapToGrid w:val="0"/>
              <w:rPr>
                <w:rFonts w:ascii="Arial Narrow" w:hAnsi="Arial Narrow" w:eastAsia="仿宋_GB2312"/>
                <w:color w:val="000000"/>
                <w:szCs w:val="21"/>
              </w:rPr>
            </w:pPr>
          </w:p>
        </w:tc>
        <w:tc>
          <w:tcPr>
            <w:tcW w:w="1034" w:type="pct"/>
            <w:gridSpan w:val="2"/>
            <w:shd w:val="clear" w:color="auto" w:fill="auto"/>
            <w:vAlign w:val="center"/>
          </w:tcPr>
          <w:p w14:paraId="41E7FF67">
            <w:pPr>
              <w:rPr>
                <w:rFonts w:ascii="Arial Narrow" w:hAnsi="Arial Narrow" w:eastAsia="仿宋_GB2312"/>
              </w:rPr>
            </w:pPr>
          </w:p>
        </w:tc>
        <w:tc>
          <w:tcPr>
            <w:tcW w:w="1033" w:type="pct"/>
            <w:gridSpan w:val="2"/>
            <w:vAlign w:val="center"/>
          </w:tcPr>
          <w:p w14:paraId="795225E6">
            <w:pPr>
              <w:rPr>
                <w:rFonts w:ascii="Arial Narrow" w:hAnsi="Arial Narrow" w:eastAsia="仿宋_GB2312"/>
              </w:rPr>
            </w:pPr>
          </w:p>
        </w:tc>
        <w:tc>
          <w:tcPr>
            <w:tcW w:w="1033" w:type="pct"/>
            <w:vAlign w:val="center"/>
          </w:tcPr>
          <w:p w14:paraId="2A37C5A5">
            <w:pPr>
              <w:rPr>
                <w:rFonts w:ascii="Arial Narrow" w:hAnsi="Arial Narrow" w:eastAsia="仿宋_GB2312"/>
              </w:rPr>
            </w:pPr>
          </w:p>
        </w:tc>
      </w:tr>
    </w:tbl>
    <w:p w14:paraId="31786A47">
      <w:pPr>
        <w:spacing w:after="216" w:afterLines="90"/>
        <w:rPr>
          <w:rFonts w:ascii="Arial Narrow" w:hAnsi="Arial Narrow" w:eastAsia="仿宋_GB2312"/>
          <w:sz w:val="24"/>
        </w:rPr>
      </w:pPr>
      <w:r>
        <w:rPr>
          <w:rFonts w:hint="eastAsia" w:ascii="Arial Narrow" w:hAnsi="Arial Narrow" w:eastAsia="仿宋_GB2312"/>
          <w:sz w:val="24"/>
        </w:rPr>
        <w:t>本公司作为承租方</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4"/>
        <w:gridCol w:w="2290"/>
        <w:gridCol w:w="2290"/>
      </w:tblGrid>
      <w:tr w14:paraId="7855E5D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CCF94B6">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288F3C3">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02E5204F">
            <w:pPr>
              <w:adjustRightInd w:val="0"/>
              <w:snapToGrid w:val="0"/>
              <w:rPr>
                <w:rFonts w:ascii="Arial Narrow" w:hAnsi="Arial Narrow" w:eastAsia="仿宋_GB2312"/>
                <w:b/>
                <w:szCs w:val="21"/>
              </w:rPr>
            </w:pPr>
            <w:r>
              <w:rPr>
                <w:rFonts w:hint="eastAsia" w:ascii="Arial Narrow" w:hAnsi="Arial Narrow" w:eastAsia="仿宋_GB2312"/>
                <w:b/>
                <w:szCs w:val="21"/>
              </w:rPr>
              <w:t>本期应支付的租赁款项</w:t>
            </w:r>
          </w:p>
          <w:p w14:paraId="0AFC848B">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c>
          <w:tcPr>
            <w:tcW w:w="1328" w:type="pct"/>
            <w:tcBorders>
              <w:top w:val="single" w:color="auto" w:sz="8" w:space="0"/>
            </w:tcBorders>
            <w:vAlign w:val="center"/>
          </w:tcPr>
          <w:p w14:paraId="421BED72">
            <w:pPr>
              <w:adjustRightInd w:val="0"/>
              <w:snapToGrid w:val="0"/>
              <w:rPr>
                <w:rFonts w:ascii="Arial Narrow" w:hAnsi="Arial Narrow" w:eastAsia="仿宋_GB2312"/>
                <w:b/>
                <w:szCs w:val="21"/>
              </w:rPr>
            </w:pPr>
            <w:r>
              <w:rPr>
                <w:rFonts w:hint="eastAsia" w:ascii="Arial Narrow" w:hAnsi="Arial Narrow" w:eastAsia="仿宋_GB2312"/>
                <w:b/>
                <w:szCs w:val="21"/>
              </w:rPr>
              <w:t>上期应支付的租赁款项</w:t>
            </w:r>
          </w:p>
          <w:p w14:paraId="14756FFC">
            <w:pPr>
              <w:adjustRightInd w:val="0"/>
              <w:snapToGrid w:val="0"/>
              <w:jc w:val="center"/>
              <w:rPr>
                <w:rFonts w:ascii="Arial Narrow" w:hAnsi="Arial Narrow" w:eastAsia="仿宋_GB2312"/>
                <w:b/>
                <w:szCs w:val="21"/>
              </w:rPr>
            </w:pPr>
            <w:r>
              <w:rPr>
                <w:rFonts w:ascii="Arial Narrow" w:hAnsi="Arial Narrow" w:eastAsia="仿宋_GB2312"/>
                <w:b/>
                <w:szCs w:val="21"/>
              </w:rPr>
              <w:t>金额（万元）</w:t>
            </w:r>
          </w:p>
        </w:tc>
      </w:tr>
      <w:tr w14:paraId="0AB7AB0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25E89E0">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4FDC0F18">
            <w:pPr>
              <w:rPr>
                <w:rFonts w:ascii="Arial Narrow" w:hAnsi="Arial Narrow" w:eastAsia="仿宋_GB2312"/>
              </w:rPr>
            </w:pPr>
          </w:p>
        </w:tc>
        <w:tc>
          <w:tcPr>
            <w:tcW w:w="1328" w:type="pct"/>
            <w:tcBorders>
              <w:top w:val="single" w:color="auto" w:sz="4" w:space="0"/>
            </w:tcBorders>
            <w:vAlign w:val="center"/>
          </w:tcPr>
          <w:p w14:paraId="483BF8D0">
            <w:pPr>
              <w:rPr>
                <w:rFonts w:ascii="Arial Narrow" w:hAnsi="Arial Narrow" w:eastAsia="仿宋_GB2312"/>
              </w:rPr>
            </w:pPr>
          </w:p>
        </w:tc>
        <w:tc>
          <w:tcPr>
            <w:tcW w:w="1328" w:type="pct"/>
            <w:tcBorders>
              <w:top w:val="single" w:color="auto" w:sz="4" w:space="0"/>
            </w:tcBorders>
            <w:vAlign w:val="center"/>
          </w:tcPr>
          <w:p w14:paraId="3FC52F62">
            <w:pPr>
              <w:rPr>
                <w:rFonts w:ascii="Arial Narrow" w:hAnsi="Arial Narrow" w:eastAsia="仿宋_GB2312"/>
              </w:rPr>
            </w:pPr>
          </w:p>
        </w:tc>
      </w:tr>
      <w:tr w14:paraId="4BEDBC6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329F381">
            <w:pPr>
              <w:adjustRightInd w:val="0"/>
              <w:snapToGrid w:val="0"/>
              <w:rPr>
                <w:rFonts w:ascii="Arial Narrow" w:hAnsi="Arial Narrow" w:eastAsia="仿宋_GB2312"/>
                <w:color w:val="000000"/>
                <w:szCs w:val="21"/>
              </w:rPr>
            </w:pPr>
          </w:p>
        </w:tc>
        <w:tc>
          <w:tcPr>
            <w:tcW w:w="936" w:type="pct"/>
            <w:shd w:val="clear" w:color="auto" w:fill="auto"/>
            <w:vAlign w:val="center"/>
          </w:tcPr>
          <w:p w14:paraId="3B6F7747">
            <w:pPr>
              <w:rPr>
                <w:rFonts w:ascii="Arial Narrow" w:hAnsi="Arial Narrow" w:eastAsia="仿宋_GB2312"/>
              </w:rPr>
            </w:pPr>
          </w:p>
        </w:tc>
        <w:tc>
          <w:tcPr>
            <w:tcW w:w="1328" w:type="pct"/>
            <w:vAlign w:val="center"/>
          </w:tcPr>
          <w:p w14:paraId="3E3FA959">
            <w:pPr>
              <w:rPr>
                <w:rFonts w:ascii="Arial Narrow" w:hAnsi="Arial Narrow" w:eastAsia="仿宋_GB2312"/>
              </w:rPr>
            </w:pPr>
          </w:p>
        </w:tc>
        <w:tc>
          <w:tcPr>
            <w:tcW w:w="1328" w:type="pct"/>
            <w:vAlign w:val="center"/>
          </w:tcPr>
          <w:p w14:paraId="2B508AE8">
            <w:pPr>
              <w:rPr>
                <w:rFonts w:ascii="Arial Narrow" w:hAnsi="Arial Narrow" w:eastAsia="仿宋_GB2312"/>
              </w:rPr>
            </w:pPr>
          </w:p>
        </w:tc>
      </w:tr>
      <w:tr w14:paraId="74719F4A">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71A34E7">
            <w:pPr>
              <w:adjustRightInd w:val="0"/>
              <w:snapToGrid w:val="0"/>
              <w:rPr>
                <w:rFonts w:ascii="Arial Narrow" w:hAnsi="Arial Narrow" w:eastAsia="仿宋_GB2312"/>
                <w:color w:val="000000"/>
                <w:szCs w:val="21"/>
              </w:rPr>
            </w:pPr>
          </w:p>
        </w:tc>
        <w:tc>
          <w:tcPr>
            <w:tcW w:w="936" w:type="pct"/>
            <w:shd w:val="clear" w:color="auto" w:fill="auto"/>
            <w:vAlign w:val="center"/>
          </w:tcPr>
          <w:p w14:paraId="236C5923">
            <w:pPr>
              <w:rPr>
                <w:rFonts w:ascii="Arial Narrow" w:hAnsi="Arial Narrow" w:eastAsia="仿宋_GB2312"/>
              </w:rPr>
            </w:pPr>
          </w:p>
        </w:tc>
        <w:tc>
          <w:tcPr>
            <w:tcW w:w="1328" w:type="pct"/>
            <w:vAlign w:val="center"/>
          </w:tcPr>
          <w:p w14:paraId="0EA457AE">
            <w:pPr>
              <w:rPr>
                <w:rFonts w:ascii="Arial Narrow" w:hAnsi="Arial Narrow" w:eastAsia="仿宋_GB2312"/>
              </w:rPr>
            </w:pPr>
          </w:p>
        </w:tc>
        <w:tc>
          <w:tcPr>
            <w:tcW w:w="1328" w:type="pct"/>
            <w:vAlign w:val="center"/>
          </w:tcPr>
          <w:p w14:paraId="51C45805">
            <w:pPr>
              <w:rPr>
                <w:rFonts w:ascii="Arial Narrow" w:hAnsi="Arial Narrow" w:eastAsia="仿宋_GB2312"/>
              </w:rPr>
            </w:pPr>
          </w:p>
        </w:tc>
      </w:tr>
      <w:tr w14:paraId="7FECEE45">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A607D66">
            <w:pPr>
              <w:adjustRightInd w:val="0"/>
              <w:snapToGrid w:val="0"/>
              <w:rPr>
                <w:rFonts w:ascii="Arial Narrow" w:hAnsi="Arial Narrow" w:eastAsia="仿宋_GB2312"/>
                <w:color w:val="000000"/>
                <w:szCs w:val="21"/>
              </w:rPr>
            </w:pPr>
          </w:p>
        </w:tc>
        <w:tc>
          <w:tcPr>
            <w:tcW w:w="936" w:type="pct"/>
            <w:shd w:val="clear" w:color="auto" w:fill="auto"/>
            <w:vAlign w:val="center"/>
          </w:tcPr>
          <w:p w14:paraId="62B799AE">
            <w:pPr>
              <w:rPr>
                <w:rFonts w:ascii="Arial Narrow" w:hAnsi="Arial Narrow" w:eastAsia="仿宋_GB2312"/>
              </w:rPr>
            </w:pPr>
          </w:p>
        </w:tc>
        <w:tc>
          <w:tcPr>
            <w:tcW w:w="1328" w:type="pct"/>
            <w:vAlign w:val="center"/>
          </w:tcPr>
          <w:p w14:paraId="388F8A25">
            <w:pPr>
              <w:rPr>
                <w:rFonts w:ascii="Arial Narrow" w:hAnsi="Arial Narrow" w:eastAsia="仿宋_GB2312"/>
              </w:rPr>
            </w:pPr>
          </w:p>
        </w:tc>
        <w:tc>
          <w:tcPr>
            <w:tcW w:w="1328" w:type="pct"/>
            <w:vAlign w:val="center"/>
          </w:tcPr>
          <w:p w14:paraId="75B3706D">
            <w:pPr>
              <w:rPr>
                <w:rFonts w:ascii="Arial Narrow" w:hAnsi="Arial Narrow" w:eastAsia="仿宋_GB2312"/>
              </w:rPr>
            </w:pPr>
          </w:p>
        </w:tc>
      </w:tr>
    </w:tbl>
    <w:p w14:paraId="6941468E">
      <w:pPr>
        <w:spacing w:after="216" w:afterLines="90"/>
        <w:rPr>
          <w:rFonts w:ascii="Arial Narrow" w:hAnsi="Arial Narrow" w:eastAsia="仿宋_GB2312"/>
          <w:sz w:val="24"/>
        </w:rPr>
      </w:pPr>
      <w:r>
        <w:rPr>
          <w:rFonts w:hint="eastAsia" w:ascii="Arial Narrow" w:hAnsi="Arial Narrow" w:eastAsia="仿宋_GB2312"/>
          <w:sz w:val="24"/>
        </w:rPr>
        <w:t>本公司作为承租方当年新增的使用权资产</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4"/>
        <w:gridCol w:w="2290"/>
        <w:gridCol w:w="2290"/>
      </w:tblGrid>
      <w:tr w14:paraId="511E411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054D18D8">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79BECB71">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278F9800">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本期增加（</w:t>
            </w:r>
            <w:r>
              <w:rPr>
                <w:rFonts w:ascii="Arial Narrow" w:hAnsi="Arial Narrow" w:eastAsia="仿宋_GB2312"/>
                <w:b/>
                <w:szCs w:val="21"/>
              </w:rPr>
              <w:t>万元）</w:t>
            </w:r>
          </w:p>
        </w:tc>
        <w:tc>
          <w:tcPr>
            <w:tcW w:w="1328" w:type="pct"/>
            <w:tcBorders>
              <w:top w:val="single" w:color="auto" w:sz="8" w:space="0"/>
            </w:tcBorders>
            <w:vAlign w:val="center"/>
          </w:tcPr>
          <w:p w14:paraId="4AC70BD8">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上期增加</w:t>
            </w:r>
            <w:r>
              <w:rPr>
                <w:rFonts w:ascii="Arial Narrow" w:hAnsi="Arial Narrow" w:eastAsia="仿宋_GB2312"/>
                <w:b/>
                <w:szCs w:val="21"/>
              </w:rPr>
              <w:t>（万元）</w:t>
            </w:r>
          </w:p>
        </w:tc>
      </w:tr>
      <w:tr w14:paraId="59F969E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10B5326F">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125C7C95">
            <w:pPr>
              <w:rPr>
                <w:rFonts w:ascii="Arial Narrow" w:hAnsi="Arial Narrow" w:eastAsia="仿宋_GB2312"/>
              </w:rPr>
            </w:pPr>
          </w:p>
        </w:tc>
        <w:tc>
          <w:tcPr>
            <w:tcW w:w="1328" w:type="pct"/>
            <w:tcBorders>
              <w:top w:val="single" w:color="auto" w:sz="4" w:space="0"/>
            </w:tcBorders>
            <w:vAlign w:val="center"/>
          </w:tcPr>
          <w:p w14:paraId="012412B6">
            <w:pPr>
              <w:rPr>
                <w:rFonts w:ascii="Arial Narrow" w:hAnsi="Arial Narrow" w:eastAsia="仿宋_GB2312"/>
              </w:rPr>
            </w:pPr>
          </w:p>
        </w:tc>
        <w:tc>
          <w:tcPr>
            <w:tcW w:w="1328" w:type="pct"/>
            <w:tcBorders>
              <w:top w:val="single" w:color="auto" w:sz="4" w:space="0"/>
            </w:tcBorders>
            <w:vAlign w:val="center"/>
          </w:tcPr>
          <w:p w14:paraId="5FEE7488">
            <w:pPr>
              <w:rPr>
                <w:rFonts w:ascii="Arial Narrow" w:hAnsi="Arial Narrow" w:eastAsia="仿宋_GB2312"/>
              </w:rPr>
            </w:pPr>
          </w:p>
        </w:tc>
      </w:tr>
      <w:tr w14:paraId="25D73A80">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505FFEA8">
            <w:pPr>
              <w:adjustRightInd w:val="0"/>
              <w:snapToGrid w:val="0"/>
              <w:rPr>
                <w:rFonts w:ascii="Arial Narrow" w:hAnsi="Arial Narrow" w:eastAsia="仿宋_GB2312"/>
                <w:color w:val="000000"/>
                <w:szCs w:val="21"/>
              </w:rPr>
            </w:pPr>
          </w:p>
        </w:tc>
        <w:tc>
          <w:tcPr>
            <w:tcW w:w="936" w:type="pct"/>
            <w:shd w:val="clear" w:color="auto" w:fill="auto"/>
            <w:vAlign w:val="center"/>
          </w:tcPr>
          <w:p w14:paraId="0DB96108">
            <w:pPr>
              <w:rPr>
                <w:rFonts w:ascii="Arial Narrow" w:hAnsi="Arial Narrow" w:eastAsia="仿宋_GB2312"/>
              </w:rPr>
            </w:pPr>
          </w:p>
        </w:tc>
        <w:tc>
          <w:tcPr>
            <w:tcW w:w="1328" w:type="pct"/>
            <w:vAlign w:val="center"/>
          </w:tcPr>
          <w:p w14:paraId="1BCC15E6">
            <w:pPr>
              <w:rPr>
                <w:rFonts w:ascii="Arial Narrow" w:hAnsi="Arial Narrow" w:eastAsia="仿宋_GB2312"/>
              </w:rPr>
            </w:pPr>
          </w:p>
        </w:tc>
        <w:tc>
          <w:tcPr>
            <w:tcW w:w="1328" w:type="pct"/>
            <w:vAlign w:val="center"/>
          </w:tcPr>
          <w:p w14:paraId="7F70CF8C">
            <w:pPr>
              <w:rPr>
                <w:rFonts w:ascii="Arial Narrow" w:hAnsi="Arial Narrow" w:eastAsia="仿宋_GB2312"/>
              </w:rPr>
            </w:pPr>
          </w:p>
        </w:tc>
      </w:tr>
      <w:tr w14:paraId="433593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4CEC1817">
            <w:pPr>
              <w:adjustRightInd w:val="0"/>
              <w:snapToGrid w:val="0"/>
              <w:rPr>
                <w:rFonts w:ascii="Arial Narrow" w:hAnsi="Arial Narrow" w:eastAsia="仿宋_GB2312"/>
                <w:color w:val="000000"/>
                <w:szCs w:val="21"/>
              </w:rPr>
            </w:pPr>
          </w:p>
        </w:tc>
        <w:tc>
          <w:tcPr>
            <w:tcW w:w="936" w:type="pct"/>
            <w:shd w:val="clear" w:color="auto" w:fill="auto"/>
            <w:vAlign w:val="center"/>
          </w:tcPr>
          <w:p w14:paraId="18651129">
            <w:pPr>
              <w:rPr>
                <w:rFonts w:ascii="Arial Narrow" w:hAnsi="Arial Narrow" w:eastAsia="仿宋_GB2312"/>
              </w:rPr>
            </w:pPr>
          </w:p>
        </w:tc>
        <w:tc>
          <w:tcPr>
            <w:tcW w:w="1328" w:type="pct"/>
            <w:vAlign w:val="center"/>
          </w:tcPr>
          <w:p w14:paraId="78500D76">
            <w:pPr>
              <w:rPr>
                <w:rFonts w:ascii="Arial Narrow" w:hAnsi="Arial Narrow" w:eastAsia="仿宋_GB2312"/>
              </w:rPr>
            </w:pPr>
          </w:p>
        </w:tc>
        <w:tc>
          <w:tcPr>
            <w:tcW w:w="1328" w:type="pct"/>
            <w:vAlign w:val="center"/>
          </w:tcPr>
          <w:p w14:paraId="32215138">
            <w:pPr>
              <w:rPr>
                <w:rFonts w:ascii="Arial Narrow" w:hAnsi="Arial Narrow" w:eastAsia="仿宋_GB2312"/>
              </w:rPr>
            </w:pPr>
          </w:p>
        </w:tc>
      </w:tr>
      <w:tr w14:paraId="7A5BB27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9742418">
            <w:pPr>
              <w:adjustRightInd w:val="0"/>
              <w:snapToGrid w:val="0"/>
              <w:rPr>
                <w:rFonts w:ascii="Arial Narrow" w:hAnsi="Arial Narrow" w:eastAsia="仿宋_GB2312"/>
                <w:color w:val="000000"/>
                <w:szCs w:val="21"/>
              </w:rPr>
            </w:pPr>
          </w:p>
        </w:tc>
        <w:tc>
          <w:tcPr>
            <w:tcW w:w="936" w:type="pct"/>
            <w:shd w:val="clear" w:color="auto" w:fill="auto"/>
            <w:vAlign w:val="center"/>
          </w:tcPr>
          <w:p w14:paraId="779999E3">
            <w:pPr>
              <w:rPr>
                <w:rFonts w:ascii="Arial Narrow" w:hAnsi="Arial Narrow" w:eastAsia="仿宋_GB2312"/>
              </w:rPr>
            </w:pPr>
          </w:p>
        </w:tc>
        <w:tc>
          <w:tcPr>
            <w:tcW w:w="1328" w:type="pct"/>
            <w:vAlign w:val="center"/>
          </w:tcPr>
          <w:p w14:paraId="5AB18C54">
            <w:pPr>
              <w:rPr>
                <w:rFonts w:ascii="Arial Narrow" w:hAnsi="Arial Narrow" w:eastAsia="仿宋_GB2312"/>
              </w:rPr>
            </w:pPr>
          </w:p>
        </w:tc>
        <w:tc>
          <w:tcPr>
            <w:tcW w:w="1328" w:type="pct"/>
            <w:vAlign w:val="center"/>
          </w:tcPr>
          <w:p w14:paraId="68615DE3">
            <w:pPr>
              <w:rPr>
                <w:rFonts w:ascii="Arial Narrow" w:hAnsi="Arial Narrow" w:eastAsia="仿宋_GB2312"/>
              </w:rPr>
            </w:pPr>
          </w:p>
        </w:tc>
      </w:tr>
    </w:tbl>
    <w:p w14:paraId="340DB410">
      <w:pPr>
        <w:spacing w:after="216" w:afterLines="90"/>
        <w:rPr>
          <w:rFonts w:ascii="Arial Narrow" w:hAnsi="Arial Narrow" w:eastAsia="仿宋_GB2312"/>
          <w:sz w:val="24"/>
        </w:rPr>
      </w:pPr>
      <w:r>
        <w:rPr>
          <w:rFonts w:hint="eastAsia" w:ascii="Arial Narrow" w:hAnsi="Arial Narrow" w:eastAsia="仿宋_GB2312"/>
          <w:sz w:val="24"/>
        </w:rPr>
        <w:t>本公司为承租方当年承担的租赁负债利息支出</w:t>
      </w:r>
    </w:p>
    <w:tbl>
      <w:tblPr>
        <w:tblStyle w:val="12"/>
        <w:tblW w:w="5000" w:type="pct"/>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27"/>
        <w:gridCol w:w="1614"/>
        <w:gridCol w:w="2290"/>
        <w:gridCol w:w="2290"/>
      </w:tblGrid>
      <w:tr w14:paraId="7B61CE21">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700" w:hRule="atLeast"/>
          <w:tblHeader/>
          <w:jc w:val="center"/>
        </w:trPr>
        <w:tc>
          <w:tcPr>
            <w:tcW w:w="1408" w:type="pct"/>
            <w:tcBorders>
              <w:top w:val="single" w:color="auto" w:sz="8" w:space="0"/>
              <w:bottom w:val="nil"/>
            </w:tcBorders>
            <w:shd w:val="clear" w:color="auto" w:fill="auto"/>
            <w:vAlign w:val="center"/>
          </w:tcPr>
          <w:p w14:paraId="6E4B4830">
            <w:pPr>
              <w:adjustRightInd w:val="0"/>
              <w:snapToGrid w:val="0"/>
              <w:rPr>
                <w:rFonts w:ascii="Arial Narrow" w:hAnsi="Arial Narrow" w:eastAsia="仿宋_GB2312"/>
                <w:b/>
                <w:szCs w:val="21"/>
              </w:rPr>
            </w:pPr>
            <w:r>
              <w:rPr>
                <w:rFonts w:hint="eastAsia" w:ascii="Arial Narrow" w:hAnsi="Arial Narrow" w:eastAsia="仿宋_GB2312"/>
                <w:b/>
                <w:szCs w:val="21"/>
              </w:rPr>
              <w:t>出租方名称</w:t>
            </w:r>
          </w:p>
        </w:tc>
        <w:tc>
          <w:tcPr>
            <w:tcW w:w="936" w:type="pct"/>
            <w:tcBorders>
              <w:top w:val="single" w:color="auto" w:sz="8" w:space="0"/>
              <w:bottom w:val="nil"/>
            </w:tcBorders>
            <w:shd w:val="clear" w:color="auto" w:fill="auto"/>
            <w:vAlign w:val="center"/>
          </w:tcPr>
          <w:p w14:paraId="591D4C60">
            <w:pPr>
              <w:adjustRightInd w:val="0"/>
              <w:snapToGrid w:val="0"/>
              <w:rPr>
                <w:rFonts w:ascii="Arial Narrow" w:hAnsi="Arial Narrow" w:eastAsia="仿宋_GB2312"/>
                <w:b/>
                <w:szCs w:val="21"/>
              </w:rPr>
            </w:pPr>
            <w:r>
              <w:rPr>
                <w:rFonts w:hint="eastAsia" w:ascii="Arial Narrow" w:hAnsi="Arial Narrow" w:eastAsia="仿宋_GB2312"/>
                <w:b/>
                <w:szCs w:val="21"/>
              </w:rPr>
              <w:t>租赁资产种类</w:t>
            </w:r>
          </w:p>
        </w:tc>
        <w:tc>
          <w:tcPr>
            <w:tcW w:w="1328" w:type="pct"/>
            <w:tcBorders>
              <w:top w:val="single" w:color="auto" w:sz="8" w:space="0"/>
            </w:tcBorders>
            <w:vAlign w:val="center"/>
          </w:tcPr>
          <w:p w14:paraId="4FC08BBC">
            <w:pPr>
              <w:adjustRightInd w:val="0"/>
              <w:snapToGrid w:val="0"/>
              <w:jc w:val="center"/>
              <w:rPr>
                <w:rFonts w:ascii="Arial Narrow" w:hAnsi="Arial Narrow" w:eastAsia="仿宋_GB2312"/>
                <w:b/>
                <w:szCs w:val="21"/>
              </w:rPr>
            </w:pPr>
            <w:r>
              <w:rPr>
                <w:rFonts w:hint="eastAsia" w:ascii="Arial Narrow" w:hAnsi="Arial Narrow" w:eastAsia="仿宋_GB2312"/>
                <w:b/>
                <w:szCs w:val="21"/>
              </w:rPr>
              <w:t>本期利息支出</w:t>
            </w:r>
            <w:r>
              <w:rPr>
                <w:rFonts w:ascii="Arial Narrow" w:hAnsi="Arial Narrow" w:eastAsia="仿宋_GB2312"/>
                <w:b/>
                <w:szCs w:val="21"/>
              </w:rPr>
              <w:t>（万元）</w:t>
            </w:r>
          </w:p>
        </w:tc>
        <w:tc>
          <w:tcPr>
            <w:tcW w:w="1328" w:type="pct"/>
            <w:tcBorders>
              <w:top w:val="single" w:color="auto" w:sz="8" w:space="0"/>
            </w:tcBorders>
            <w:vAlign w:val="center"/>
          </w:tcPr>
          <w:p w14:paraId="083F31AF">
            <w:pPr>
              <w:adjustRightInd w:val="0"/>
              <w:snapToGrid w:val="0"/>
              <w:jc w:val="center"/>
              <w:rPr>
                <w:rFonts w:ascii="Arial Narrow" w:hAnsi="Arial Narrow" w:eastAsia="仿宋_GB2312"/>
                <w:b/>
                <w:szCs w:val="21"/>
              </w:rPr>
            </w:pPr>
            <w:r>
              <w:rPr>
                <w:rFonts w:hint="eastAsia" w:ascii="Arial Narrow" w:hAnsi="Arial Narrow" w:eastAsia="仿宋_GB2312"/>
                <w:b/>
                <w:szCs w:val="21"/>
              </w:rPr>
              <w:t>上期利息支出</w:t>
            </w:r>
            <w:r>
              <w:rPr>
                <w:rFonts w:ascii="Arial Narrow" w:hAnsi="Arial Narrow" w:eastAsia="仿宋_GB2312"/>
                <w:b/>
                <w:szCs w:val="21"/>
              </w:rPr>
              <w:t>（万元）</w:t>
            </w:r>
          </w:p>
        </w:tc>
      </w:tr>
      <w:tr w14:paraId="5D39D443">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tcBorders>
              <w:top w:val="single" w:color="auto" w:sz="4" w:space="0"/>
            </w:tcBorders>
            <w:shd w:val="clear" w:color="auto" w:fill="auto"/>
            <w:vAlign w:val="center"/>
          </w:tcPr>
          <w:p w14:paraId="722DB3BC">
            <w:pPr>
              <w:adjustRightInd w:val="0"/>
              <w:snapToGrid w:val="0"/>
              <w:rPr>
                <w:rFonts w:ascii="Arial Narrow" w:hAnsi="Arial Narrow" w:eastAsia="仿宋_GB2312"/>
                <w:color w:val="000000"/>
                <w:szCs w:val="21"/>
              </w:rPr>
            </w:pPr>
            <w:r>
              <w:rPr>
                <w:rFonts w:ascii="Arial Narrow" w:hAnsi="Arial Narrow" w:eastAsia="仿宋_GB2312" w:cs="宋体"/>
                <w:color w:val="0000FF"/>
                <w:kern w:val="0"/>
                <w:szCs w:val="21"/>
              </w:rPr>
              <w:t>可无限量添加行</w:t>
            </w:r>
          </w:p>
        </w:tc>
        <w:tc>
          <w:tcPr>
            <w:tcW w:w="936" w:type="pct"/>
            <w:tcBorders>
              <w:top w:val="single" w:color="auto" w:sz="4" w:space="0"/>
            </w:tcBorders>
            <w:shd w:val="clear" w:color="auto" w:fill="auto"/>
            <w:vAlign w:val="center"/>
          </w:tcPr>
          <w:p w14:paraId="5E5514ED">
            <w:pPr>
              <w:rPr>
                <w:rFonts w:ascii="Arial Narrow" w:hAnsi="Arial Narrow" w:eastAsia="仿宋_GB2312"/>
              </w:rPr>
            </w:pPr>
          </w:p>
        </w:tc>
        <w:tc>
          <w:tcPr>
            <w:tcW w:w="1328" w:type="pct"/>
            <w:tcBorders>
              <w:top w:val="single" w:color="auto" w:sz="4" w:space="0"/>
            </w:tcBorders>
            <w:vAlign w:val="center"/>
          </w:tcPr>
          <w:p w14:paraId="0110BC04">
            <w:pPr>
              <w:rPr>
                <w:rFonts w:ascii="Arial Narrow" w:hAnsi="Arial Narrow" w:eastAsia="仿宋_GB2312"/>
              </w:rPr>
            </w:pPr>
          </w:p>
        </w:tc>
        <w:tc>
          <w:tcPr>
            <w:tcW w:w="1328" w:type="pct"/>
            <w:tcBorders>
              <w:top w:val="single" w:color="auto" w:sz="4" w:space="0"/>
            </w:tcBorders>
            <w:vAlign w:val="center"/>
          </w:tcPr>
          <w:p w14:paraId="7A0998DA">
            <w:pPr>
              <w:rPr>
                <w:rFonts w:ascii="Arial Narrow" w:hAnsi="Arial Narrow" w:eastAsia="仿宋_GB2312"/>
              </w:rPr>
            </w:pPr>
          </w:p>
        </w:tc>
      </w:tr>
      <w:tr w14:paraId="06F7FD8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0E90F778">
            <w:pPr>
              <w:adjustRightInd w:val="0"/>
              <w:snapToGrid w:val="0"/>
              <w:rPr>
                <w:rFonts w:ascii="Arial Narrow" w:hAnsi="Arial Narrow" w:eastAsia="仿宋_GB2312"/>
                <w:color w:val="000000"/>
                <w:szCs w:val="21"/>
              </w:rPr>
            </w:pPr>
          </w:p>
        </w:tc>
        <w:tc>
          <w:tcPr>
            <w:tcW w:w="936" w:type="pct"/>
            <w:shd w:val="clear" w:color="auto" w:fill="auto"/>
            <w:vAlign w:val="center"/>
          </w:tcPr>
          <w:p w14:paraId="6A7263FF">
            <w:pPr>
              <w:rPr>
                <w:rFonts w:ascii="Arial Narrow" w:hAnsi="Arial Narrow" w:eastAsia="仿宋_GB2312"/>
              </w:rPr>
            </w:pPr>
          </w:p>
        </w:tc>
        <w:tc>
          <w:tcPr>
            <w:tcW w:w="1328" w:type="pct"/>
            <w:vAlign w:val="center"/>
          </w:tcPr>
          <w:p w14:paraId="417330B0">
            <w:pPr>
              <w:rPr>
                <w:rFonts w:ascii="Arial Narrow" w:hAnsi="Arial Narrow" w:eastAsia="仿宋_GB2312"/>
              </w:rPr>
            </w:pPr>
          </w:p>
        </w:tc>
        <w:tc>
          <w:tcPr>
            <w:tcW w:w="1328" w:type="pct"/>
            <w:vAlign w:val="center"/>
          </w:tcPr>
          <w:p w14:paraId="7B1F9DDC">
            <w:pPr>
              <w:rPr>
                <w:rFonts w:ascii="Arial Narrow" w:hAnsi="Arial Narrow" w:eastAsia="仿宋_GB2312"/>
              </w:rPr>
            </w:pPr>
          </w:p>
        </w:tc>
      </w:tr>
      <w:tr w14:paraId="25899F6C">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72C60094">
            <w:pPr>
              <w:adjustRightInd w:val="0"/>
              <w:snapToGrid w:val="0"/>
              <w:rPr>
                <w:rFonts w:ascii="Arial Narrow" w:hAnsi="Arial Narrow" w:eastAsia="仿宋_GB2312"/>
                <w:color w:val="000000"/>
                <w:szCs w:val="21"/>
              </w:rPr>
            </w:pPr>
          </w:p>
        </w:tc>
        <w:tc>
          <w:tcPr>
            <w:tcW w:w="936" w:type="pct"/>
            <w:shd w:val="clear" w:color="auto" w:fill="auto"/>
            <w:vAlign w:val="center"/>
          </w:tcPr>
          <w:p w14:paraId="3111141E">
            <w:pPr>
              <w:rPr>
                <w:rFonts w:ascii="Arial Narrow" w:hAnsi="Arial Narrow" w:eastAsia="仿宋_GB2312"/>
              </w:rPr>
            </w:pPr>
          </w:p>
        </w:tc>
        <w:tc>
          <w:tcPr>
            <w:tcW w:w="1328" w:type="pct"/>
            <w:vAlign w:val="center"/>
          </w:tcPr>
          <w:p w14:paraId="773DA188">
            <w:pPr>
              <w:rPr>
                <w:rFonts w:ascii="Arial Narrow" w:hAnsi="Arial Narrow" w:eastAsia="仿宋_GB2312"/>
              </w:rPr>
            </w:pPr>
          </w:p>
        </w:tc>
        <w:tc>
          <w:tcPr>
            <w:tcW w:w="1328" w:type="pct"/>
            <w:vAlign w:val="center"/>
          </w:tcPr>
          <w:p w14:paraId="126AC80F">
            <w:pPr>
              <w:rPr>
                <w:rFonts w:ascii="Arial Narrow" w:hAnsi="Arial Narrow" w:eastAsia="仿宋_GB2312"/>
              </w:rPr>
            </w:pPr>
          </w:p>
        </w:tc>
      </w:tr>
      <w:tr w14:paraId="1D941C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408" w:type="pct"/>
            <w:shd w:val="clear" w:color="auto" w:fill="auto"/>
            <w:vAlign w:val="center"/>
          </w:tcPr>
          <w:p w14:paraId="2BB5C003">
            <w:pPr>
              <w:adjustRightInd w:val="0"/>
              <w:snapToGrid w:val="0"/>
              <w:rPr>
                <w:rFonts w:ascii="Arial Narrow" w:hAnsi="Arial Narrow" w:eastAsia="仿宋_GB2312"/>
                <w:color w:val="000000"/>
                <w:szCs w:val="21"/>
              </w:rPr>
            </w:pPr>
          </w:p>
        </w:tc>
        <w:tc>
          <w:tcPr>
            <w:tcW w:w="936" w:type="pct"/>
            <w:shd w:val="clear" w:color="auto" w:fill="auto"/>
            <w:vAlign w:val="center"/>
          </w:tcPr>
          <w:p w14:paraId="7693FB65">
            <w:pPr>
              <w:rPr>
                <w:rFonts w:ascii="Arial Narrow" w:hAnsi="Arial Narrow" w:eastAsia="仿宋_GB2312"/>
              </w:rPr>
            </w:pPr>
          </w:p>
        </w:tc>
        <w:tc>
          <w:tcPr>
            <w:tcW w:w="1328" w:type="pct"/>
            <w:vAlign w:val="center"/>
          </w:tcPr>
          <w:p w14:paraId="26203666">
            <w:pPr>
              <w:rPr>
                <w:rFonts w:ascii="Arial Narrow" w:hAnsi="Arial Narrow" w:eastAsia="仿宋_GB2312"/>
              </w:rPr>
            </w:pPr>
          </w:p>
        </w:tc>
        <w:tc>
          <w:tcPr>
            <w:tcW w:w="1328" w:type="pct"/>
            <w:vAlign w:val="center"/>
          </w:tcPr>
          <w:p w14:paraId="3CD39F54">
            <w:pPr>
              <w:rPr>
                <w:rFonts w:ascii="Arial Narrow" w:hAnsi="Arial Narrow" w:eastAsia="仿宋_GB2312"/>
              </w:rPr>
            </w:pPr>
          </w:p>
        </w:tc>
      </w:tr>
    </w:tbl>
    <w:p w14:paraId="2507294A">
      <w:pPr>
        <w:spacing w:before="120" w:beforeLines="50" w:after="216" w:afterLines="90"/>
        <w:rPr>
          <w:rFonts w:ascii="Arial Narrow" w:hAnsi="Arial Narrow" w:eastAsia="仿宋_GB2312"/>
          <w:sz w:val="24"/>
        </w:rPr>
      </w:pPr>
      <w:r>
        <w:rPr>
          <w:rFonts w:ascii="Arial Narrow" w:hAnsi="Arial Narrow" w:eastAsia="仿宋_GB2312"/>
          <w:sz w:val="24"/>
        </w:rPr>
        <w:t>F、代理。</w:t>
      </w:r>
    </w:p>
    <w:p w14:paraId="1EC7D413">
      <w:pPr>
        <w:spacing w:after="216" w:afterLines="90"/>
        <w:rPr>
          <w:rFonts w:ascii="Arial Narrow" w:hAnsi="Arial Narrow" w:eastAsia="仿宋_GB2312"/>
          <w:sz w:val="24"/>
        </w:rPr>
      </w:pPr>
      <w:r>
        <w:rPr>
          <w:rFonts w:ascii="Arial Narrow" w:hAnsi="Arial Narrow" w:eastAsia="仿宋_GB2312"/>
          <w:sz w:val="24"/>
        </w:rPr>
        <w:t>G、研究与开发项目的转移。</w:t>
      </w:r>
    </w:p>
    <w:p w14:paraId="731FAEB9">
      <w:pPr>
        <w:spacing w:after="216" w:afterLines="90"/>
        <w:rPr>
          <w:rFonts w:ascii="Arial Narrow" w:hAnsi="Arial Narrow" w:eastAsia="仿宋_GB2312"/>
          <w:sz w:val="24"/>
        </w:rPr>
      </w:pPr>
      <w:r>
        <w:rPr>
          <w:rFonts w:ascii="Arial Narrow" w:hAnsi="Arial Narrow" w:eastAsia="仿宋_GB2312"/>
          <w:sz w:val="24"/>
        </w:rPr>
        <w:t>H、许可协议。</w:t>
      </w:r>
    </w:p>
    <w:p w14:paraId="217ED689">
      <w:pPr>
        <w:spacing w:after="216" w:afterLines="90"/>
        <w:rPr>
          <w:rFonts w:ascii="Arial Narrow" w:hAnsi="Arial Narrow" w:eastAsia="仿宋_GB2312"/>
          <w:sz w:val="24"/>
        </w:rPr>
      </w:pPr>
      <w:r>
        <w:rPr>
          <w:rFonts w:ascii="Arial Narrow" w:hAnsi="Arial Narrow" w:eastAsia="仿宋_GB2312"/>
          <w:sz w:val="24"/>
        </w:rPr>
        <w:t>I、代表企业或由企业代表另一方进行债务结算。</w:t>
      </w:r>
    </w:p>
    <w:p w14:paraId="19F90BD5">
      <w:pPr>
        <w:spacing w:after="216" w:afterLines="90"/>
        <w:rPr>
          <w:rFonts w:ascii="Arial Narrow" w:hAnsi="Arial Narrow" w:eastAsia="仿宋_GB2312"/>
          <w:sz w:val="24"/>
        </w:rPr>
      </w:pPr>
      <w:r>
        <w:rPr>
          <w:rFonts w:ascii="Arial Narrow" w:hAnsi="Arial Narrow" w:eastAsia="仿宋_GB2312"/>
          <w:sz w:val="24"/>
        </w:rPr>
        <w:t>J、关键管理人员薪酬。</w:t>
      </w:r>
    </w:p>
    <w:p w14:paraId="0247977D">
      <w:pPr>
        <w:spacing w:after="216" w:afterLines="90"/>
        <w:rPr>
          <w:rFonts w:ascii="Arial Narrow" w:hAnsi="Arial Narrow" w:eastAsia="仿宋_GB2312"/>
          <w:sz w:val="24"/>
        </w:rPr>
      </w:pPr>
      <w:r>
        <w:rPr>
          <w:rFonts w:ascii="Arial Narrow" w:hAnsi="Arial Narrow" w:eastAsia="仿宋_GB2312"/>
          <w:sz w:val="24"/>
        </w:rPr>
        <w:t>K、企业年金基金。</w:t>
      </w:r>
    </w:p>
    <w:p w14:paraId="0F8B573A">
      <w:pPr>
        <w:pStyle w:val="4"/>
        <w:spacing w:before="120" w:after="216"/>
      </w:pPr>
      <w:r>
        <w:t>关联方应收应付款项</w:t>
      </w:r>
    </w:p>
    <w:p w14:paraId="6F9E041E">
      <w:pPr>
        <w:pStyle w:val="5"/>
        <w:numPr>
          <w:ilvl w:val="3"/>
          <w:numId w:val="22"/>
        </w:numPr>
      </w:pPr>
      <w:r>
        <w:t>应收关联方款项</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0"/>
        <w:gridCol w:w="1680"/>
        <w:gridCol w:w="1428"/>
        <w:gridCol w:w="1428"/>
        <w:gridCol w:w="1428"/>
        <w:gridCol w:w="1428"/>
      </w:tblGrid>
      <w:tr w14:paraId="314D3198">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0" w:type="dxa"/>
            <w:vMerge w:val="restart"/>
            <w:tcBorders>
              <w:top w:val="single" w:color="auto" w:sz="8" w:space="0"/>
              <w:bottom w:val="nil"/>
            </w:tcBorders>
            <w:shd w:val="clear" w:color="auto" w:fill="auto"/>
            <w:vAlign w:val="center"/>
          </w:tcPr>
          <w:p w14:paraId="1C10DEA6">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项目名称</w:t>
            </w:r>
          </w:p>
        </w:tc>
        <w:tc>
          <w:tcPr>
            <w:tcW w:w="1680" w:type="dxa"/>
            <w:vMerge w:val="restart"/>
            <w:tcBorders>
              <w:top w:val="single" w:color="auto" w:sz="8" w:space="0"/>
              <w:bottom w:val="nil"/>
            </w:tcBorders>
            <w:shd w:val="clear" w:color="auto" w:fill="auto"/>
            <w:vAlign w:val="center"/>
          </w:tcPr>
          <w:p w14:paraId="4E3A4193">
            <w:pPr>
              <w:tabs>
                <w:tab w:val="left" w:pos="630"/>
              </w:tabs>
              <w:snapToGrid w:val="0"/>
              <w:outlineLvl w:val="0"/>
              <w:rPr>
                <w:rFonts w:ascii="Arial Narrow" w:hAnsi="Arial Narrow" w:eastAsia="仿宋_GB2312"/>
                <w:b/>
                <w:bCs/>
                <w:szCs w:val="21"/>
              </w:rPr>
            </w:pPr>
            <w:r>
              <w:rPr>
                <w:rFonts w:ascii="Arial Narrow" w:hAnsi="Arial Narrow" w:eastAsia="仿宋_GB2312"/>
                <w:b/>
                <w:bCs/>
                <w:szCs w:val="21"/>
              </w:rPr>
              <w:t>关联方</w:t>
            </w:r>
          </w:p>
        </w:tc>
        <w:tc>
          <w:tcPr>
            <w:tcW w:w="2856" w:type="dxa"/>
            <w:gridSpan w:val="2"/>
            <w:tcBorders>
              <w:top w:val="single" w:color="auto" w:sz="8" w:space="0"/>
              <w:bottom w:val="nil"/>
            </w:tcBorders>
            <w:shd w:val="clear" w:color="auto" w:fill="auto"/>
            <w:vAlign w:val="center"/>
          </w:tcPr>
          <w:p w14:paraId="2BF271E1">
            <w:pPr>
              <w:tabs>
                <w:tab w:val="left" w:pos="630"/>
              </w:tabs>
              <w:snapToGrid w:val="0"/>
              <w:jc w:val="center"/>
              <w:outlineLvl w:val="0"/>
              <w:rPr>
                <w:rFonts w:ascii="Arial Narrow" w:hAnsi="Arial Narrow" w:eastAsia="仿宋_GB2312" w:cs="Arial"/>
                <w:b/>
                <w:bCs/>
                <w:szCs w:val="21"/>
              </w:rPr>
            </w:pPr>
            <w:r>
              <w:rPr>
                <w:rFonts w:ascii="Arial Narrow" w:hAnsi="Arial Narrow" w:eastAsia="仿宋_GB2312" w:cs="Arial"/>
                <w:b/>
                <w:bCs/>
                <w:szCs w:val="21"/>
              </w:rPr>
              <w:t>期末数</w:t>
            </w:r>
          </w:p>
        </w:tc>
        <w:tc>
          <w:tcPr>
            <w:tcW w:w="2856" w:type="dxa"/>
            <w:gridSpan w:val="2"/>
            <w:tcBorders>
              <w:top w:val="single" w:color="auto" w:sz="8" w:space="0"/>
              <w:bottom w:val="nil"/>
            </w:tcBorders>
            <w:shd w:val="clear" w:color="auto" w:fill="auto"/>
            <w:vAlign w:val="center"/>
          </w:tcPr>
          <w:p w14:paraId="0F07978A">
            <w:pPr>
              <w:tabs>
                <w:tab w:val="left" w:pos="630"/>
              </w:tabs>
              <w:snapToGrid w:val="0"/>
              <w:jc w:val="center"/>
              <w:outlineLvl w:val="0"/>
              <w:rPr>
                <w:rFonts w:ascii="Arial Narrow" w:hAnsi="Arial Narrow" w:eastAsia="仿宋_GB2312" w:cs="Arial"/>
                <w:b/>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数</w:t>
            </w:r>
          </w:p>
        </w:tc>
      </w:tr>
      <w:tr w14:paraId="28E4386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1680" w:type="dxa"/>
            <w:vMerge w:val="continue"/>
            <w:tcBorders>
              <w:top w:val="nil"/>
              <w:bottom w:val="single" w:color="auto" w:sz="4" w:space="0"/>
            </w:tcBorders>
            <w:shd w:val="clear" w:color="auto" w:fill="auto"/>
            <w:vAlign w:val="center"/>
          </w:tcPr>
          <w:p w14:paraId="7974715A">
            <w:pPr>
              <w:tabs>
                <w:tab w:val="left" w:pos="630"/>
              </w:tabs>
              <w:snapToGrid w:val="0"/>
              <w:outlineLvl w:val="0"/>
              <w:rPr>
                <w:rFonts w:ascii="Arial Narrow" w:hAnsi="Arial Narrow" w:eastAsia="仿宋_GB2312"/>
                <w:b/>
                <w:bCs/>
                <w:szCs w:val="21"/>
              </w:rPr>
            </w:pPr>
          </w:p>
        </w:tc>
        <w:tc>
          <w:tcPr>
            <w:tcW w:w="1680" w:type="dxa"/>
            <w:vMerge w:val="continue"/>
            <w:tcBorders>
              <w:top w:val="nil"/>
              <w:bottom w:val="single" w:color="auto" w:sz="4" w:space="0"/>
            </w:tcBorders>
            <w:shd w:val="clear" w:color="auto" w:fill="auto"/>
            <w:vAlign w:val="center"/>
          </w:tcPr>
          <w:p w14:paraId="032D816F">
            <w:pPr>
              <w:tabs>
                <w:tab w:val="left" w:pos="630"/>
              </w:tabs>
              <w:snapToGrid w:val="0"/>
              <w:outlineLvl w:val="0"/>
              <w:rPr>
                <w:rFonts w:ascii="Arial Narrow" w:hAnsi="Arial Narrow" w:eastAsia="仿宋_GB2312"/>
                <w:b/>
                <w:bCs/>
                <w:szCs w:val="21"/>
              </w:rPr>
            </w:pPr>
          </w:p>
        </w:tc>
        <w:tc>
          <w:tcPr>
            <w:tcW w:w="1428" w:type="dxa"/>
            <w:tcBorders>
              <w:top w:val="nil"/>
              <w:bottom w:val="single" w:color="auto" w:sz="4" w:space="0"/>
            </w:tcBorders>
            <w:shd w:val="clear" w:color="auto" w:fill="auto"/>
            <w:vAlign w:val="center"/>
          </w:tcPr>
          <w:p w14:paraId="03CB3CF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1428" w:type="dxa"/>
            <w:tcBorders>
              <w:top w:val="nil"/>
              <w:bottom w:val="single" w:color="auto" w:sz="4" w:space="0"/>
            </w:tcBorders>
            <w:shd w:val="clear" w:color="auto" w:fill="auto"/>
            <w:vAlign w:val="center"/>
          </w:tcPr>
          <w:p w14:paraId="26EFA28F">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c>
          <w:tcPr>
            <w:tcW w:w="1428" w:type="dxa"/>
            <w:tcBorders>
              <w:top w:val="nil"/>
              <w:bottom w:val="single" w:color="auto" w:sz="4" w:space="0"/>
            </w:tcBorders>
            <w:shd w:val="clear" w:color="auto" w:fill="auto"/>
            <w:vAlign w:val="center"/>
          </w:tcPr>
          <w:p w14:paraId="523C20F4">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账面余额</w:t>
            </w:r>
          </w:p>
        </w:tc>
        <w:tc>
          <w:tcPr>
            <w:tcW w:w="1428" w:type="dxa"/>
            <w:tcBorders>
              <w:top w:val="nil"/>
              <w:bottom w:val="single" w:color="auto" w:sz="4" w:space="0"/>
            </w:tcBorders>
            <w:shd w:val="clear" w:color="auto" w:fill="auto"/>
            <w:vAlign w:val="center"/>
          </w:tcPr>
          <w:p w14:paraId="67C91980">
            <w:pPr>
              <w:tabs>
                <w:tab w:val="left" w:pos="630"/>
              </w:tabs>
              <w:snapToGrid w:val="0"/>
              <w:jc w:val="right"/>
              <w:outlineLvl w:val="0"/>
              <w:rPr>
                <w:rFonts w:ascii="Arial Narrow" w:hAnsi="Arial Narrow" w:eastAsia="仿宋_GB2312" w:cs="Arial"/>
                <w:b/>
                <w:bCs/>
                <w:szCs w:val="21"/>
              </w:rPr>
            </w:pPr>
            <w:r>
              <w:rPr>
                <w:rFonts w:ascii="Arial Narrow" w:hAnsi="Arial Narrow" w:eastAsia="仿宋_GB2312" w:cs="Arial"/>
                <w:b/>
                <w:bCs/>
                <w:szCs w:val="21"/>
              </w:rPr>
              <w:t>坏账准备</w:t>
            </w:r>
          </w:p>
        </w:tc>
      </w:tr>
      <w:tr w14:paraId="109B97FD">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0" w:type="dxa"/>
            <w:tcBorders>
              <w:top w:val="single" w:color="auto" w:sz="4" w:space="0"/>
            </w:tcBorders>
            <w:shd w:val="clear" w:color="auto" w:fill="auto"/>
            <w:vAlign w:val="center"/>
          </w:tcPr>
          <w:p w14:paraId="56541597">
            <w:pPr>
              <w:tabs>
                <w:tab w:val="left" w:pos="630"/>
              </w:tabs>
              <w:snapToGrid w:val="0"/>
              <w:outlineLvl w:val="0"/>
              <w:rPr>
                <w:rFonts w:ascii="Arial Narrow" w:hAnsi="Arial Narrow" w:eastAsia="仿宋_GB2312"/>
                <w:bCs/>
                <w:szCs w:val="21"/>
              </w:rPr>
            </w:pPr>
            <w:r>
              <w:rPr>
                <w:rFonts w:ascii="Arial Narrow" w:hAnsi="Arial Narrow" w:eastAsia="仿宋_GB2312" w:cs="宋体"/>
                <w:color w:val="0000FF"/>
                <w:kern w:val="0"/>
                <w:szCs w:val="21"/>
              </w:rPr>
              <w:t>可无限量添加行</w:t>
            </w:r>
          </w:p>
        </w:tc>
        <w:tc>
          <w:tcPr>
            <w:tcW w:w="1680" w:type="dxa"/>
            <w:tcBorders>
              <w:top w:val="single" w:color="auto" w:sz="4" w:space="0"/>
            </w:tcBorders>
            <w:shd w:val="clear" w:color="auto" w:fill="auto"/>
            <w:vAlign w:val="center"/>
          </w:tcPr>
          <w:p w14:paraId="72CD23B6">
            <w:pPr>
              <w:rPr>
                <w:rFonts w:ascii="Arial Narrow" w:hAnsi="Arial Narrow" w:eastAsia="仿宋_GB2312"/>
              </w:rPr>
            </w:pPr>
          </w:p>
        </w:tc>
        <w:tc>
          <w:tcPr>
            <w:tcW w:w="1428" w:type="dxa"/>
            <w:tcBorders>
              <w:top w:val="single" w:color="auto" w:sz="4" w:space="0"/>
            </w:tcBorders>
            <w:shd w:val="clear" w:color="auto" w:fill="auto"/>
            <w:vAlign w:val="center"/>
          </w:tcPr>
          <w:p w14:paraId="42DFDF80">
            <w:pPr>
              <w:jc w:val="right"/>
              <w:rPr>
                <w:rFonts w:ascii="Arial Narrow" w:hAnsi="Arial Narrow" w:eastAsia="仿宋_GB2312"/>
              </w:rPr>
            </w:pPr>
          </w:p>
        </w:tc>
        <w:tc>
          <w:tcPr>
            <w:tcW w:w="1428" w:type="dxa"/>
            <w:tcBorders>
              <w:top w:val="single" w:color="auto" w:sz="4" w:space="0"/>
            </w:tcBorders>
            <w:shd w:val="clear" w:color="auto" w:fill="auto"/>
            <w:vAlign w:val="center"/>
          </w:tcPr>
          <w:p w14:paraId="218DF802">
            <w:pPr>
              <w:jc w:val="right"/>
              <w:rPr>
                <w:rFonts w:ascii="Arial Narrow" w:hAnsi="Arial Narrow" w:eastAsia="仿宋_GB2312"/>
              </w:rPr>
            </w:pPr>
          </w:p>
        </w:tc>
        <w:tc>
          <w:tcPr>
            <w:tcW w:w="1428" w:type="dxa"/>
            <w:tcBorders>
              <w:top w:val="single" w:color="auto" w:sz="4" w:space="0"/>
            </w:tcBorders>
            <w:shd w:val="clear" w:color="auto" w:fill="auto"/>
            <w:vAlign w:val="center"/>
          </w:tcPr>
          <w:p w14:paraId="5E703BA4">
            <w:pPr>
              <w:jc w:val="right"/>
              <w:rPr>
                <w:rFonts w:ascii="Arial Narrow" w:hAnsi="Arial Narrow" w:eastAsia="仿宋_GB2312"/>
              </w:rPr>
            </w:pPr>
          </w:p>
        </w:tc>
        <w:tc>
          <w:tcPr>
            <w:tcW w:w="1428" w:type="dxa"/>
            <w:tcBorders>
              <w:top w:val="single" w:color="auto" w:sz="4" w:space="0"/>
            </w:tcBorders>
            <w:shd w:val="clear" w:color="auto" w:fill="auto"/>
            <w:vAlign w:val="center"/>
          </w:tcPr>
          <w:p w14:paraId="12ACF765">
            <w:pPr>
              <w:jc w:val="right"/>
              <w:rPr>
                <w:rFonts w:ascii="Arial Narrow" w:hAnsi="Arial Narrow" w:eastAsia="仿宋_GB2312"/>
              </w:rPr>
            </w:pPr>
          </w:p>
        </w:tc>
      </w:tr>
      <w:tr w14:paraId="5F91D2EF">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0" w:type="dxa"/>
            <w:shd w:val="clear" w:color="auto" w:fill="auto"/>
            <w:vAlign w:val="center"/>
          </w:tcPr>
          <w:p w14:paraId="3C228486">
            <w:pPr>
              <w:tabs>
                <w:tab w:val="left" w:pos="630"/>
              </w:tabs>
              <w:snapToGrid w:val="0"/>
              <w:outlineLvl w:val="0"/>
              <w:rPr>
                <w:rFonts w:ascii="Arial Narrow" w:hAnsi="Arial Narrow" w:eastAsia="仿宋_GB2312"/>
                <w:bCs/>
                <w:szCs w:val="21"/>
              </w:rPr>
            </w:pPr>
          </w:p>
        </w:tc>
        <w:tc>
          <w:tcPr>
            <w:tcW w:w="1680" w:type="dxa"/>
            <w:shd w:val="clear" w:color="auto" w:fill="auto"/>
            <w:vAlign w:val="center"/>
          </w:tcPr>
          <w:p w14:paraId="1342EAB0">
            <w:pPr>
              <w:rPr>
                <w:rFonts w:ascii="Arial Narrow" w:hAnsi="Arial Narrow" w:eastAsia="仿宋_GB2312"/>
              </w:rPr>
            </w:pPr>
          </w:p>
        </w:tc>
        <w:tc>
          <w:tcPr>
            <w:tcW w:w="1428" w:type="dxa"/>
            <w:shd w:val="clear" w:color="auto" w:fill="auto"/>
            <w:vAlign w:val="center"/>
          </w:tcPr>
          <w:p w14:paraId="09322BE5">
            <w:pPr>
              <w:jc w:val="right"/>
              <w:rPr>
                <w:rFonts w:ascii="Arial Narrow" w:hAnsi="Arial Narrow" w:eastAsia="仿宋_GB2312"/>
              </w:rPr>
            </w:pPr>
          </w:p>
        </w:tc>
        <w:tc>
          <w:tcPr>
            <w:tcW w:w="1428" w:type="dxa"/>
            <w:shd w:val="clear" w:color="auto" w:fill="auto"/>
            <w:vAlign w:val="center"/>
          </w:tcPr>
          <w:p w14:paraId="64CAAE61">
            <w:pPr>
              <w:jc w:val="right"/>
              <w:rPr>
                <w:rFonts w:ascii="Arial Narrow" w:hAnsi="Arial Narrow" w:eastAsia="仿宋_GB2312"/>
              </w:rPr>
            </w:pPr>
          </w:p>
        </w:tc>
        <w:tc>
          <w:tcPr>
            <w:tcW w:w="1428" w:type="dxa"/>
            <w:shd w:val="clear" w:color="auto" w:fill="auto"/>
            <w:vAlign w:val="center"/>
          </w:tcPr>
          <w:p w14:paraId="4E90B64C">
            <w:pPr>
              <w:jc w:val="right"/>
              <w:rPr>
                <w:rFonts w:ascii="Arial Narrow" w:hAnsi="Arial Narrow" w:eastAsia="仿宋_GB2312"/>
              </w:rPr>
            </w:pPr>
          </w:p>
        </w:tc>
        <w:tc>
          <w:tcPr>
            <w:tcW w:w="1428" w:type="dxa"/>
            <w:shd w:val="clear" w:color="auto" w:fill="auto"/>
            <w:vAlign w:val="center"/>
          </w:tcPr>
          <w:p w14:paraId="20AE7381">
            <w:pPr>
              <w:jc w:val="right"/>
              <w:rPr>
                <w:rFonts w:ascii="Arial Narrow" w:hAnsi="Arial Narrow" w:eastAsia="仿宋_GB2312"/>
              </w:rPr>
            </w:pPr>
          </w:p>
        </w:tc>
      </w:tr>
      <w:tr w14:paraId="786E95C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1680" w:type="dxa"/>
            <w:shd w:val="clear" w:color="auto" w:fill="auto"/>
            <w:vAlign w:val="center"/>
          </w:tcPr>
          <w:p w14:paraId="3DCA30DC">
            <w:pPr>
              <w:tabs>
                <w:tab w:val="left" w:pos="630"/>
              </w:tabs>
              <w:snapToGrid w:val="0"/>
              <w:outlineLvl w:val="0"/>
              <w:rPr>
                <w:rFonts w:ascii="Arial Narrow" w:hAnsi="Arial Narrow" w:eastAsia="仿宋_GB2312"/>
                <w:bCs/>
                <w:szCs w:val="21"/>
              </w:rPr>
            </w:pPr>
          </w:p>
        </w:tc>
        <w:tc>
          <w:tcPr>
            <w:tcW w:w="1680" w:type="dxa"/>
            <w:shd w:val="clear" w:color="auto" w:fill="auto"/>
            <w:vAlign w:val="center"/>
          </w:tcPr>
          <w:p w14:paraId="10C14BF4">
            <w:pPr>
              <w:rPr>
                <w:rFonts w:ascii="Arial Narrow" w:hAnsi="Arial Narrow" w:eastAsia="仿宋_GB2312"/>
              </w:rPr>
            </w:pPr>
          </w:p>
        </w:tc>
        <w:tc>
          <w:tcPr>
            <w:tcW w:w="1428" w:type="dxa"/>
            <w:shd w:val="clear" w:color="auto" w:fill="auto"/>
            <w:vAlign w:val="center"/>
          </w:tcPr>
          <w:p w14:paraId="628B95EC">
            <w:pPr>
              <w:jc w:val="right"/>
              <w:rPr>
                <w:rFonts w:ascii="Arial Narrow" w:hAnsi="Arial Narrow" w:eastAsia="仿宋_GB2312"/>
              </w:rPr>
            </w:pPr>
          </w:p>
        </w:tc>
        <w:tc>
          <w:tcPr>
            <w:tcW w:w="1428" w:type="dxa"/>
            <w:shd w:val="clear" w:color="auto" w:fill="auto"/>
            <w:vAlign w:val="center"/>
          </w:tcPr>
          <w:p w14:paraId="2003671D">
            <w:pPr>
              <w:jc w:val="right"/>
              <w:rPr>
                <w:rFonts w:ascii="Arial Narrow" w:hAnsi="Arial Narrow" w:eastAsia="仿宋_GB2312"/>
              </w:rPr>
            </w:pPr>
          </w:p>
        </w:tc>
        <w:tc>
          <w:tcPr>
            <w:tcW w:w="1428" w:type="dxa"/>
            <w:shd w:val="clear" w:color="auto" w:fill="auto"/>
            <w:vAlign w:val="center"/>
          </w:tcPr>
          <w:p w14:paraId="3D9777FC">
            <w:pPr>
              <w:jc w:val="right"/>
              <w:rPr>
                <w:rFonts w:ascii="Arial Narrow" w:hAnsi="Arial Narrow" w:eastAsia="仿宋_GB2312"/>
              </w:rPr>
            </w:pPr>
          </w:p>
        </w:tc>
        <w:tc>
          <w:tcPr>
            <w:tcW w:w="1428" w:type="dxa"/>
            <w:shd w:val="clear" w:color="auto" w:fill="auto"/>
            <w:vAlign w:val="center"/>
          </w:tcPr>
          <w:p w14:paraId="76E2DE14">
            <w:pPr>
              <w:jc w:val="right"/>
              <w:rPr>
                <w:rFonts w:ascii="Arial Narrow" w:hAnsi="Arial Narrow" w:eastAsia="仿宋_GB2312"/>
              </w:rPr>
            </w:pPr>
          </w:p>
        </w:tc>
      </w:tr>
    </w:tbl>
    <w:p w14:paraId="78560811">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注：关联交易约定以净额结算的，应收关联方款项可以抵销后金额填列。</w:t>
      </w:r>
    </w:p>
    <w:p w14:paraId="17806DF0">
      <w:pPr>
        <w:pStyle w:val="5"/>
      </w:pPr>
      <w:r>
        <w:t>应付关联方款项</w:t>
      </w:r>
    </w:p>
    <w:tbl>
      <w:tblPr>
        <w:tblStyle w:val="12"/>
        <w:tblW w:w="9072" w:type="dxa"/>
        <w:jc w:val="center"/>
        <w:tblBorders>
          <w:top w:val="single" w:color="auto" w:sz="8" w:space="0"/>
          <w:left w:val="none" w:color="auto" w:sz="0" w:space="0"/>
          <w:bottom w:val="single" w:color="auto"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2268"/>
        <w:gridCol w:w="2268"/>
        <w:gridCol w:w="2268"/>
      </w:tblGrid>
      <w:tr w14:paraId="63F34C5E">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tblHeader/>
          <w:jc w:val="center"/>
        </w:trPr>
        <w:tc>
          <w:tcPr>
            <w:tcW w:w="2268" w:type="dxa"/>
            <w:tcBorders>
              <w:top w:val="single" w:color="auto" w:sz="8" w:space="0"/>
              <w:bottom w:val="single" w:color="auto" w:sz="4" w:space="0"/>
            </w:tcBorders>
            <w:shd w:val="clear" w:color="auto" w:fill="auto"/>
            <w:vAlign w:val="center"/>
          </w:tcPr>
          <w:p w14:paraId="35064A1C">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项目名称</w:t>
            </w:r>
          </w:p>
        </w:tc>
        <w:tc>
          <w:tcPr>
            <w:tcW w:w="2268" w:type="dxa"/>
            <w:tcBorders>
              <w:top w:val="single" w:color="auto" w:sz="8" w:space="0"/>
              <w:bottom w:val="single" w:color="auto" w:sz="4" w:space="0"/>
            </w:tcBorders>
            <w:shd w:val="clear" w:color="auto" w:fill="auto"/>
            <w:vAlign w:val="center"/>
          </w:tcPr>
          <w:p w14:paraId="4D55D74F">
            <w:pPr>
              <w:tabs>
                <w:tab w:val="left" w:pos="630"/>
              </w:tabs>
              <w:snapToGrid w:val="0"/>
              <w:outlineLvl w:val="0"/>
              <w:rPr>
                <w:rFonts w:ascii="Arial Narrow" w:hAnsi="Arial Narrow" w:eastAsia="仿宋_GB2312" w:cs="Arial"/>
                <w:b/>
                <w:bCs/>
                <w:szCs w:val="21"/>
              </w:rPr>
            </w:pPr>
            <w:r>
              <w:rPr>
                <w:rFonts w:ascii="Arial Narrow" w:hAnsi="Arial Narrow" w:eastAsia="仿宋_GB2312" w:cs="Arial"/>
                <w:b/>
                <w:bCs/>
                <w:szCs w:val="21"/>
              </w:rPr>
              <w:t>关联方</w:t>
            </w:r>
          </w:p>
        </w:tc>
        <w:tc>
          <w:tcPr>
            <w:tcW w:w="2268" w:type="dxa"/>
            <w:tcBorders>
              <w:top w:val="single" w:color="auto" w:sz="8" w:space="0"/>
              <w:bottom w:val="single" w:color="auto" w:sz="4" w:space="0"/>
            </w:tcBorders>
            <w:shd w:val="clear" w:color="auto" w:fill="auto"/>
            <w:vAlign w:val="center"/>
          </w:tcPr>
          <w:p w14:paraId="7131C1F2">
            <w:pPr>
              <w:tabs>
                <w:tab w:val="left" w:pos="630"/>
              </w:tabs>
              <w:snapToGrid w:val="0"/>
              <w:jc w:val="right"/>
              <w:outlineLvl w:val="0"/>
              <w:rPr>
                <w:rFonts w:ascii="Arial Narrow" w:hAnsi="Arial Narrow" w:eastAsia="仿宋_GB2312"/>
                <w:bCs/>
                <w:szCs w:val="21"/>
              </w:rPr>
            </w:pPr>
            <w:r>
              <w:rPr>
                <w:rFonts w:ascii="Arial Narrow" w:hAnsi="Arial Narrow" w:eastAsia="仿宋_GB2312" w:cs="Arial"/>
                <w:b/>
                <w:bCs/>
                <w:szCs w:val="21"/>
              </w:rPr>
              <w:t>期末余额</w:t>
            </w:r>
          </w:p>
        </w:tc>
        <w:tc>
          <w:tcPr>
            <w:tcW w:w="2268" w:type="dxa"/>
            <w:tcBorders>
              <w:top w:val="single" w:color="auto" w:sz="8" w:space="0"/>
              <w:bottom w:val="single" w:color="auto" w:sz="4" w:space="0"/>
            </w:tcBorders>
            <w:shd w:val="clear" w:color="auto" w:fill="auto"/>
            <w:vAlign w:val="center"/>
          </w:tcPr>
          <w:p w14:paraId="1CEA4F5C">
            <w:pPr>
              <w:tabs>
                <w:tab w:val="left" w:pos="630"/>
              </w:tabs>
              <w:snapToGrid w:val="0"/>
              <w:jc w:val="right"/>
              <w:outlineLvl w:val="0"/>
              <w:rPr>
                <w:rFonts w:ascii="Arial Narrow" w:hAnsi="Arial Narrow" w:eastAsia="仿宋_GB2312"/>
                <w:bCs/>
                <w:szCs w:val="21"/>
              </w:rPr>
            </w:pPr>
            <w:r>
              <w:rPr>
                <w:rFonts w:hint="eastAsia" w:ascii="Arial Narrow" w:hAnsi="Arial Narrow" w:eastAsia="仿宋_GB2312" w:cs="Arial"/>
                <w:b/>
                <w:bCs/>
                <w:szCs w:val="21"/>
              </w:rPr>
              <w:t>期初</w:t>
            </w:r>
            <w:r>
              <w:rPr>
                <w:rFonts w:ascii="Arial Narrow" w:hAnsi="Arial Narrow" w:eastAsia="仿宋_GB2312" w:cs="Arial"/>
                <w:b/>
                <w:bCs/>
                <w:szCs w:val="21"/>
              </w:rPr>
              <w:t>余额</w:t>
            </w:r>
          </w:p>
        </w:tc>
      </w:tr>
      <w:tr w14:paraId="68CB8574">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tcBorders>
              <w:top w:val="single" w:color="auto" w:sz="4" w:space="0"/>
            </w:tcBorders>
            <w:shd w:val="clear" w:color="auto" w:fill="auto"/>
            <w:vAlign w:val="center"/>
          </w:tcPr>
          <w:p w14:paraId="07C5AB16">
            <w:pPr>
              <w:tabs>
                <w:tab w:val="left" w:pos="630"/>
              </w:tabs>
              <w:snapToGrid w:val="0"/>
              <w:outlineLvl w:val="0"/>
              <w:rPr>
                <w:rFonts w:ascii="Arial Narrow" w:hAnsi="Arial Narrow" w:eastAsia="仿宋_GB2312" w:cs="宋体"/>
                <w:color w:val="0000FF"/>
                <w:kern w:val="0"/>
                <w:szCs w:val="21"/>
              </w:rPr>
            </w:pPr>
            <w:r>
              <w:rPr>
                <w:rFonts w:ascii="Arial Narrow" w:hAnsi="Arial Narrow" w:eastAsia="仿宋_GB2312" w:cs="宋体"/>
                <w:color w:val="0000FF"/>
                <w:kern w:val="0"/>
                <w:szCs w:val="21"/>
              </w:rPr>
              <w:t>可无限量添加行</w:t>
            </w:r>
          </w:p>
        </w:tc>
        <w:tc>
          <w:tcPr>
            <w:tcW w:w="2268" w:type="dxa"/>
            <w:tcBorders>
              <w:top w:val="single" w:color="auto" w:sz="4" w:space="0"/>
            </w:tcBorders>
            <w:shd w:val="clear" w:color="auto" w:fill="auto"/>
            <w:vAlign w:val="center"/>
          </w:tcPr>
          <w:p w14:paraId="454124E9">
            <w:pPr>
              <w:rPr>
                <w:rFonts w:ascii="Arial Narrow" w:hAnsi="Arial Narrow" w:eastAsia="仿宋_GB2312"/>
              </w:rPr>
            </w:pPr>
          </w:p>
        </w:tc>
        <w:tc>
          <w:tcPr>
            <w:tcW w:w="2268" w:type="dxa"/>
            <w:tcBorders>
              <w:top w:val="single" w:color="auto" w:sz="4" w:space="0"/>
            </w:tcBorders>
            <w:shd w:val="clear" w:color="auto" w:fill="auto"/>
            <w:vAlign w:val="center"/>
          </w:tcPr>
          <w:p w14:paraId="6F31E824">
            <w:pPr>
              <w:jc w:val="right"/>
              <w:rPr>
                <w:rFonts w:ascii="Arial Narrow" w:hAnsi="Arial Narrow" w:eastAsia="仿宋_GB2312"/>
              </w:rPr>
            </w:pPr>
          </w:p>
        </w:tc>
        <w:tc>
          <w:tcPr>
            <w:tcW w:w="2268" w:type="dxa"/>
            <w:tcBorders>
              <w:top w:val="single" w:color="auto" w:sz="4" w:space="0"/>
            </w:tcBorders>
            <w:shd w:val="clear" w:color="auto" w:fill="auto"/>
            <w:vAlign w:val="center"/>
          </w:tcPr>
          <w:p w14:paraId="68A3A3B0">
            <w:pPr>
              <w:jc w:val="right"/>
              <w:rPr>
                <w:rFonts w:ascii="Arial Narrow" w:hAnsi="Arial Narrow" w:eastAsia="仿宋_GB2312"/>
              </w:rPr>
            </w:pPr>
          </w:p>
        </w:tc>
      </w:tr>
      <w:tr w14:paraId="0507A36B">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62CBB045">
            <w:pPr>
              <w:tabs>
                <w:tab w:val="left" w:pos="630"/>
              </w:tabs>
              <w:snapToGrid w:val="0"/>
              <w:outlineLvl w:val="0"/>
              <w:rPr>
                <w:rFonts w:ascii="Arial Narrow" w:hAnsi="Arial Narrow" w:eastAsia="仿宋_GB2312"/>
                <w:bCs/>
                <w:szCs w:val="21"/>
              </w:rPr>
            </w:pPr>
          </w:p>
        </w:tc>
        <w:tc>
          <w:tcPr>
            <w:tcW w:w="2268" w:type="dxa"/>
            <w:shd w:val="clear" w:color="auto" w:fill="auto"/>
            <w:vAlign w:val="center"/>
          </w:tcPr>
          <w:p w14:paraId="3B362DF2">
            <w:pPr>
              <w:rPr>
                <w:rFonts w:ascii="Arial Narrow" w:hAnsi="Arial Narrow" w:eastAsia="仿宋_GB2312"/>
              </w:rPr>
            </w:pPr>
          </w:p>
        </w:tc>
        <w:tc>
          <w:tcPr>
            <w:tcW w:w="2268" w:type="dxa"/>
            <w:shd w:val="clear" w:color="auto" w:fill="auto"/>
            <w:vAlign w:val="center"/>
          </w:tcPr>
          <w:p w14:paraId="288D5F74">
            <w:pPr>
              <w:jc w:val="right"/>
              <w:rPr>
                <w:rFonts w:ascii="Arial Narrow" w:hAnsi="Arial Narrow" w:eastAsia="仿宋_GB2312"/>
              </w:rPr>
            </w:pPr>
          </w:p>
        </w:tc>
        <w:tc>
          <w:tcPr>
            <w:tcW w:w="2268" w:type="dxa"/>
            <w:shd w:val="clear" w:color="auto" w:fill="auto"/>
            <w:vAlign w:val="center"/>
          </w:tcPr>
          <w:p w14:paraId="5293A401">
            <w:pPr>
              <w:jc w:val="right"/>
              <w:rPr>
                <w:rFonts w:ascii="Arial Narrow" w:hAnsi="Arial Narrow" w:eastAsia="仿宋_GB2312"/>
              </w:rPr>
            </w:pPr>
          </w:p>
        </w:tc>
      </w:tr>
      <w:tr w14:paraId="253D5507">
        <w:tblPrEx>
          <w:tblBorders>
            <w:top w:val="single" w:color="auto" w:sz="8"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340" w:hRule="atLeast"/>
          <w:jc w:val="center"/>
        </w:trPr>
        <w:tc>
          <w:tcPr>
            <w:tcW w:w="2268" w:type="dxa"/>
            <w:shd w:val="clear" w:color="auto" w:fill="auto"/>
            <w:vAlign w:val="center"/>
          </w:tcPr>
          <w:p w14:paraId="15D28DCB">
            <w:pPr>
              <w:tabs>
                <w:tab w:val="left" w:pos="630"/>
              </w:tabs>
              <w:snapToGrid w:val="0"/>
              <w:outlineLvl w:val="0"/>
              <w:rPr>
                <w:rFonts w:ascii="Arial Narrow" w:hAnsi="Arial Narrow" w:eastAsia="仿宋_GB2312"/>
                <w:bCs/>
                <w:szCs w:val="21"/>
              </w:rPr>
            </w:pPr>
          </w:p>
        </w:tc>
        <w:tc>
          <w:tcPr>
            <w:tcW w:w="2268" w:type="dxa"/>
            <w:shd w:val="clear" w:color="auto" w:fill="auto"/>
            <w:vAlign w:val="center"/>
          </w:tcPr>
          <w:p w14:paraId="49965B4B">
            <w:pPr>
              <w:rPr>
                <w:rFonts w:ascii="Arial Narrow" w:hAnsi="Arial Narrow" w:eastAsia="仿宋_GB2312"/>
              </w:rPr>
            </w:pPr>
          </w:p>
        </w:tc>
        <w:tc>
          <w:tcPr>
            <w:tcW w:w="2268" w:type="dxa"/>
            <w:shd w:val="clear" w:color="auto" w:fill="auto"/>
            <w:vAlign w:val="center"/>
          </w:tcPr>
          <w:p w14:paraId="28392F14">
            <w:pPr>
              <w:jc w:val="right"/>
              <w:rPr>
                <w:rFonts w:ascii="Arial Narrow" w:hAnsi="Arial Narrow" w:eastAsia="仿宋_GB2312"/>
              </w:rPr>
            </w:pPr>
          </w:p>
        </w:tc>
        <w:tc>
          <w:tcPr>
            <w:tcW w:w="2268" w:type="dxa"/>
            <w:shd w:val="clear" w:color="auto" w:fill="auto"/>
            <w:vAlign w:val="center"/>
          </w:tcPr>
          <w:p w14:paraId="34CFDC25">
            <w:pPr>
              <w:jc w:val="right"/>
              <w:rPr>
                <w:rFonts w:ascii="Arial Narrow" w:hAnsi="Arial Narrow" w:eastAsia="仿宋_GB2312"/>
              </w:rPr>
            </w:pPr>
          </w:p>
        </w:tc>
      </w:tr>
    </w:tbl>
    <w:p w14:paraId="1114E650">
      <w:pPr>
        <w:snapToGrid w:val="0"/>
        <w:spacing w:before="120" w:beforeLines="50" w:after="216" w:afterLines="90"/>
        <w:ind w:left="-2" w:leftChars="-1"/>
        <w:rPr>
          <w:rFonts w:ascii="Arial Narrow" w:hAnsi="Arial Narrow" w:eastAsia="仿宋_GB2312" w:cs="宋体"/>
          <w:color w:val="0000FF"/>
          <w:kern w:val="0"/>
          <w:sz w:val="24"/>
        </w:rPr>
      </w:pPr>
      <w:r>
        <w:rPr>
          <w:rFonts w:ascii="Arial Narrow" w:hAnsi="Arial Narrow" w:eastAsia="仿宋_GB2312" w:cs="宋体"/>
          <w:color w:val="0000FF"/>
          <w:kern w:val="0"/>
          <w:sz w:val="24"/>
        </w:rPr>
        <w:t>注：关联交易约定以净额结算的，应付关联方款项可以抵销后金额填列。</w:t>
      </w:r>
    </w:p>
    <w:p w14:paraId="72B385AD">
      <w:pPr>
        <w:adjustRightInd w:val="0"/>
        <w:snapToGrid w:val="0"/>
        <w:spacing w:before="120" w:beforeLines="50" w:after="216" w:afterLines="90"/>
        <w:jc w:val="left"/>
        <w:rPr>
          <w:rFonts w:ascii="Arial Narrow" w:hAnsi="Arial Narrow" w:eastAsia="仿宋_GB2312"/>
          <w:b/>
          <w:sz w:val="24"/>
        </w:rPr>
      </w:pPr>
    </w:p>
    <w:p w14:paraId="6C1C405F">
      <w:pPr>
        <w:pStyle w:val="2"/>
        <w:spacing w:before="120" w:after="216"/>
      </w:pPr>
      <w:r>
        <w:t>财务报表之批准</w:t>
      </w:r>
    </w:p>
    <w:p w14:paraId="12DE668A">
      <w:pPr>
        <w:adjustRightInd w:val="0"/>
        <w:snapToGrid w:val="0"/>
        <w:spacing w:before="120" w:beforeLines="50" w:after="216" w:afterLines="90"/>
        <w:rPr>
          <w:rFonts w:ascii="Arial Narrow" w:hAnsi="Arial Narrow" w:eastAsia="仿宋_GB2312"/>
          <w:sz w:val="24"/>
        </w:rPr>
      </w:pPr>
      <w:r>
        <w:rPr>
          <w:rFonts w:ascii="Arial Narrow" w:hAnsi="Arial Narrow" w:eastAsia="仿宋_GB2312"/>
          <w:sz w:val="24"/>
        </w:rPr>
        <w:t>本财务报表及财务报表附注业经本公司第××届董事会（总经理办公会/或类似机构）第××次会议于</w:t>
      </w:r>
      <w:r>
        <w:rPr>
          <w:rFonts w:ascii="Arial Narrow" w:hAnsi="Arial Narrow" w:eastAsia="仿宋_GB2312"/>
          <w:color w:val="FF0000"/>
          <w:sz w:val="24"/>
        </w:rPr>
        <w:t>2026</w:t>
      </w:r>
      <w:r>
        <w:rPr>
          <w:rFonts w:hint="eastAsia" w:ascii="Arial Narrow" w:hAnsi="Arial Narrow" w:eastAsia="仿宋_GB2312"/>
          <w:color w:val="FF0000"/>
          <w:sz w:val="24"/>
        </w:rPr>
        <w:t>年</w:t>
      </w:r>
      <w:r>
        <w:rPr>
          <w:rFonts w:ascii="Arial Narrow" w:hAnsi="Arial Narrow" w:eastAsia="仿宋_GB2312"/>
          <w:color w:val="FF0000"/>
          <w:sz w:val="24"/>
        </w:rPr>
        <w:t>×</w:t>
      </w:r>
      <w:r>
        <w:rPr>
          <w:rFonts w:hint="eastAsia" w:ascii="Arial Narrow" w:hAnsi="Arial Narrow" w:eastAsia="仿宋_GB2312"/>
          <w:color w:val="FF0000"/>
          <w:sz w:val="24"/>
        </w:rPr>
        <w:t>月</w:t>
      </w:r>
      <w:r>
        <w:rPr>
          <w:rFonts w:ascii="Arial Narrow" w:hAnsi="Arial Narrow" w:eastAsia="仿宋_GB2312"/>
          <w:color w:val="FF0000"/>
          <w:sz w:val="24"/>
        </w:rPr>
        <w:t>×</w:t>
      </w:r>
      <w:r>
        <w:rPr>
          <w:rFonts w:hint="eastAsia" w:ascii="Arial Narrow" w:hAnsi="Arial Narrow" w:eastAsia="仿宋_GB2312"/>
          <w:color w:val="FF0000"/>
          <w:sz w:val="24"/>
        </w:rPr>
        <w:t>日</w:t>
      </w:r>
      <w:r>
        <w:rPr>
          <w:rFonts w:ascii="Arial Narrow" w:hAnsi="Arial Narrow" w:eastAsia="仿宋_GB2312"/>
          <w:sz w:val="24"/>
        </w:rPr>
        <w:t>批准报出。</w:t>
      </w:r>
    </w:p>
    <w:p w14:paraId="06B903CC">
      <w:pPr>
        <w:adjustRightInd w:val="0"/>
        <w:snapToGrid w:val="0"/>
        <w:spacing w:before="120" w:beforeLines="50" w:after="216" w:afterLines="90"/>
        <w:rPr>
          <w:rFonts w:ascii="Arial Narrow" w:hAnsi="Arial Narrow" w:eastAsia="仿宋_GB2312"/>
          <w:sz w:val="24"/>
        </w:rPr>
      </w:pPr>
    </w:p>
    <w:p w14:paraId="02D35133">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kern w:val="0"/>
          <w:sz w:val="24"/>
        </w:rPr>
        <w:t>××××有限公司</w:t>
      </w:r>
    </w:p>
    <w:p w14:paraId="7FDECBD1">
      <w:pPr>
        <w:adjustRightInd w:val="0"/>
        <w:snapToGrid w:val="0"/>
        <w:spacing w:before="120" w:beforeLines="50" w:after="216" w:afterLines="90"/>
        <w:jc w:val="right"/>
        <w:rPr>
          <w:rFonts w:ascii="Arial Narrow" w:hAnsi="Arial Narrow" w:eastAsia="仿宋_GB2312"/>
          <w:kern w:val="0"/>
          <w:sz w:val="24"/>
        </w:rPr>
      </w:pPr>
      <w:r>
        <w:rPr>
          <w:rFonts w:ascii="Arial Narrow" w:hAnsi="Arial Narrow" w:eastAsia="仿宋_GB2312"/>
          <w:color w:val="FF0000"/>
          <w:kern w:val="0"/>
          <w:sz w:val="24"/>
        </w:rPr>
        <w:t>2026</w:t>
      </w:r>
      <w:r>
        <w:rPr>
          <w:rFonts w:hint="eastAsia" w:ascii="Arial Narrow" w:hAnsi="Arial Narrow" w:eastAsia="仿宋_GB2312"/>
          <w:color w:val="FF0000"/>
          <w:kern w:val="0"/>
          <w:sz w:val="24"/>
        </w:rPr>
        <w:t>年</w:t>
      </w:r>
      <w:r>
        <w:rPr>
          <w:rFonts w:ascii="Arial Narrow" w:hAnsi="Arial Narrow" w:eastAsia="仿宋_GB2312"/>
          <w:color w:val="FF0000"/>
          <w:kern w:val="0"/>
          <w:sz w:val="24"/>
        </w:rPr>
        <w:t>××</w:t>
      </w:r>
      <w:r>
        <w:rPr>
          <w:rFonts w:hint="eastAsia" w:ascii="Arial Narrow" w:hAnsi="Arial Narrow" w:eastAsia="仿宋_GB2312"/>
          <w:color w:val="FF0000"/>
          <w:kern w:val="0"/>
          <w:sz w:val="24"/>
        </w:rPr>
        <w:t>月</w:t>
      </w:r>
      <w:r>
        <w:rPr>
          <w:rFonts w:ascii="Arial Narrow" w:hAnsi="Arial Narrow" w:eastAsia="仿宋_GB2312"/>
          <w:color w:val="FF0000"/>
          <w:kern w:val="0"/>
          <w:sz w:val="24"/>
        </w:rPr>
        <w:t>××</w:t>
      </w:r>
      <w:r>
        <w:rPr>
          <w:rFonts w:hint="eastAsia" w:ascii="Arial Narrow" w:hAnsi="Arial Narrow" w:eastAsia="仿宋_GB2312"/>
          <w:color w:val="FF0000"/>
          <w:kern w:val="0"/>
          <w:sz w:val="24"/>
        </w:rPr>
        <w:t>日</w:t>
      </w:r>
    </w:p>
    <w:p w14:paraId="3E1F516B">
      <w:pPr>
        <w:jc w:val="right"/>
      </w:pPr>
      <w:r>
        <w:rPr>
          <w:rFonts w:ascii="Arial Narrow" w:hAnsi="Arial Narrow" w:eastAsia="仿宋_GB2312"/>
          <w:color w:val="0000FF"/>
          <w:kern w:val="0"/>
          <w:sz w:val="24"/>
        </w:rPr>
        <w:t>（审计报告日）</w:t>
      </w:r>
    </w:p>
    <w:sectPr>
      <w:pgSz w:w="11906" w:h="16838"/>
      <w:pgMar w:top="1843" w:right="1800" w:bottom="1440"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Narrow">
    <w:panose1 w:val="00000000000000000000"/>
    <w:charset w:val="00"/>
    <w:family w:val="swiss"/>
    <w:pitch w:val="default"/>
    <w:sig w:usb0="00000000" w:usb1="00000000" w:usb2="00000000" w:usb3="00000000" w:csb0="0000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rPr>
      <w:id w:val="-1163468737"/>
    </w:sdtPr>
    <w:sdtEndPr>
      <w:rPr>
        <w:rFonts w:ascii="Arial Narrow" w:hAnsi="Arial Narrow"/>
        <w:sz w:val="18"/>
      </w:rPr>
    </w:sdtEndPr>
    <w:sdtContent>
      <w:p w14:paraId="6D150A39">
        <w:pPr>
          <w:pStyle w:val="8"/>
          <w:jc w:val="center"/>
          <w:rPr>
            <w:rFonts w:ascii="Arial Narrow" w:hAnsi="Arial Narrow"/>
          </w:rPr>
        </w:pPr>
        <w:r>
          <w:rPr>
            <w:rFonts w:ascii="Arial Narrow" w:hAnsi="Arial Narrow"/>
          </w:rPr>
          <w:fldChar w:fldCharType="begin"/>
        </w:r>
        <w:r>
          <w:rPr>
            <w:rFonts w:ascii="Arial Narrow" w:hAnsi="Arial Narrow"/>
          </w:rPr>
          <w:instrText xml:space="preserve">PAGE   \* MERGEFORMAT</w:instrText>
        </w:r>
        <w:r>
          <w:rPr>
            <w:rFonts w:ascii="Arial Narrow" w:hAnsi="Arial Narrow"/>
          </w:rPr>
          <w:fldChar w:fldCharType="separate"/>
        </w:r>
        <w:r>
          <w:rPr>
            <w:rFonts w:ascii="Arial Narrow" w:hAnsi="Arial Narrow"/>
            <w:lang w:val="zh-CN"/>
          </w:rPr>
          <w:t>37</w:t>
        </w:r>
        <w:r>
          <w:rPr>
            <w:rFonts w:ascii="Arial Narrow" w:hAnsi="Arial Narrow"/>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A68FD3">
    <w:pPr>
      <w:pStyle w:val="8"/>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70E88CD5">
    <w:pPr>
      <w:pStyle w:val="8"/>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73C1A">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04B43">
    <w:pPr>
      <w:pStyle w:val="9"/>
      <w:pBdr>
        <w:bottom w:val="single" w:color="auto" w:sz="6" w:space="2"/>
      </w:pBdr>
      <w:ind w:left="-414" w:leftChars="-200" w:hanging="6"/>
      <w:jc w:val="both"/>
      <w:rPr>
        <w:rFonts w:hint="eastAsia" w:ascii="仿宋_GB2312" w:hAnsi="宋体" w:eastAsia="仿宋_GB2312"/>
        <w:iCs/>
        <w:sz w:val="24"/>
      </w:rPr>
    </w:pPr>
    <w:r>
      <w:rPr>
        <w:rFonts w:hint="eastAsia" w:ascii="仿宋_GB2312" w:hAnsi="宋体" w:eastAsia="仿宋_GB2312"/>
        <w:iCs/>
        <w:sz w:val="24"/>
      </w:rPr>
      <w:t>XXXXXXXXXXX有限公司</w:t>
    </w:r>
  </w:p>
  <w:p w14:paraId="00F41F83">
    <w:pPr>
      <w:pStyle w:val="9"/>
      <w:pBdr>
        <w:bottom w:val="single" w:color="auto" w:sz="6" w:space="2"/>
      </w:pBdr>
      <w:ind w:left="-414" w:leftChars="-200" w:hanging="6"/>
      <w:jc w:val="both"/>
      <w:rPr>
        <w:rFonts w:hint="eastAsia" w:ascii="仿宋_GB2312" w:hAnsi="宋体" w:eastAsia="仿宋_GB2312"/>
        <w:iCs/>
        <w:sz w:val="24"/>
      </w:rPr>
    </w:pPr>
    <w:r>
      <w:rPr>
        <w:rFonts w:hint="eastAsia" w:ascii="仿宋_GB2312" w:hAnsi="宋体" w:eastAsia="仿宋_GB2312"/>
        <w:iCs/>
        <w:sz w:val="24"/>
      </w:rPr>
      <w:t>财务报表附注</w:t>
    </w:r>
  </w:p>
  <w:p w14:paraId="306993B9">
    <w:pPr>
      <w:pStyle w:val="9"/>
      <w:pBdr>
        <w:bottom w:val="single" w:color="auto" w:sz="6" w:space="2"/>
      </w:pBdr>
      <w:ind w:left="-414" w:leftChars="-200" w:hanging="6"/>
      <w:jc w:val="both"/>
      <w:rPr>
        <w:szCs w:val="24"/>
      </w:rPr>
    </w:pPr>
    <w:r>
      <w:rPr>
        <w:rFonts w:ascii="Arial Narrow" w:hAnsi="Arial Narrow" w:eastAsia="仿宋_GB2312" w:cs="Arial"/>
        <w:snapToGrid w:val="0"/>
        <w:sz w:val="24"/>
        <w:szCs w:val="24"/>
      </w:rPr>
      <w:t>2025</w:t>
    </w:r>
    <w:r>
      <w:rPr>
        <w:rFonts w:hint="eastAsia" w:ascii="仿宋_GB2312" w:hAnsi="宋体" w:eastAsia="仿宋_GB2312"/>
        <w:snapToGrid w:val="0"/>
        <w:sz w:val="24"/>
        <w:szCs w:val="24"/>
      </w:rPr>
      <w:t>年度（除特别注明外，金额单位为人民币元</w:t>
    </w:r>
    <w:r>
      <w:rPr>
        <w:rFonts w:hint="eastAsia" w:ascii="仿宋_GB2312" w:hAnsi="宋体" w:eastAsia="仿宋_GB2312"/>
        <w:iCs/>
        <w:sz w:val="24"/>
        <w:szCs w:val="24"/>
      </w:rPr>
      <w: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D9F79">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FE336">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516CAA"/>
    <w:multiLevelType w:val="multilevel"/>
    <w:tmpl w:val="0E516C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26E1423F"/>
    <w:multiLevelType w:val="multilevel"/>
    <w:tmpl w:val="26E1423F"/>
    <w:lvl w:ilvl="0" w:tentative="0">
      <w:start w:val="1"/>
      <w:numFmt w:val="decimal"/>
      <w:lvlText w:val="%1"/>
      <w:lvlJc w:val="left"/>
      <w:pPr>
        <w:ind w:left="425" w:hanging="425"/>
      </w:pPr>
      <w:rPr>
        <w:rFonts w:hint="eastAsia"/>
      </w:rPr>
    </w:lvl>
    <w:lvl w:ilvl="1" w:tentative="0">
      <w:start w:val="1"/>
      <w:numFmt w:val="japaneseCounting"/>
      <w:pStyle w:val="3"/>
      <w:suff w:val="nothing"/>
      <w:lvlText w:val="（%2）"/>
      <w:lvlJc w:val="left"/>
      <w:pPr>
        <w:ind w:left="0" w:hanging="420"/>
      </w:pPr>
      <w:rPr>
        <w:rFonts w:hint="default" w:ascii="Arial Narrow" w:hAnsi="Arial Narrow" w:eastAsia="仿宋_GB2312"/>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60B83A37"/>
    <w:multiLevelType w:val="multilevel"/>
    <w:tmpl w:val="60B83A37"/>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pStyle w:val="5"/>
      <w:suff w:val="nothing"/>
      <w:lvlText w:val="（%4）"/>
      <w:lvlJc w:val="left"/>
      <w:pPr>
        <w:ind w:left="0" w:hanging="420"/>
      </w:pPr>
      <w:rPr>
        <w:rFonts w:hint="default" w:ascii="Arial Narrow" w:hAnsi="Arial Narrow" w:eastAsia="仿宋_GB2312"/>
        <w:color w:val="auto"/>
        <w:lang w:val="en-US"/>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72D06640"/>
    <w:multiLevelType w:val="multilevel"/>
    <w:tmpl w:val="72D06640"/>
    <w:lvl w:ilvl="0" w:tentative="0">
      <w:start w:val="1"/>
      <w:numFmt w:val="japaneseCounting"/>
      <w:pStyle w:val="2"/>
      <w:suff w:val="nothing"/>
      <w:lvlText w:val="%1、"/>
      <w:lvlJc w:val="left"/>
      <w:pPr>
        <w:ind w:left="0" w:hanging="420"/>
      </w:pPr>
      <w:rPr>
        <w:rFonts w:hint="default" w:ascii="Arial Narrow" w:hAnsi="Arial Narrow" w:eastAsia="仿宋_GB2312"/>
        <w:b/>
        <w:i w:val="0"/>
      </w:rPr>
    </w:lvl>
    <w:lvl w:ilvl="1" w:tentative="0">
      <w:start w:val="1"/>
      <w:numFmt w:val="decimal"/>
      <w:lvlText w:val="%1.%2"/>
      <w:lvlJc w:val="left"/>
      <w:pPr>
        <w:ind w:left="0" w:hanging="420"/>
      </w:pPr>
      <w:rPr>
        <w:rFonts w:hint="eastAsia"/>
      </w:rPr>
    </w:lvl>
    <w:lvl w:ilvl="2" w:tentative="0">
      <w:start w:val="1"/>
      <w:numFmt w:val="decimal"/>
      <w:lvlText w:val="%1.%2.%3"/>
      <w:lvlJc w:val="left"/>
      <w:pPr>
        <w:ind w:left="0" w:hanging="420"/>
      </w:pPr>
      <w:rPr>
        <w:rFonts w:hint="eastAsia"/>
      </w:rPr>
    </w:lvl>
    <w:lvl w:ilvl="3" w:tentative="0">
      <w:start w:val="1"/>
      <w:numFmt w:val="decimal"/>
      <w:lvlText w:val="%1.%2.%3.%4"/>
      <w:lvlJc w:val="left"/>
      <w:pPr>
        <w:ind w:left="0" w:hanging="420"/>
      </w:pPr>
      <w:rPr>
        <w:rFonts w:hint="eastAsia"/>
      </w:rPr>
    </w:lvl>
    <w:lvl w:ilvl="4" w:tentative="0">
      <w:start w:val="1"/>
      <w:numFmt w:val="decimal"/>
      <w:lvlText w:val="%1.%2.%3.%4.%5"/>
      <w:lvlJc w:val="left"/>
      <w:pPr>
        <w:ind w:left="0" w:hanging="420"/>
      </w:pPr>
      <w:rPr>
        <w:rFonts w:hint="eastAsia"/>
      </w:rPr>
    </w:lvl>
    <w:lvl w:ilvl="5" w:tentative="0">
      <w:start w:val="1"/>
      <w:numFmt w:val="decimal"/>
      <w:lvlText w:val="%1.%2.%3.%4.%5.%6"/>
      <w:lvlJc w:val="left"/>
      <w:pPr>
        <w:ind w:left="0" w:hanging="420"/>
      </w:pPr>
      <w:rPr>
        <w:rFonts w:hint="eastAsia"/>
      </w:rPr>
    </w:lvl>
    <w:lvl w:ilvl="6" w:tentative="0">
      <w:start w:val="1"/>
      <w:numFmt w:val="decimal"/>
      <w:lvlText w:val="%1.%2.%3.%4.%5.%6.%7"/>
      <w:lvlJc w:val="left"/>
      <w:pPr>
        <w:ind w:left="0" w:hanging="420"/>
      </w:pPr>
      <w:rPr>
        <w:rFonts w:hint="eastAsia"/>
      </w:rPr>
    </w:lvl>
    <w:lvl w:ilvl="7" w:tentative="0">
      <w:start w:val="1"/>
      <w:numFmt w:val="decimal"/>
      <w:lvlText w:val="%1.%2.%3.%4.%5.%6.%7.%8"/>
      <w:lvlJc w:val="left"/>
      <w:pPr>
        <w:ind w:left="0" w:hanging="420"/>
      </w:pPr>
      <w:rPr>
        <w:rFonts w:hint="eastAsia"/>
      </w:rPr>
    </w:lvl>
    <w:lvl w:ilvl="8" w:tentative="0">
      <w:start w:val="1"/>
      <w:numFmt w:val="decimal"/>
      <w:lvlText w:val="%1.%2.%3.%4.%5.%6.%7.%8.%9"/>
      <w:lvlJc w:val="left"/>
      <w:pPr>
        <w:ind w:left="0" w:hanging="420"/>
      </w:pPr>
      <w:rPr>
        <w:rFonts w:hint="eastAsia"/>
      </w:rPr>
    </w:lvl>
  </w:abstractNum>
  <w:abstractNum w:abstractNumId="4">
    <w:nsid w:val="7B525DE4"/>
    <w:multiLevelType w:val="multilevel"/>
    <w:tmpl w:val="7B525DE4"/>
    <w:lvl w:ilvl="0" w:tentative="0">
      <w:start w:val="1"/>
      <w:numFmt w:val="decimal"/>
      <w:lvlText w:val="%1"/>
      <w:lvlJc w:val="left"/>
      <w:pPr>
        <w:ind w:left="425" w:hanging="425"/>
      </w:pPr>
      <w:rPr>
        <w:rFonts w:hint="eastAsia"/>
      </w:rPr>
    </w:lvl>
    <w:lvl w:ilvl="1" w:tentative="0">
      <w:start w:val="1"/>
      <w:numFmt w:val="decimal"/>
      <w:lvlText w:val="%1.%2"/>
      <w:lvlJc w:val="left"/>
      <w:pPr>
        <w:ind w:left="992" w:hanging="567"/>
      </w:pPr>
      <w:rPr>
        <w:rFonts w:hint="eastAsia"/>
      </w:rPr>
    </w:lvl>
    <w:lvl w:ilvl="2" w:tentative="0">
      <w:start w:val="1"/>
      <w:numFmt w:val="decimal"/>
      <w:pStyle w:val="4"/>
      <w:suff w:val="nothing"/>
      <w:lvlText w:val="%3、"/>
      <w:lvlJc w:val="left"/>
      <w:pPr>
        <w:ind w:left="2264" w:hanging="420"/>
      </w:pPr>
      <w:rPr>
        <w:rFonts w:hint="default" w:ascii="Arial Narrow" w:hAnsi="Arial Narrow" w:eastAsia="仿宋_GB2312"/>
        <w:color w:val="auto"/>
        <w:sz w:val="24"/>
        <w:szCs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3"/>
  </w:num>
  <w:num w:numId="2">
    <w:abstractNumId w:val="1"/>
  </w:num>
  <w:num w:numId="3">
    <w:abstractNumId w:val="4"/>
  </w:num>
  <w:num w:numId="4">
    <w:abstractNumId w:val="2"/>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746242C"/>
    <w:rsid w:val="1746242C"/>
    <w:rsid w:val="44B301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widowControl/>
      <w:numPr>
        <w:ilvl w:val="0"/>
        <w:numId w:val="1"/>
      </w:numPr>
      <w:snapToGrid w:val="0"/>
      <w:spacing w:before="50" w:beforeLines="50" w:after="90" w:afterLines="90"/>
      <w:outlineLvl w:val="0"/>
    </w:pPr>
    <w:rPr>
      <w:rFonts w:ascii="Arial Narrow" w:hAnsi="Arial Narrow" w:eastAsia="仿宋_GB2312"/>
      <w:b/>
      <w:sz w:val="24"/>
    </w:rPr>
  </w:style>
  <w:style w:type="paragraph" w:styleId="3">
    <w:name w:val="heading 2"/>
    <w:basedOn w:val="1"/>
    <w:next w:val="1"/>
    <w:qFormat/>
    <w:uiPriority w:val="0"/>
    <w:pPr>
      <w:keepNext/>
      <w:widowControl/>
      <w:numPr>
        <w:ilvl w:val="1"/>
        <w:numId w:val="2"/>
      </w:numPr>
      <w:spacing w:before="50" w:beforeLines="50" w:after="90" w:afterLines="90"/>
      <w:jc w:val="left"/>
      <w:outlineLvl w:val="1"/>
    </w:pPr>
    <w:rPr>
      <w:rFonts w:ascii="Arial Narrow" w:hAnsi="Arial Narrow" w:eastAsia="仿宋_GB2312"/>
      <w:sz w:val="24"/>
    </w:rPr>
  </w:style>
  <w:style w:type="paragraph" w:styleId="4">
    <w:name w:val="heading 3"/>
    <w:basedOn w:val="1"/>
    <w:next w:val="1"/>
    <w:qFormat/>
    <w:uiPriority w:val="0"/>
    <w:pPr>
      <w:keepNext/>
      <w:widowControl/>
      <w:numPr>
        <w:ilvl w:val="2"/>
        <w:numId w:val="3"/>
      </w:numPr>
      <w:spacing w:before="50" w:beforeLines="50" w:after="90" w:afterLines="90"/>
      <w:ind w:left="0"/>
      <w:jc w:val="left"/>
      <w:outlineLvl w:val="2"/>
    </w:pPr>
    <w:rPr>
      <w:rFonts w:ascii="Arial Narrow" w:hAnsi="Arial Narrow" w:eastAsia="仿宋_GB2312"/>
      <w:sz w:val="24"/>
    </w:rPr>
  </w:style>
  <w:style w:type="paragraph" w:styleId="5">
    <w:name w:val="heading 4"/>
    <w:basedOn w:val="1"/>
    <w:next w:val="1"/>
    <w:unhideWhenUsed/>
    <w:qFormat/>
    <w:uiPriority w:val="0"/>
    <w:pPr>
      <w:keepNext/>
      <w:widowControl/>
      <w:numPr>
        <w:ilvl w:val="3"/>
        <w:numId w:val="4"/>
      </w:numPr>
      <w:snapToGrid w:val="0"/>
      <w:spacing w:before="120" w:beforeLines="50" w:after="216" w:afterLines="90"/>
      <w:outlineLvl w:val="3"/>
    </w:pPr>
    <w:rPr>
      <w:rFonts w:ascii="Arial Narrow" w:hAnsi="Arial Narrow" w:eastAsia="仿宋_GB2312"/>
      <w:sz w:val="24"/>
    </w:rPr>
  </w:style>
  <w:style w:type="character" w:default="1" w:styleId="13">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6">
    <w:name w:val="Body Text"/>
    <w:basedOn w:val="1"/>
    <w:qFormat/>
    <w:uiPriority w:val="0"/>
    <w:rPr>
      <w:rFonts w:ascii="宋体" w:hAnsi="宋体"/>
      <w:sz w:val="24"/>
    </w:rPr>
  </w:style>
  <w:style w:type="paragraph" w:styleId="7">
    <w:name w:val="Body Text Indent"/>
    <w:basedOn w:val="1"/>
    <w:qFormat/>
    <w:uiPriority w:val="0"/>
    <w:pPr>
      <w:widowControl/>
      <w:spacing w:line="620" w:lineRule="exact"/>
      <w:ind w:firstLine="560" w:firstLineChars="200"/>
      <w:jc w:val="left"/>
    </w:pPr>
    <w:rPr>
      <w:rFonts w:ascii="仿宋_GB2312" w:hAnsi="宋体" w:eastAsia="仿宋_GB2312"/>
      <w:color w:val="FF0000"/>
      <w:kern w:val="0"/>
      <w:sz w:val="28"/>
      <w:szCs w:val="27"/>
    </w:r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Indent 3"/>
    <w:basedOn w:val="1"/>
    <w:qFormat/>
    <w:uiPriority w:val="0"/>
    <w:pPr>
      <w:widowControl/>
      <w:spacing w:before="100" w:beforeAutospacing="1" w:after="100" w:afterAutospacing="1" w:line="330" w:lineRule="atLeast"/>
      <w:ind w:firstLine="570"/>
      <w:jc w:val="left"/>
    </w:pPr>
    <w:rPr>
      <w:rFonts w:ascii="宋体" w:hAnsi="宋体"/>
      <w:color w:val="000000"/>
      <w:kern w:val="0"/>
      <w:sz w:val="28"/>
      <w:szCs w:val="27"/>
    </w:rPr>
  </w:style>
  <w:style w:type="paragraph" w:styleId="11">
    <w:name w:val="Normal (Web)"/>
    <w:basedOn w:val="1"/>
    <w:qFormat/>
    <w:uiPriority w:val="0"/>
    <w:pPr>
      <w:widowControl/>
      <w:spacing w:before="100" w:beforeAutospacing="1" w:after="100" w:afterAutospacing="1"/>
      <w:jc w:val="left"/>
    </w:pPr>
    <w:rPr>
      <w:rFonts w:ascii="宋体" w:hAnsi="宋体"/>
      <w:color w:val="000000"/>
      <w:kern w:val="0"/>
      <w:sz w:val="24"/>
    </w:rPr>
  </w:style>
  <w:style w:type="character" w:styleId="14">
    <w:name w:val="page number"/>
    <w:basedOn w:val="13"/>
    <w:qFormat/>
    <w:uiPriority w:val="0"/>
  </w:style>
  <w:style w:type="paragraph" w:styleId="15">
    <w:name w:val="List Paragraph"/>
    <w:basedOn w:val="1"/>
    <w:qFormat/>
    <w:uiPriority w:val="34"/>
    <w:pPr>
      <w:ind w:firstLine="420" w:firstLineChars="200"/>
    </w:pPr>
    <w:rPr>
      <w:szCs w:val="20"/>
    </w:rPr>
  </w:style>
  <w:style w:type="paragraph" w:customStyle="1" w:styleId="16">
    <w:name w:val="附注－正文"/>
    <w:basedOn w:val="7"/>
    <w:qFormat/>
    <w:uiPriority w:val="0"/>
    <w:pPr>
      <w:widowControl w:val="0"/>
      <w:adjustRightInd w:val="0"/>
      <w:snapToGrid w:val="0"/>
      <w:spacing w:afterLines="50" w:line="360" w:lineRule="auto"/>
      <w:ind w:firstLine="200"/>
      <w:jc w:val="both"/>
    </w:pPr>
    <w:rPr>
      <w:rFonts w:ascii="Times New Roman" w:hAnsi="Times New Roman" w:eastAsia="宋体"/>
      <w:color w:val="auto"/>
      <w:kern w:val="2"/>
      <w:sz w:val="21"/>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25371</Words>
  <Characters>25701</Characters>
  <Lines>0</Lines>
  <Paragraphs>0</Paragraphs>
  <TotalTime>0</TotalTime>
  <ScaleCrop>false</ScaleCrop>
  <LinksUpToDate>false</LinksUpToDate>
  <CharactersWithSpaces>25912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2026-01-11T10:33:00Z</dcterms:created>
  <dc:creator>杨志</dc:creator>
  <cp:lastModifiedBy>杨志</cp:lastModifiedBy>
  <dcterms:modified xsi:type="dcterms:W3CDTF">2026-01-11T13:04:41Z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843E6049C85D41DDAA30A4E09A086954_11</vt:lpwstr>
  </property>
  <property fmtid="{D5CDD505-2E9C-101B-9397-08002B2CF9AE}" pid="4" name="KSOTemplateDocerSaveRecord">
    <vt:lpwstr>eyJoZGlkIjoiNjBhNWU2ZGJkYmQ4ZDFlMGY5ODlmMGJjNWNhN2RlZGQiLCJ1c2VySWQiOiIyODQxMDQ1MDYifQ==</vt:lpwstr>
  </property>
</Properties>
</file>