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仿宋_GB2312" w:hAnsi="仿宋_GB2312" w:eastAsia="仿宋_GB2312"/>
          <w:b/>
          <w:sz w:val="32"/>
        </w:rPr>
        <w:t>财务报表附注</w:t>
      </w:r>
    </w:p>
    <w:p>
      <w:pPr>
        <w:jc w:val="center"/>
      </w:pPr>
      <w:r>
        <w:rPr>
          <w:rFonts w:ascii="仿宋_GB2312" w:hAnsi="仿宋_GB2312" w:eastAsia="仿宋_GB2312"/>
          <w:b w:val="0"/>
          <w:sz w:val="28"/>
        </w:rPr>
        <w:t>（2025年度）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808080"/>
        </w:rPr>
        <w:t>目录将在打开文档时自动更新</w:t>
      </w:r>
      <w:r>
        <w:fldChar w:fldCharType="end"/>
      </w:r>
    </w:p>
    <w:p>
      <w:r>
        <w:br w:type="page"/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一、货币资金</w:t>
      </w:r>
      <w:bookmarkStart w:id="10733" w:name="note_section_五、1"/>
      <w:bookmarkEnd w:id="10733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二、在建工程</w:t>
      </w:r>
      <w:bookmarkStart w:id="47579" w:name="note_section_五、10"/>
      <w:bookmarkEnd w:id="47579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三、使用权资产</w:t>
      </w:r>
      <w:bookmarkStart w:id="77120" w:name="note_section_五、11"/>
      <w:bookmarkEnd w:id="77120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四、无形资产</w:t>
      </w:r>
      <w:bookmarkStart w:id="86292" w:name="note_section_五、12"/>
      <w:bookmarkEnd w:id="86292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五、商誉</w:t>
      </w:r>
      <w:bookmarkStart w:id="60124" w:name="note_section_五、13"/>
      <w:bookmarkEnd w:id="60124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六、长期待摊费用</w:t>
      </w:r>
      <w:bookmarkStart w:id="14574" w:name="note_section_五、14"/>
      <w:bookmarkEnd w:id="14574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七、递延所得税资产/负债</w:t>
      </w:r>
      <w:bookmarkStart w:id="70589" w:name="note_section_五、15"/>
      <w:bookmarkEnd w:id="70589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八、短期借款</w:t>
      </w:r>
      <w:bookmarkStart w:id="19030" w:name="note_section_五、16"/>
      <w:bookmarkEnd w:id="19030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九、应付账款</w:t>
      </w:r>
      <w:bookmarkStart w:id="69212" w:name="note_section_五、17"/>
      <w:bookmarkEnd w:id="69212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十、预收款项/合同负债</w:t>
      </w:r>
      <w:bookmarkStart w:id="17554" w:name="note_section_五、18"/>
      <w:bookmarkEnd w:id="17554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十一、应付职工薪酬</w:t>
      </w:r>
      <w:bookmarkStart w:id="41615" w:name="note_section_五、19"/>
      <w:bookmarkEnd w:id="41615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十二、应收票据</w:t>
      </w:r>
      <w:bookmarkStart w:id="44029" w:name="note_section_五、2"/>
      <w:bookmarkEnd w:id="44029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十三、应交税费</w:t>
      </w:r>
      <w:bookmarkStart w:id="80156" w:name="note_section_五、20"/>
      <w:bookmarkEnd w:id="80156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十四、其他应付款</w:t>
      </w:r>
      <w:bookmarkStart w:id="80210" w:name="note_section_五、21"/>
      <w:bookmarkEnd w:id="80210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十五、长期借款</w:t>
      </w:r>
      <w:bookmarkStart w:id="39286" w:name="note_section_五、22"/>
      <w:bookmarkEnd w:id="39286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十六、租赁负债</w:t>
      </w:r>
      <w:bookmarkStart w:id="23860" w:name="note_section_五、23"/>
      <w:bookmarkEnd w:id="23860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十七、实收资本</w:t>
      </w:r>
      <w:bookmarkStart w:id="50192" w:name="note_section_五、24"/>
      <w:bookmarkEnd w:id="50192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十八、资本公积</w:t>
      </w:r>
      <w:bookmarkStart w:id="22319" w:name="note_section_五、25"/>
      <w:bookmarkEnd w:id="22319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十九、其他综合收益</w:t>
      </w:r>
      <w:bookmarkStart w:id="81009" w:name="note_section_五、26"/>
      <w:bookmarkEnd w:id="81009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二十、盈余公积</w:t>
      </w:r>
      <w:bookmarkStart w:id="4727" w:name="note_section_五、27"/>
      <w:bookmarkEnd w:id="4727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二十一、未分配利润</w:t>
      </w:r>
      <w:bookmarkStart w:id="61085" w:name="note_section_五、28"/>
      <w:bookmarkEnd w:id="61085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二十二、营业收入/营业成本</w:t>
      </w:r>
      <w:bookmarkStart w:id="13507" w:name="note_section_五、29"/>
      <w:bookmarkEnd w:id="13507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二十三、应收账款</w:t>
      </w:r>
      <w:bookmarkStart w:id="68157" w:name="note_section_五、3"/>
      <w:bookmarkEnd w:id="68157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二十四、税金及附加</w:t>
      </w:r>
      <w:bookmarkStart w:id="10555" w:name="note_section_五、30"/>
      <w:bookmarkEnd w:id="10555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二十五、销售费用</w:t>
      </w:r>
      <w:bookmarkStart w:id="2644" w:name="note_section_五、31"/>
      <w:bookmarkEnd w:id="2644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二十六、管理费用</w:t>
      </w:r>
      <w:bookmarkStart w:id="54913" w:name="note_section_五、32"/>
      <w:bookmarkEnd w:id="54913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二十七、财务费用</w:t>
      </w:r>
      <w:bookmarkStart w:id="25529" w:name="note_section_五、33"/>
      <w:bookmarkEnd w:id="25529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二十八、研发费用</w:t>
      </w:r>
      <w:bookmarkStart w:id="71369" w:name="note_section_五、34"/>
      <w:bookmarkEnd w:id="71369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二十九、所得税费用</w:t>
      </w:r>
      <w:bookmarkStart w:id="62778" w:name="note_section_五、35"/>
      <w:bookmarkEnd w:id="62778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三十、关联方关系及交易</w:t>
      </w:r>
      <w:bookmarkStart w:id="95403" w:name="note_section_五、36"/>
      <w:bookmarkEnd w:id="95403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本公司的关联方关系及交易情况如下：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31、或有事项</w:t>
      </w:r>
      <w:bookmarkStart w:id="12478" w:name="note_section_五、37"/>
      <w:bookmarkEnd w:id="12478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截至资产负债表日，本公司存在以下或有事项：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32、承诺事项</w:t>
      </w:r>
      <w:bookmarkStart w:id="42424" w:name="note_section_五、38"/>
      <w:bookmarkEnd w:id="42424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截至资产负债表日，本公司存在以下承诺事项：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33、资产负债表日后事项</w:t>
      </w:r>
      <w:bookmarkStart w:id="87159" w:name="note_section_五、39"/>
      <w:bookmarkEnd w:id="87159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自资产负债表日至审计报告日之间，发生以下事项：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34、预付款项</w:t>
      </w:r>
      <w:bookmarkStart w:id="62172" w:name="note_section_五、4"/>
      <w:bookmarkEnd w:id="62172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35、国有资本经营相关信息</w:t>
      </w:r>
      <w:bookmarkStart w:id="88286" w:name="note_section_五、40"/>
      <w:bookmarkEnd w:id="88286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本公司国有资本经营相关信息如下：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36、其他应收款</w:t>
      </w:r>
      <w:bookmarkStart w:id="54750" w:name="note_section_五、5"/>
      <w:bookmarkEnd w:id="54750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37、存货</w:t>
      </w:r>
      <w:bookmarkStart w:id="48618" w:name="note_section_五、6"/>
      <w:bookmarkEnd w:id="48618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38、长期股权投资</w:t>
      </w:r>
      <w:bookmarkStart w:id="24821" w:name="note_section_五、7"/>
      <w:bookmarkEnd w:id="24821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39、投资性房地产</w:t>
      </w:r>
      <w:bookmarkStart w:id="18727" w:name="note_section_五、8"/>
      <w:bookmarkEnd w:id="18727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p>
      <w:pPr>
        <w:spacing w:before="120" w:after="240" w:line="240" w:lineRule="auto"/>
      </w:pPr>
      <w:r>
        <w:rPr>
          <w:rFonts w:ascii="仿宋_GB2312" w:hAnsi="仿宋_GB2312" w:eastAsia="仿宋_GB2312"/>
          <w:b/>
          <w:sz w:val="24"/>
        </w:rPr>
        <w:t>40、固定资产</w:t>
      </w:r>
      <w:bookmarkStart w:id="94998" w:name="note_section_五、9"/>
      <w:bookmarkEnd w:id="94998"/>
    </w:p>
    <w:p>
      <w:pPr>
        <w:spacing w:before="0" w:after="240" w:line="240" w:lineRule="auto"/>
      </w:pPr>
      <w:r>
        <w:rPr>
          <w:rFonts w:ascii="仿宋_GB2312" w:hAnsi="仿宋_GB2312" w:eastAsia="仿宋_GB2312"/>
          <w:b w:val="0"/>
          <w:sz w:val="24"/>
        </w:rPr>
        <w:t>本期无此项业务。</w:t>
      </w:r>
    </w:p>
    <w:sectPr w:rsidR="00FC693F" w:rsidRPr="0006063C" w:rsidSect="00034616">
      <w:footerReference w:type="default" r:id="rId9"/>
      <w:pgSz w:w="11906" w:h="16838"/>
      <w:pgMar w:top="1814" w:right="1803" w:bottom="1440" w:left="1701" w:header="737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_GB2312" w:hAnsi="仿宋_GB2312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仿宋_GB2312" w:hAnsi="仿宋_GB2312"/>
        <w:sz w:val="18"/>
      </w:rPr>
      <w:t xml:space="preserve"> 页 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仿宋_GB2312" w:hAnsi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