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727"/>
        <w:gridCol w:w="3796"/>
        <w:gridCol w:w="732"/>
        <w:gridCol w:w="747"/>
        <w:gridCol w:w="3750"/>
      </w:tblGrid>
      <w:tr>
        <w:trPr>
          <w:trHeight w:val="570" w:hRule="atLeast"/>
        </w:trPr>
        <w:tc>
          <w:tcPr>
            <w:tcW w:w="736" w:type="dxa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>
            <w:pPr>
              <w:pStyle w:val="5"/>
              <w:spacing w:line="360" w:lineRule="auto"/>
              <w:rPr>
                <w:rFonts w:hint="eastAsia" w:ascii="Malgun Gothic" w:hAnsi="Malgun Gothic" w:eastAsia="Malgun Gothic"/>
                <w:sz w:val="15"/>
                <w:szCs w:val="16"/>
              </w:rPr>
            </w:pPr>
            <w:r>
              <w:drawing>
                <wp:inline distT="0" distB="0" distL="114300" distR="114300">
                  <wp:extent cx="318135" cy="203835"/>
                  <wp:effectExtent l="0" t="0" r="12065" b="2476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" cy="203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>
            <w:pPr>
              <w:pStyle w:val="5"/>
              <w:spacing w:line="360" w:lineRule="auto"/>
              <w:rPr>
                <w:rFonts w:hint="eastAsia" w:ascii="Malgun Gothic" w:hAnsi="Malgun Gothic" w:eastAsia="Malgun Gothic"/>
                <w:sz w:val="15"/>
                <w:szCs w:val="16"/>
              </w:rPr>
            </w:pPr>
            <w:r>
              <w:drawing>
                <wp:inline distT="0" distB="0" distL="114300" distR="114300">
                  <wp:extent cx="330200" cy="212090"/>
                  <wp:effectExtent l="0" t="0" r="0" b="165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1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6" w:type="dxa"/>
            <w:tcBorders>
              <w:top w:val="nil"/>
              <w:left w:val="single" w:color="auto" w:sz="24" w:space="0"/>
              <w:bottom w:val="nil"/>
              <w:right w:val="single" w:color="auto" w:sz="24" w:space="0"/>
            </w:tcBorders>
          </w:tcPr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Name: Sea&amp;Mew Consulting GmbH</w:t>
            </w:r>
          </w:p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Address: Mittenhuber Straße 4, 92318 Neumarkt</w:t>
            </w:r>
          </w:p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Contact Person: Yuan Li</w:t>
            </w:r>
          </w:p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Tel: +4915224685061</w:t>
            </w:r>
          </w:p>
          <w:p>
            <w:pPr>
              <w:pStyle w:val="5"/>
              <w:spacing w:line="120" w:lineRule="exact"/>
              <w:rPr>
                <w:rFonts w:hint="eastAsia"/>
                <w:sz w:val="15"/>
                <w:szCs w:val="16"/>
              </w:rPr>
            </w:pPr>
            <w:r>
              <w:rPr>
                <w:sz w:val="13"/>
                <w:szCs w:val="15"/>
              </w:rPr>
              <w:t>Email: Compliance.EU@outlook.com</w:t>
            </w:r>
          </w:p>
        </w:tc>
        <w:tc>
          <w:tcPr>
            <w:tcW w:w="732" w:type="dxa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>
            <w:pPr>
              <w:pStyle w:val="5"/>
              <w:spacing w:line="480" w:lineRule="auto"/>
              <w:rPr>
                <w:rFonts w:hint="eastAsia" w:ascii="Malgun Gothic" w:hAnsi="Malgun Gothic" w:eastAsia="Malgun Gothic"/>
                <w:sz w:val="15"/>
                <w:szCs w:val="16"/>
              </w:rPr>
            </w:pPr>
            <w:r>
              <w:drawing>
                <wp:inline distT="0" distB="0" distL="114300" distR="114300">
                  <wp:extent cx="318135" cy="203835"/>
                  <wp:effectExtent l="0" t="0" r="12065" b="2476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" cy="203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" w:type="dxa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>
            <w:pPr>
              <w:pStyle w:val="5"/>
              <w:spacing w:line="480" w:lineRule="auto"/>
              <w:rPr>
                <w:rFonts w:hint="eastAsia" w:ascii="Malgun Gothic" w:hAnsi="Malgun Gothic" w:eastAsia="Malgun Gothic"/>
                <w:sz w:val="15"/>
                <w:szCs w:val="16"/>
              </w:rPr>
            </w:pPr>
            <w:r>
              <w:drawing>
                <wp:inline distT="0" distB="0" distL="114300" distR="114300">
                  <wp:extent cx="330200" cy="212090"/>
                  <wp:effectExtent l="0" t="0" r="0" b="165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1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tcBorders>
              <w:top w:val="nil"/>
              <w:left w:val="single" w:color="auto" w:sz="24" w:space="0"/>
              <w:bottom w:val="nil"/>
              <w:right w:val="nil"/>
            </w:tcBorders>
          </w:tcPr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Name: Sea&amp;Mew Consulting GmbH</w:t>
            </w:r>
          </w:p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Address: Mittenhuber Straße 4, 92318 Neumarkt</w:t>
            </w:r>
          </w:p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Contact Person: Yuan Li</w:t>
            </w:r>
          </w:p>
          <w:p>
            <w:pPr>
              <w:pStyle w:val="5"/>
              <w:spacing w:line="120" w:lineRule="exact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Tel: +4915224685061</w:t>
            </w:r>
          </w:p>
          <w:p>
            <w:pPr>
              <w:pStyle w:val="5"/>
              <w:spacing w:line="120" w:lineRule="exact"/>
              <w:rPr>
                <w:rFonts w:hint="eastAsia"/>
                <w:sz w:val="15"/>
                <w:szCs w:val="16"/>
              </w:rPr>
            </w:pPr>
            <w:r>
              <w:rPr>
                <w:sz w:val="13"/>
                <w:szCs w:val="15"/>
              </w:rPr>
              <w:t>Email: Compliance.EU@outlook.com</w:t>
            </w:r>
          </w:p>
        </w:tc>
      </w:tr>
    </w:tbl>
    <w:p>
      <w:pPr>
        <w:pStyle w:val="5"/>
        <w:spacing w:line="160" w:lineRule="exact"/>
        <w:rPr>
          <w:rFonts w:hint="eastAsia"/>
          <w:sz w:val="15"/>
          <w:szCs w:val="16"/>
        </w:rPr>
      </w:pPr>
    </w:p>
    <w:tbl>
      <w:tblPr>
        <w:tblStyle w:val="4"/>
        <w:tblW w:w="0" w:type="auto"/>
        <w:tblInd w:w="-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5"/>
        <w:gridCol w:w="3598"/>
        <w:gridCol w:w="1632"/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1805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5"/>
                <w:szCs w:val="16"/>
                <w:vertAlign w:val="baseline"/>
              </w:rPr>
            </w:pPr>
            <w:r>
              <w:drawing>
                <wp:inline distT="0" distB="0" distL="114300" distR="114300">
                  <wp:extent cx="1004570" cy="360045"/>
                  <wp:effectExtent l="0" t="0" r="11430" b="20955"/>
                  <wp:docPr id="8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7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Name: Sea&amp;Mew Consulting GmbH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Address: Mittenhuber Straße 4, 92318 Neumarkt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Contact Person: Yuan Li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Tel: +4915224685061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6"/>
                <w:vertAlign w:val="baseline"/>
              </w:rPr>
            </w:pPr>
            <w:r>
              <w:rPr>
                <w:sz w:val="13"/>
                <w:szCs w:val="15"/>
              </w:rPr>
              <w:t>Email: Compliance.EU@outlook.com</w:t>
            </w:r>
          </w:p>
        </w:tc>
        <w:tc>
          <w:tcPr>
            <w:tcW w:w="1632" w:type="dxa"/>
          </w:tcPr>
          <w:p>
            <w:pPr>
              <w:pStyle w:val="5"/>
              <w:spacing w:line="240" w:lineRule="auto"/>
              <w:rPr>
                <w:rFonts w:hint="eastAsia"/>
                <w:sz w:val="15"/>
                <w:szCs w:val="16"/>
                <w:vertAlign w:val="baseline"/>
              </w:rPr>
            </w:pPr>
          </w:p>
        </w:tc>
        <w:tc>
          <w:tcPr>
            <w:tcW w:w="3840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Name: Sea&amp;Mew Consulting GmbH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Address: Mittenhuber Straße 4, 92318 Neumarkt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Contact Person: Yuan Li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3"/>
                <w:szCs w:val="15"/>
              </w:rPr>
            </w:pPr>
            <w:r>
              <w:rPr>
                <w:sz w:val="13"/>
                <w:szCs w:val="15"/>
              </w:rPr>
              <w:t>Tel: +4915224685061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6"/>
                <w:vertAlign w:val="baseline"/>
              </w:rPr>
            </w:pPr>
            <w:r>
              <w:rPr>
                <w:sz w:val="13"/>
                <w:szCs w:val="15"/>
              </w:rPr>
              <w:t>Email: Compliance.EU@outlook.com</w:t>
            </w:r>
          </w:p>
        </w:tc>
      </w:tr>
    </w:tbl>
    <w:p>
      <w:pPr>
        <w:pStyle w:val="5"/>
        <w:spacing w:line="160" w:lineRule="exact"/>
        <w:rPr>
          <w:rFonts w:hint="eastAsia"/>
          <w:sz w:val="15"/>
          <w:szCs w:val="16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B8"/>
    <w:rsid w:val="002C5F7D"/>
    <w:rsid w:val="004B7A2C"/>
    <w:rsid w:val="006679A5"/>
    <w:rsid w:val="00706275"/>
    <w:rsid w:val="00BF787E"/>
    <w:rsid w:val="00DA05D9"/>
    <w:rsid w:val="00DD13B8"/>
    <w:rsid w:val="00F84B0C"/>
    <w:rsid w:val="3EDE9E10"/>
    <w:rsid w:val="5BCF404C"/>
    <w:rsid w:val="6F6D60CC"/>
    <w:rsid w:val="D46FF0AF"/>
    <w:rsid w:val="F58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2193</Characters>
  <Lines>18</Lines>
  <Paragraphs>5</Paragraphs>
  <TotalTime>0</TotalTime>
  <ScaleCrop>false</ScaleCrop>
  <LinksUpToDate>false</LinksUpToDate>
  <CharactersWithSpaces>2572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2021-04-24T20:41:00Z</dcterms:created>
  <dc:creator>lanei</dc:creator>
  <cp:lastModifiedBy>Yzd</cp:lastModifiedBy>
  <cp:lastPrinted>2021-04-24T21:40:00Z</cp:lastPrinted>
  <dcterms:modified xsi:type="dcterms:W3CDTF">2021-04-25T16:04:47Z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