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UI/UX ANALYSIS</w:t>
      </w:r>
    </w:p>
    <w:p>
      <w:pPr>
        <w:pStyle w:val="Heading2"/>
        <w:spacing w:after="400"/>
        <w:jc w:val="center"/>
      </w:pPr>
      <w:r>
        <w:t xml:space="preserve">Budgeting Tool — Personal Finance Desktop Application</w:t>
      </w:r>
    </w:p>
    <w:p>
      <w:pPr>
        <w:pStyle w:val="Heading2"/>
        <w:spacing w:after="180" w:before="380"/>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E8E8E8" w:val="clear"/>
          </w:tcPr>
          <w:p>
            <w:r>
              <w:rPr>
                <w:b w:val="false"/>
                <w:bCs w:val="false"/>
              </w:rPr>
              <w:t xml:space="preserve">Application Name:</w:t>
            </w:r>
          </w:p>
        </w:tc>
        <w:tc>
          <w:tcPr>
            <w:tcW w:type="dxa" w:w="9740"/>
          </w:tcPr>
          <w:p>
            <w:r>
              <w:rPr>
                <w:b w:val="false"/>
                <w:bCs w:val="false"/>
              </w:rPr>
              <w:t xml:space="preserve">Budgeting Tool (working title, per repo)</w:t>
            </w:r>
          </w:p>
        </w:tc>
      </w:tr>
      <w:tr>
        <w:tc>
          <w:tcPr>
            <w:tcW w:type="dxa" w:w="2500"/>
            <w:shd w:fill="E8E8E8" w:val="clear"/>
          </w:tcPr>
          <w:p>
            <w:r>
              <w:rPr>
                <w:b w:val="false"/>
                <w:bCs w:val="false"/>
              </w:rPr>
              <w:t xml:space="preserve">Analysis Date:</w:t>
            </w:r>
          </w:p>
        </w:tc>
        <w:tc>
          <w:tcPr>
            <w:tcW w:type="dxa" w:w="9740"/>
          </w:tcPr>
          <w:p>
            <w:r>
              <w:rPr>
                <w:b w:val="false"/>
                <w:bCs w:val="false"/>
              </w:rPr>
              <w:t xml:space="preserve">20 July 2026</w:t>
            </w:r>
          </w:p>
        </w:tc>
      </w:tr>
      <w:tr>
        <w:tc>
          <w:tcPr>
            <w:tcW w:type="dxa" w:w="2500"/>
            <w:shd w:fill="E8E8E8" w:val="clear"/>
          </w:tcPr>
          <w:p>
            <w:r>
              <w:rPr>
                <w:b w:val="false"/>
                <w:bCs w:val="false"/>
              </w:rPr>
              <w:t xml:space="preserve">Analyst:</w:t>
            </w:r>
          </w:p>
        </w:tc>
        <w:tc>
          <w:tcPr>
            <w:tcW w:type="dxa" w:w="9740"/>
          </w:tcPr>
          <w:p>
            <w:r>
              <w:rPr>
                <w:b w:val="false"/>
                <w:bCs w:val="false"/>
              </w:rPr>
              <w:t xml:space="preserve">Claude, UI/UX design review</w:t>
            </w:r>
          </w:p>
        </w:tc>
      </w:tr>
      <w:tr>
        <w:tc>
          <w:tcPr>
            <w:tcW w:type="dxa" w:w="2500"/>
            <w:shd w:fill="E8E8E8" w:val="clear"/>
          </w:tcPr>
          <w:p>
            <w:r>
              <w:rPr>
                <w:b w:val="false"/>
                <w:bCs w:val="false"/>
              </w:rPr>
              <w:t xml:space="preserve">Platform(s):</w:t>
            </w:r>
          </w:p>
        </w:tc>
        <w:tc>
          <w:tcPr>
            <w:tcW w:type="dxa" w:w="9740"/>
          </w:tcPr>
          <w:p>
            <w:r>
              <w:rPr>
                <w:b w:val="false"/>
                <w:bCs w:val="false"/>
              </w:rPr>
              <w:t xml:space="preserve">Windows desktop (PyQt6, PyInstaller build)</w:t>
            </w:r>
          </w:p>
        </w:tc>
      </w:tr>
      <w:tr>
        <w:tc>
          <w:tcPr>
            <w:tcW w:type="dxa" w:w="2500"/>
            <w:shd w:fill="E8E8E8" w:val="clear"/>
          </w:tcPr>
          <w:p>
            <w:r>
              <w:rPr>
                <w:b w:val="false"/>
                <w:bCs w:val="false"/>
              </w:rPr>
              <w:t xml:space="preserve">Method:</w:t>
            </w:r>
          </w:p>
        </w:tc>
        <w:tc>
          <w:tcPr>
            <w:tcW w:type="dxa" w:w="9740"/>
          </w:tcPr>
          <w:p>
            <w:r>
              <w:rPr>
                <w:b w:val="false"/>
                <w:bCs w:val="false"/>
              </w:rPr>
              <w:t xml:space="preserve">Static review of design tokens (theme.py), source (main.py, widgets.py, backend.py), product/design docs (PRODUCT.md, DESIGN.md, README.md), 8 captured screenshots, and 12 internal dated critique documents (docs/). The live app could not be launched in this environment (PyQt6/Qt runtime unavailable headlessly), so findings are corroborated across multiple independent sources rather than a single live walkthrough.</w:t>
            </w:r>
          </w:p>
        </w:tc>
      </w:tr>
    </w:tbl>
    <w:p>
      <w:pPr>
        <w:pStyle w:val="Heading2"/>
        <w:spacing w:after="180" w:before="380"/>
      </w:pPr>
      <w:r>
        <w:t xml:space="preserve">EXECUTIVE SUMMARY</w:t>
      </w:r>
    </w:p>
    <w:p>
      <w:pPr>
        <w:spacing w:after="120"/>
      </w:pPr>
      <w:r>
        <w:t xml:space="preserve">Budgeting Tool is a single-user, Windows-only personal finance desktop application built in PyQt6, with every chart hand-painted via QPainter rather than a charting library. Its stated thesis — kept consistently across PRODUCT.md and README.md — is that the recurring "plan" (income, expenses, subscriptions) and the bank-reconciled "reality" (imported transactions) should be held to equal visual and functional weight, rather than treating one as the primary view and the other as an afterthought, which is how the product positions itself against Mint, YNAB, and Monarch.</w:t>
      </w:r>
    </w:p>
    <w:p>
      <w:pPr>
        <w:spacing w:after="120"/>
      </w:pPr>
      <w:r>
        <w:t xml:space="preserve">This review found a genuinely mature design practice for what is a personal/solo project: WCAG contrast ratios are computed and documented directly in the design-token source file, with a visible history of self-correction (colors that failed AA were caught and re-tuned, with the reasoning left in the code as a comment). The team also maintains dated, structured internal critique documents with a defined review methodology and before/after verification — a level of design governance most small teams don't bother with.</w:t>
      </w:r>
    </w:p>
    <w:p>
      <w:pPr>
        <w:spacing w:after="120"/>
      </w:pPr>
      <w:r>
        <w:t xml:space="preserve">Set against that strength are two structural risks. First, the written design-system spec (DESIGN.md) has drifted meaningfully out of sync with the shipped design tokens (theme.py) — corner radius, sidebar width, several colors, and the overall visual grammar have all changed in code without the spec being updated, which means anyone treating DESIGN.md as ground truth (a new contributor, a future audit, the author's own memory six months from now) will misjudge the actual product. Second, an internal review already caught and fixed a critical defect in which the single number PRODUCT.md names as the entire point of the app — the Overview headline P&amp;L — was silently plan-only for months, understating real spend by double-digit percentages; the fix is a good one, but its existence shows how easily the plan/reality-parity thesis can be violated without deliberate, recurring review.</w:t>
      </w:r>
    </w:p>
    <w:p>
      <w:pPr>
        <w:spacing w:after="120"/>
      </w:pPr>
      <w:r>
        <w:t xml:space="preserve">Overall rating: Good — a distinctive, well-reasoned design with real craft in its color/contrast discipline and cross-chart consistency, held back from "Excellent" by documentation drift and a small number of concrete, fixable polish defects detailed below.</w:t>
      </w:r>
    </w:p>
    <w:p>
      <w:pPr>
        <w:pStyle w:val="Heading2"/>
        <w:spacing w:after="180" w:before="380"/>
      </w:pPr>
      <w:r>
        <w:t xml:space="preserve">1. APPLICATION OVERVIEW</w:t>
      </w:r>
    </w:p>
    <w:p>
      <w:pPr>
        <w:pStyle w:val="Heading3"/>
        <w:spacing w:after="100" w:before="220"/>
      </w:pPr>
      <w:r>
        <w:t xml:space="preserve">1.1 Purpose &amp; Target Users</w:t>
      </w:r>
    </w:p>
    <w:p>
      <w:pPr>
        <w:spacing w:after="120"/>
      </w:pPr>
      <w:r>
        <w:t xml:space="preserve">A tool for one person managing their own finances: recurring income/expenses, a small number of shared subscriptions split with housemates or family, savings goals, and bank-imported transactions reconciled against the plan. It is explicitly not built for distribution — PRODUCT.md describes it as "a personal tool used directly by its own author, at a desk, checking in regularly rather than glancing occasionally," and README.md describes it as "closer to a terminal than a consumer finance app." This framing matters throughout the review: several choices that would be usability problems in a consumer product (dense abbreviations, no onboarding tour, one-click delete) are deliberate trade-offs for a named, trusted, returning power user, not oversights.</w:t>
      </w:r>
    </w:p>
    <w:p>
      <w:pPr>
        <w:pStyle w:val="Heading3"/>
        <w:spacing w:after="100" w:before="220"/>
      </w:pPr>
      <w:r>
        <w:t xml:space="preserve">1.2 Key Features</w:t>
      </w:r>
    </w:p>
    <w:p>
      <w:pPr>
        <w:spacing w:after="90"/>
      </w:pPr>
      <w:r>
        <w:t xml:space="preserve">•  Overview — the daily-check dashboard: recurring Incoming/Outgoing ledgers, hero P&amp;L figure, short-term trend, predicted next-month income, top budget-vs-actual lines, and goal progress strips.</w:t>
      </w:r>
    </w:p>
    <w:p>
      <w:pPr>
        <w:spacing w:after="90"/>
      </w:pPr>
      <w:r>
        <w:t xml:space="preserve">•  Analytics — income/expense/P&amp;L averages and extremes, month-by-month table, budget-vs-actual bars, spending-by-tag and spending-composition charts.</w:t>
      </w:r>
    </w:p>
    <w:p>
      <w:pPr>
        <w:spacing w:after="90"/>
      </w:pPr>
      <w:r>
        <w:t xml:space="preserve">•  Subscriptions — a renewal calendar and timeline, plus a People tab for splitting shared subscription costs and tracking/settling what's owed.</w:t>
      </w:r>
    </w:p>
    <w:p>
      <w:pPr>
        <w:spacing w:after="90"/>
      </w:pPr>
      <w:r>
        <w:t xml:space="preserve">•  Goals — target-based savings goals with a projected completion date and a trend line against a dashed target reference.</w:t>
      </w:r>
    </w:p>
    <w:p>
      <w:pPr>
        <w:spacing w:after="90"/>
      </w:pPr>
      <w:r>
        <w:t xml:space="preserve">•  History — cumulative savings over time and a month-by-month ledger.</w:t>
      </w:r>
    </w:p>
    <w:p>
      <w:pPr>
        <w:spacing w:after="90"/>
      </w:pPr>
      <w:r>
        <w:t xml:space="preserve">•  Settings — CSV/OFX bank import, categorisation rules, a transaction review/categorisation dialog, and an optional (beta) live bank sync via a locally-stored Basiq API key.</w:t>
      </w:r>
    </w:p>
    <w:p>
      <w:pPr>
        <w:pStyle w:val="Heading2"/>
        <w:spacing w:after="180" w:before="380"/>
      </w:pPr>
      <w:r>
        <w:t xml:space="preserve">2. INFORMATION ARCHITECTURE</w:t>
      </w:r>
    </w:p>
    <w:p>
      <w:pPr>
        <w:pStyle w:val="Heading3"/>
        <w:spacing w:after="100" w:before="220"/>
      </w:pPr>
      <w:r>
        <w:t xml:space="preserve">2.1 Navigation Structure</w:t>
      </w:r>
    </w:p>
    <w:p>
      <w:pPr>
        <w:spacing w:after="120"/>
      </w:pPr>
      <w:r>
        <w:t xml:space="preserve">Navigation is a single fixed left rail (Overview, Analytics, Subs, Goals, History, Settings) plus a Quick Start entry — one level deep, which is appropriate for a six-screen tool and matches how a returning user would already think about the app ("check the dashboard," "go look at the numbers," "go look at bills").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4472C4" w:val="clear"/>
          </w:tcPr>
          <w:p>
            <w:r>
              <w:rPr>
                <w:b w:val="false"/>
                <w:bCs w:val="false"/>
                <w:color w:val="FFFFFF"/>
              </w:rPr>
              <w:t xml:space="preserve">Aspect</w:t>
            </w:r>
          </w:p>
        </w:tc>
        <w:tc>
          <w:tcPr>
            <w:tcW w:type="dxa" w:w="3300"/>
            <w:shd w:fill="4472C4" w:val="clear"/>
          </w:tcPr>
          <w:p>
            <w:r>
              <w:rPr>
                <w:b w:val="false"/>
                <w:bCs w:val="false"/>
                <w:color w:val="FFFFFF"/>
              </w:rPr>
              <w:t xml:space="preserve">Assessment</w:t>
            </w:r>
          </w:p>
        </w:tc>
        <w:tc>
          <w:tcPr>
            <w:tcW w:type="dxa" w:w="6940"/>
            <w:shd w:fill="4472C4" w:val="clear"/>
          </w:tcPr>
          <w:p>
            <w:r>
              <w:rPr>
                <w:b w:val="false"/>
                <w:bCs w:val="false"/>
                <w:color w:val="FFFFFF"/>
              </w:rPr>
              <w:t xml:space="preserve">Notes</w:t>
            </w:r>
          </w:p>
        </w:tc>
      </w:tr>
      <w:tr>
        <w:tc>
          <w:p>
            <w:r>
              <w:rPr>
                <w:b w:val="false"/>
                <w:bCs w:val="false"/>
              </w:rPr>
              <w:t xml:space="preserve">Primary nav</w:t>
            </w:r>
          </w:p>
        </w:tc>
        <w:tc>
          <w:p>
            <w:r>
              <w:rPr>
                <w:b w:val="false"/>
                <w:bCs w:val="false"/>
              </w:rPr>
              <w:t xml:space="preserve">Clear / intuitive</w:t>
            </w:r>
          </w:p>
        </w:tc>
        <w:tc>
          <w:p>
            <w:r>
              <w:rPr>
                <w:b w:val="false"/>
                <w:bCs w:val="false"/>
              </w:rPr>
              <w:t xml:space="preserve">Icon + label rail, single level, active tab marked with a green underline accent per the design tokens.</w:t>
            </w:r>
          </w:p>
        </w:tc>
      </w:tr>
      <w:tr>
        <w:tc>
          <w:p>
            <w:r>
              <w:rPr>
                <w:b w:val="false"/>
                <w:bCs w:val="false"/>
              </w:rPr>
              <w:t xml:space="preserve">Hierarchy</w:t>
            </w:r>
          </w:p>
        </w:tc>
        <w:tc>
          <w:p>
            <w:r>
              <w:rPr>
                <w:b w:val="false"/>
                <w:bCs w:val="false"/>
              </w:rPr>
              <w:t xml:space="preserve">Logical</w:t>
            </w:r>
          </w:p>
        </w:tc>
        <w:tc>
          <w:p>
            <w:r>
              <w:rPr>
                <w:b w:val="false"/>
                <w:bCs w:val="false"/>
              </w:rPr>
              <w:t xml:space="preserve">Flat structure matches the tool's actual scope; no orphaned or duplicated destinations found.</w:t>
            </w:r>
          </w:p>
        </w:tc>
      </w:tr>
      <w:tr>
        <w:tc>
          <w:p>
            <w:r>
              <w:rPr>
                <w:b w:val="false"/>
                <w:bCs w:val="false"/>
              </w:rPr>
              <w:t xml:space="preserve">Discoverability</w:t>
            </w:r>
          </w:p>
        </w:tc>
        <w:tc>
          <w:p>
            <w:r>
              <w:rPr>
                <w:b w:val="false"/>
                <w:bCs w:val="false"/>
              </w:rPr>
              <w:t xml:space="preserve">Moderate</w:t>
            </w:r>
          </w:p>
        </w:tc>
        <w:tc>
          <w:p>
            <w:r>
              <w:rPr>
                <w:b w:val="false"/>
                <w:bCs w:val="false"/>
              </w:rPr>
              <w:t xml:space="preserve">Subscriptions hides a second-level "People" tab for shared-cost splitting behind the primary Subscriptions tab — easy to miss on a first pass, though a returning user will find it once.</w:t>
            </w:r>
          </w:p>
        </w:tc>
      </w:tr>
      <w:tr>
        <w:tc>
          <w:p>
            <w:r>
              <w:rPr>
                <w:b w:val="false"/>
                <w:bCs w:val="false"/>
              </w:rPr>
              <w:t xml:space="preserve">Mental-model fit</w:t>
            </w:r>
          </w:p>
        </w:tc>
        <w:tc>
          <w:p>
            <w:r>
              <w:rPr>
                <w:b w:val="false"/>
                <w:bCs w:val="false"/>
              </w:rPr>
              <w:t xml:space="preserve">Matches expectations</w:t>
            </w:r>
          </w:p>
        </w:tc>
        <w:tc>
          <w:p>
            <w:r>
              <w:rPr>
                <w:b w:val="false"/>
                <w:bCs w:val="false"/>
              </w:rPr>
              <w:t xml:space="preserve">Overview-as-home, Analytics-as-deep-dive, History-as-ledger is a conventional and legible split for a finance tool.</w:t>
            </w:r>
          </w:p>
        </w:tc>
      </w:tr>
    </w:tbl>
    <w:p>
      <w:pPr>
        <w:spacing w:after="120"/>
      </w:pPr>
    </w:p>
    <w:p>
      <w:pPr>
        <w:spacing w:after="120"/>
      </w:pPr>
      <w:r>
        <w:t xml:space="preserve">A concrete, already-resolved usability bug is worth recording as a case study: theme.py's own comments show the sidebar was originally a 72px icon-only rail whose 9px captions truncated ("Quick start" rendered as "Quick sta…") — visible directly in the currently-available screenshots (tour_settings.png, tour_subs_people.png, etc., all still show the truncated 72px rail). The code has since been widened to 240px specifically to fix this, per an inline comment ("was 72 — an icon rail whose 9px captions truncated"). This is good evidence the team catches and fixes real label-legibility bugs, but it also means the screenshots available for this review are one iteration behind the current source — a live re-capture is recommended before treating the visual findings below as final (see Recommendation P2).</w:t>
      </w:r>
    </w:p>
    <w:p>
      <w:pPr>
        <w:pStyle w:val="Heading3"/>
        <w:spacing w:after="100" w:before="220"/>
      </w:pPr>
      <w:r>
        <w:t xml:space="preserve">2.2 Categorisation &amp; Labelling</w:t>
      </w:r>
    </w:p>
    <w:p>
      <w:pPr>
        <w:spacing w:after="120"/>
      </w:pPr>
      <w:r>
        <w:t xml:space="preserve">"Incoming" / "Outgoing" as column headers (rather than generic "Income/Expense") read naturally and pair well with the green/red color convention. "By Added" vs. "By Due" vs. "Custom" tab captions on the ledger are clear once learned.</w:t>
      </w:r>
    </w:p>
    <w:p>
      <w:pPr>
        <w:spacing w:after="120"/>
      </w:pPr>
      <w:r>
        <w:t xml:space="preserve">The more serious IA issue here was structural rather than cosmetic, and it was already identified and fixed internally: the free-text category field used when authoring an import rule (Settings) invited a category name that didn't exactly string-match any real recurring expense definition, producing a category that would permanently read "$0 planned / 100% over budget" regardless of actual spend — noise disguised as a signal, for a rule the placeholder text itself half-invited the user into writing wrong. The shipped fix (an autocomplete populated from real expense names, and a distinct "not budgeted" state instead of a fabricated overspend) is the right category of fix: prevent the mismatch at entry, and stop conflating "no plan exists" with "plan was broken."</w:t>
      </w:r>
    </w:p>
    <w:p>
      <w:pPr>
        <w:pStyle w:val="Heading2"/>
        <w:spacing w:after="180" w:before="380"/>
      </w:pPr>
      <w:r>
        <w:t xml:space="preserve">2A. VISUAL DESIGN ANALYSIS</w:t>
      </w:r>
    </w:p>
    <w:p>
      <w:pPr>
        <w:pStyle w:val="Heading3"/>
        <w:spacing w:after="100" w:before="220"/>
      </w:pPr>
      <w:r>
        <w:t xml:space="preserve">3.1 Design System &amp;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4472C4" w:val="clear"/>
          </w:tcPr>
          <w:p>
            <w:r>
              <w:rPr>
                <w:b w:val="false"/>
                <w:bCs w:val="false"/>
                <w:color w:val="FFFFFF"/>
              </w:rPr>
              <w:t xml:space="preserve">Element</w:t>
            </w:r>
          </w:p>
        </w:tc>
        <w:tc>
          <w:tcPr>
            <w:tcW w:type="dxa" w:w="2735"/>
            <w:shd w:fill="4472C4" w:val="clear"/>
          </w:tcPr>
          <w:p>
            <w:r>
              <w:rPr>
                <w:b w:val="false"/>
                <w:bCs w:val="false"/>
                <w:color w:val="FFFFFF"/>
              </w:rPr>
              <w:t xml:space="preserve">Consistency</w:t>
            </w:r>
          </w:p>
        </w:tc>
        <w:tc>
          <w:tcPr>
            <w:tcW w:type="dxa" w:w="7505"/>
            <w:shd w:fill="4472C4" w:val="clear"/>
          </w:tcPr>
          <w:p>
            <w:r>
              <w:rPr>
                <w:b w:val="false"/>
                <w:bCs w:val="false"/>
                <w:color w:val="FFFFFF"/>
              </w:rPr>
              <w:t xml:space="preserve">Observations</w:t>
            </w:r>
          </w:p>
        </w:tc>
      </w:tr>
      <w:tr>
        <w:tc>
          <w:p>
            <w:r>
              <w:rPr>
                <w:b w:val="false"/>
                <w:bCs w:val="false"/>
              </w:rPr>
              <w:t xml:space="preserve">Typography</w:t>
            </w:r>
          </w:p>
        </w:tc>
        <w:tc>
          <w:p>
            <w:r>
              <w:rPr>
                <w:b w:val="false"/>
                <w:bCs w:val="false"/>
              </w:rPr>
              <w:t xml:space="preserve">Consistent</w:t>
            </w:r>
          </w:p>
        </w:tc>
        <w:tc>
          <w:p>
            <w:r>
              <w:rPr>
                <w:b w:val="false"/>
                <w:bCs w:val="false"/>
              </w:rPr>
              <w:t xml:space="preserve">A single family (Arial Nova, plus Arial Nova Light for large figures) across a deliberate 5-step type scale, replacing an earlier 7-step, sub-1.1-ratio scale the code comments say read as "inconsistency rather than hierarchy."</w:t>
            </w:r>
          </w:p>
        </w:tc>
      </w:tr>
      <w:tr>
        <w:tc>
          <w:p>
            <w:r>
              <w:rPr>
                <w:b w:val="false"/>
                <w:bCs w:val="false"/>
              </w:rPr>
              <w:t xml:space="preserve">Colour palette</w:t>
            </w:r>
          </w:p>
        </w:tc>
        <w:tc>
          <w:p>
            <w:r>
              <w:rPr>
                <w:b w:val="false"/>
                <w:bCs w:val="false"/>
              </w:rPr>
              <w:t xml:space="preserve">Consistent in use — but diverged from spec</w:t>
            </w:r>
          </w:p>
        </w:tc>
        <w:tc>
          <w:p>
            <w:r>
              <w:rPr>
                <w:b w:val="false"/>
                <w:bCs w:val="false"/>
              </w:rPr>
              <w:t xml:space="preserve">Every screen uses the same functional-color vocabulary correctly. However the written spec (DESIGN.md) and the live tokens (theme.py) now disagree on several values — see the dedicated finding below.</w:t>
            </w:r>
          </w:p>
        </w:tc>
      </w:tr>
      <w:tr>
        <w:tc>
          <w:p>
            <w:r>
              <w:rPr>
                <w:b w:val="false"/>
                <w:bCs w:val="false"/>
              </w:rPr>
              <w:t xml:space="preserve">Component spacing</w:t>
            </w:r>
          </w:p>
        </w:tc>
        <w:tc>
          <w:p>
            <w:r>
              <w:rPr>
                <w:b w:val="false"/>
                <w:bCs w:val="false"/>
              </w:rPr>
              <w:t xml:space="preserve">Consistent</w:t>
            </w:r>
          </w:p>
        </w:tc>
        <w:tc>
          <w:p>
            <w:r>
              <w:rPr>
                <w:b w:val="false"/>
                <w:bCs w:val="false"/>
              </w:rPr>
              <w:t xml:space="preserve">A documented "soft 8pt grid" (SPACE = [4,8,12,16,24,32,48]) replaced ad hoc margin/gap values the code comments describe as previously "felt right individually and read as slightly-off collectively."</w:t>
            </w:r>
          </w:p>
        </w:tc>
      </w:tr>
      <w:tr>
        <w:tc>
          <w:p>
            <w:r>
              <w:rPr>
                <w:b w:val="false"/>
                <w:bCs w:val="false"/>
              </w:rPr>
              <w:t xml:space="preserve">Icon system</w:t>
            </w:r>
          </w:p>
        </w:tc>
        <w:tc>
          <w:p>
            <w:r>
              <w:rPr>
                <w:b w:val="false"/>
                <w:bCs w:val="false"/>
              </w:rPr>
              <w:t xml:space="preserve">Consistent</w:t>
            </w:r>
          </w:p>
        </w:tc>
        <w:tc>
          <w:p>
            <w:r>
              <w:rPr>
                <w:b w:val="false"/>
                <w:bCs w:val="false"/>
              </w:rPr>
              <w:t xml:space="preserve">Single icons.py source feeding the sidebar and inline row icons (recurrence, subscription, edit).</w:t>
            </w:r>
          </w:p>
        </w:tc>
      </w:tr>
    </w:tbl>
    <w:p>
      <w:pPr>
        <w:spacing w:after="120"/>
      </w:pPr>
    </w:p>
    <w:p>
      <w:pPr>
        <w:spacing w:after="200"/>
      </w:pPr>
      <w:r>
        <w:t xml:space="preserve">The most important design-system finding in this review: DESIGN.md — the document meant to describe the visual language — no longer matches what theme.py actually implements. DESIGN.md states "flat rectangle, 0px radius always" for every component and a 72px icon-only sidebar; theme.py currently defines RADIUS = 9 and RADIUS_SM = 6 ("Rounder theme… Filipiuk p132: rounder reads as more user-friendly") and SIDEBAR_W = 240. The color tokens have moved too — several values in theme.py carry explicit rationale for why they changed (BG_INPUT flipped from darker-than-card to lighter-than-card; RED moved from #b86060 to #cc7676 after a contrast recheck; FOCUS moved off a color that used to collide with the hero-number green). None of this is wrong as an evolution — the reasoning in theme.py is consistently sound — but a design system document that no longer describes the shipped system stops being useful as a reference and starts being actively misleading.</w:t>
      </w:r>
    </w:p>
    <w:p>
      <w:pPr>
        <w:pStyle w:val="Heading3"/>
        <w:spacing w:after="100" w:before="220"/>
      </w:pPr>
      <w:r>
        <w:t xml:space="preserve">3.2 Colour &amp; Contrast</w:t>
      </w:r>
    </w:p>
    <w:p>
      <w:pPr>
        <w:spacing w:after="90"/>
      </w:pPr>
      <w:r>
        <w:t xml:space="preserve">•  Income vs. expense differentiation is strong and consistent: green/red is always paired with the Incoming/Outgoing column and a sign, matching the documented "Colour-Plus Rule" (color is corroboration, never the sole signal).</w:t>
      </w:r>
    </w:p>
    <w:p>
      <w:pPr>
        <w:spacing w:after="90"/>
      </w:pPr>
      <w:r>
        <w:t xml:space="preserve">•  Contrast auditing is the standout strength of this codebase. theme.py documents an explicit WCAG ratio for nearly every text/background pairing, and the comment history shows genuine iterative correction — e.g. the expense red was originally 3.87:1 (a fail, once the reviewer correctly noticed 13px bold text doesn't qualify for the relaxed "large text" 3:1 threshold) and was deliberately raised to 5.10:1; the tertiary text color was nudged from a ratio sitting exactly on the AA line to one with real margin. This is a materially more rigorous accessibility practice than most production apps, let alone a personal project.</w:t>
      </w:r>
    </w:p>
    <w:p>
      <w:pPr>
        <w:spacing w:after="90"/>
      </w:pPr>
      <w:r>
        <w:t xml:space="preserve">•  One clear exception to the "functional color only" principle was found on the Goals screen: the "Progress to target" bar for a monthly P&amp;L target reads 578% and renders in a warm terracotta tone that reads as a warning — but exceeding a savings/P&amp;L target is unambiguously good news, not an overrun. This looks like the bar is reusing the same over-target color logic used for expense overruns elsewhere, which is the wrong signal in this context and is worth a direct fix (see Recommendations).</w:t>
      </w:r>
    </w:p>
    <w:p>
      <w:pPr>
        <w:pStyle w:val="Heading3"/>
        <w:spacing w:after="100" w:before="220"/>
      </w:pPr>
      <w:r>
        <w:t xml:space="preserve">3.3 Visual Hierarchy</w:t>
      </w:r>
    </w:p>
    <w:p>
      <w:pPr>
        <w:spacing w:after="120"/>
      </w:pPr>
      <w:r>
        <w:t xml:space="preserve">The hero P&amp;L figure — 34px, Arial Nova Light, and the one place the brighter #74c490 green appears — is a well-executed "one saturated moment" device; it is legitimately the first thing the eye lands on across the Overview and Goals screenshots reviewed. One inconsistency worth flagging: two Overview captures in the review set show different right-rail contents for what should be the same state — one shows "Predicted income / next month" plus a "Budget vs actual — top 5" card, the other shows "Target P&amp;L / Savings rate" plus a weekly P&amp;L breakdown. This could be a genuine A/B of two right-rail layouts, or simply two different points in time; either way it's worth confirming which is the current shipped layout so screenshots, docs, and the live app agree.</w:t>
      </w:r>
    </w:p>
    <w:p>
      <w:pPr>
        <w:pStyle w:val="Heading2"/>
        <w:spacing w:after="180" w:before="380"/>
      </w:pPr>
      <w:r>
        <w:t xml:space="preserve">2B. INTERACTION DESIGN</w:t>
      </w:r>
    </w:p>
    <w:p>
      <w:pPr>
        <w:pStyle w:val="Heading3"/>
        <w:spacing w:after="100" w:before="220"/>
      </w:pPr>
      <w:r>
        <w:t xml:space="preserve">4.1 Input Mechanisms</w:t>
      </w:r>
    </w:p>
    <w:p>
      <w:pPr>
        <w:spacing w:after="120"/>
      </w:pPr>
      <w:r>
        <w:t xml:space="preserve">The recurring-ledger "+ Add item" affordance sits inline at the bottom of each column, keeping the most common action to a single click-through, consistent with a tool meant for regular, frequent check-ins rather than occasional deep configuration. The most significant interaction gap found by this review's own source material (not this pass) was structural: ItemStore.set_transaction_category existed fully implemented in the data layer with zero call sites anywhere in the UI — the capability to categorise an individual imported transaction existed in the code but was literally unreachable by a user. The shipped fix, a dedicated TransactionReviewDialog reachable from Settings, is exactly the right shape of solution and is a good general lesson: storing the data isn't the same as exposing an interaction for it.</w:t>
      </w:r>
    </w:p>
    <w:p>
      <w:pPr>
        <w:pStyle w:val="Heading3"/>
        <w:spacing w:after="100" w:before="220"/>
      </w:pPr>
      <w:r>
        <w:t xml:space="preserve">4.2 Feedback &amp; Affordances</w:t>
      </w:r>
    </w:p>
    <w:p>
      <w:pPr>
        <w:spacing w:after="120"/>
      </w:pPr>
      <w:r>
        <w:t xml:space="preserve">Destructive actions (row deletion) are deliberately the least visually weighted control on a row — a plain "✕" that only turns red on hover, per DESIGN.md's stated principle that deletion shouldn't compete visually with the numbers. That's a reasonable brand-consistent choice, but nothing in the reviewed material indicates a confirmation step or an undo path exists for these deletes. For a single, trusted user this is a defensible trade of safety for speed, but it's a trade that should be made consciously rather than left implicit — a one-level "undo last delete" toast would close the gap cheaply without adding a confirmation dialog that would slow down the exact frequent-use pattern the app is designed around.</w:t>
      </w:r>
    </w:p>
    <w:p>
      <w:pPr>
        <w:pStyle w:val="Heading3"/>
        <w:spacing w:after="100" w:before="220"/>
      </w:pPr>
      <w:r>
        <w:t xml:space="preserve">4.3 Transitions &amp; Animations</w:t>
      </w:r>
    </w:p>
    <w:p>
      <w:pPr>
        <w:spacing w:after="120"/>
      </w:pPr>
      <w:r>
        <w:t xml:space="preserve">main.py's own comments note that animation is deliberately disabled during headless screenshot capture ("--shot never catches [it] when widgets.ANIMATE is off"), confirming animation exists in normal use, but its quality and appropriateness cannot be assessed from static screenshots or source alone. Flagged as untested by this review rather than scored.</w:t>
      </w:r>
    </w:p>
    <w:p>
      <w:pPr>
        <w:pStyle w:val="Heading2"/>
        <w:spacing w:after="180" w:before="380"/>
      </w:pPr>
      <w:r>
        <w:t xml:space="preserve">2C. CORE SCREENS &amp; FEATURES ANALYSIS</w:t>
      </w:r>
    </w:p>
    <w:p>
      <w:pPr>
        <w:pStyle w:val="Heading3"/>
        <w:spacing w:after="100" w:before="220"/>
      </w:pPr>
      <w:r>
        <w:t xml:space="preserve">5.1 Overview / Dashboard</w:t>
      </w:r>
    </w:p>
    <w:p>
      <w:pPr>
        <w:spacing w:after="120"/>
      </w:pPr>
      <w:r>
        <w:t xml:space="preserve">The dashboard is dense but organized into legible zones: Incoming/Outgoing ledgers on the left two-thirds, a right rail carrying the hero P&amp;L, a 5-month trend, predicted income, and budget-vs-actual highlights, with a goals strip along the bottom. This matches PRODUCT.md's stated success bar ("a single glance… answering 'am I on track' without digging") reasonably well. The "Pr" and "Due" column abbreviations on the Outgoing ledger are terse enough that a first-time viewer could be briefly confused, though this is a minor and deliberate cost of the stated "density is a feature" principle for a tool aimed at one returning expert user, not a general audience.</w:t>
      </w:r>
    </w:p>
    <w:p>
      <w:pPr>
        <w:spacing w:after="120"/>
      </w:pPr>
      <w:r>
        <w:t xml:space="preserve">The most consequential finding surfaced by the team's own internal review, worth restating here because it is the clearest possible test of the product's central thesis: for a real month of imported data, the Overview headline P&amp;L was computed from the recurring plan only and never read bank-confirmed transactions at all — a measured $1,305, or roughly 27%, understatement of real spend, discoverable only by opening Analytics and reading one small card, not from Overview itself. This directly contradicted both of PRODUCT.md's load-bearing claims ("a single glance… without digging" and "plan and reality… held to the same standard"). It has since been fixed with a colour-coded "Bank says $X actual — $Y more/less than planned" banner that appears on Overview only for months with imported transactions. The fix is architecturally sound (it doesn't touch the well-tested core P&amp;L math, only adds a visible delta), but its prior existence is the single strongest argument in this whole review for keeping the internal review practice running on a schedule rather than treating it as done.</w:t>
      </w:r>
    </w:p>
    <w:p>
      <w:pPr>
        <w:pStyle w:val="Heading3"/>
        <w:spacing w:after="100" w:before="220"/>
      </w:pPr>
      <w:r>
        <w:t xml:space="preserve">5.2 Transaction Management</w:t>
      </w:r>
    </w:p>
    <w:p>
      <w:pPr>
        <w:spacing w:after="120"/>
      </w:pPr>
      <w:r>
        <w:t xml:space="preserve">Reconciliation is aggregate-first by default (sums, category rollups, an explicit "Uncategorised" row rather than silently dropping unmatched spend from the total — a good, honest design choice). The newly-added transaction review dialog closes what was previously a real gap in itemized editing. A search icon is present in the header on every screen; its scope and capability could not be verified from static material.</w:t>
      </w:r>
    </w:p>
    <w:p>
      <w:pPr>
        <w:pStyle w:val="Heading3"/>
        <w:spacing w:after="100" w:before="220"/>
      </w:pPr>
      <w:r>
        <w:t xml:space="preserve">5.3 Subscriptions &amp; Shared Costs</w:t>
      </w:r>
    </w:p>
    <w:p>
      <w:pPr>
        <w:spacing w:after="120"/>
      </w:pPr>
      <w:r>
        <w:t xml:space="preserve">The renewal calendar, 60-day timeline, and per-person owed/settle-up cards are a genuinely well-targeted answer to a gap most consumer budgeting apps handle poorly (splitting a shared subscription and tracking who's settled). The internal review flagged the calendar specifically as visually noisy — roughly 42 bordered day cells rendered every month, the large majority empty, for what is typically 2–4 real events — a concrete instance of "density" tipping into chrome that carries no information. A borderless-month redesign (fill-only spend/hover states, a hairline only between week rows) has been specified but this review could not confirm whether it has shipped, since the available screenshots predate it.</w:t>
      </w:r>
    </w:p>
    <w:p>
      <w:pPr>
        <w:pStyle w:val="Heading3"/>
        <w:spacing w:after="100" w:before="220"/>
      </w:pPr>
      <w:r>
        <w:t xml:space="preserve">5.4 Goals &amp; Analytics</w:t>
      </w:r>
    </w:p>
    <w:p>
      <w:pPr>
        <w:spacing w:after="120"/>
      </w:pPr>
      <w:r>
        <w:t xml:space="preserve">Goal cards pair a percent-to-target figure with a dollar-remaining count and a small trend line against a dashed target reference — an appropriately data-dense presentation for the stated audience. The progress-bar overflow/colour issue described in §3.2 is the clearest concrete defect on this screen. Analytics' month-by-month table and multi-metric tile row are thorough without feeling cluttered, and the deterministic category_color() hash — which guarantees a given spending category renders in the same color on every chart in the app, rather than being re-assigned per chart based on local sort order — is a correct, easy-to-skip decision that a lot of dashboards get wrong.</w:t>
      </w:r>
    </w:p>
    <w:p>
      <w:pPr>
        <w:pStyle w:val="Heading2"/>
        <w:spacing w:after="180" w:before="380"/>
      </w:pPr>
      <w:r>
        <w:t xml:space="preserve">2D. USABILITY EVALUATION</w:t>
      </w:r>
    </w:p>
    <w:p>
      <w:pPr>
        <w:pStyle w:val="Heading3"/>
        <w:spacing w:after="100" w:before="220"/>
      </w:pPr>
      <w:r>
        <w:t xml:space="preserve">6.1 Learnability</w:t>
      </w:r>
    </w:p>
    <w:p>
      <w:pPr>
        <w:spacing w:after="120"/>
      </w:pPr>
      <w:r>
        <w:t xml:space="preserve">The (now-fixed) sidebar truncation bug is exactly the class of first-glance confusion that damages trust quickly, even for a returning user, and is a good reminder that label legibility bugs are cheap to catch with a simple visual pass. The abbreviated ledger column headers ("Pr", "Due") assume return-visit familiarity, which is a fair assumption for this product's actual audience of one, but would fail a general learnability test.</w:t>
      </w:r>
    </w:p>
    <w:p>
      <w:pPr>
        <w:pStyle w:val="Heading3"/>
        <w:spacing w:after="100" w:before="220"/>
      </w:pPr>
      <w:r>
        <w:t xml:space="preserve">6.2 Efficiency</w:t>
      </w:r>
    </w:p>
    <w:p>
      <w:pPr>
        <w:spacing w:after="120"/>
      </w:pPr>
      <w:r>
        <w:t xml:space="preserve">Inline add-item affordances keep the most frequent action to one interaction. Efficiency here should be judged against PRODUCT.md's own bar — a user "checking in regularly" — rather than a casual glance-and-leave bar; against that standard the density and abbreviation choices throughout the app are efficiency features, not usability debt.</w:t>
      </w:r>
    </w:p>
    <w:p>
      <w:pPr>
        <w:pStyle w:val="Heading3"/>
        <w:spacing w:after="100" w:before="220"/>
      </w:pPr>
      <w:r>
        <w:t xml:space="preserve">6.3 Error Prevention &amp; Recovery</w:t>
      </w:r>
    </w:p>
    <w:p>
      <w:pPr>
        <w:spacing w:after="120"/>
      </w:pPr>
      <w:r>
        <w:t xml:space="preserve">The free-text categorisation-rule field (§2.2) was the clearest error-prone control found across all reviewed material — it allowed a silent, permanent mismatch with zero validation, discovered only because someone hand-computed a real month's numbers against the bank statement. The fix (autocomplete + an explicit "not budgeted" state) is the correct general pattern: prevent bad input at the point of entry, and give "no data" and "wrong data" visually distinct outcomes downstream so a user isn't trained to distrust a signal that's actually structural noise.</w:t>
      </w:r>
    </w:p>
    <w:p>
      <w:pPr>
        <w:pStyle w:val="Heading3"/>
        <w:spacing w:after="100" w:before="220"/>
      </w:pPr>
      <w:r>
        <w:t xml:space="preserve">6.4 Memorability</w:t>
      </w:r>
    </w:p>
    <w:p>
      <w:pPr>
        <w:spacing w:after="120"/>
      </w:pPr>
      <w:r>
        <w:t xml:space="preserve">Consistent element positioning (search and Edit always top-right, sidebar always left, month/period switcher always top-center) supports memorability across sessions; the main risks are the same abbreviations already noted rather than any positional inconsistency.</w:t>
      </w:r>
    </w:p>
    <w:p>
      <w:pPr>
        <w:pStyle w:val="Heading2"/>
        <w:spacing w:after="180" w:before="380"/>
      </w:pPr>
      <w:r>
        <w:t xml:space="preserve">2E. ACCESSIBILITY &amp; INCLUSIVITY</w:t>
      </w:r>
    </w:p>
    <w:p>
      <w:pPr>
        <w:pStyle w:val="Heading3"/>
        <w:spacing w:after="100" w:before="220"/>
      </w:pPr>
      <w:r>
        <w:t xml:space="preserve">7.1 Visual Accessibility (WCAG 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4472C4" w:val="clear"/>
          </w:tcPr>
          <w:p>
            <w:r>
              <w:rPr>
                <w:b w:val="false"/>
                <w:bCs w:val="false"/>
                <w:color w:val="FFFFFF"/>
              </w:rPr>
              <w:t xml:space="preserve">Criterion</w:t>
            </w:r>
          </w:p>
        </w:tc>
        <w:tc>
          <w:tcPr>
            <w:tcW w:type="dxa" w:w="2200"/>
            <w:shd w:fill="4472C4" w:val="clear"/>
          </w:tcPr>
          <w:p>
            <w:r>
              <w:rPr>
                <w:b w:val="false"/>
                <w:bCs w:val="false"/>
                <w:color w:val="FFFFFF"/>
              </w:rPr>
              <w:t xml:space="preserve">Status</w:t>
            </w:r>
          </w:p>
        </w:tc>
        <w:tc>
          <w:tcPr>
            <w:tcW w:type="dxa" w:w="5540"/>
            <w:shd w:fill="4472C4" w:val="clear"/>
          </w:tcPr>
          <w:p>
            <w:r>
              <w:rPr>
                <w:b w:val="false"/>
                <w:bCs w:val="false"/>
                <w:color w:val="FFFFFF"/>
              </w:rPr>
              <w:t xml:space="preserve">Notes</w:t>
            </w:r>
          </w:p>
        </w:tc>
      </w:tr>
      <w:tr>
        <w:tc>
          <w:p>
            <w:r>
              <w:rPr>
                <w:b w:val="false"/>
                <w:bCs w:val="false"/>
              </w:rPr>
              <w:t xml:space="preserve">Text contrast (4.5:1 body)</w:t>
            </w:r>
          </w:p>
        </w:tc>
        <w:tc>
          <w:p>
            <w:r>
              <w:rPr>
                <w:b w:val="false"/>
                <w:bCs w:val="false"/>
              </w:rPr>
              <w:t xml:space="preserve">Pass — documented</w:t>
            </w:r>
          </w:p>
        </w:tc>
        <w:tc>
          <w:p>
            <w:r>
              <w:rPr>
                <w:b w:val="false"/>
                <w:bCs w:val="false"/>
              </w:rPr>
              <w:t xml:space="preserve">Every core text color carries an explicit ratio in theme.py, with two tokens (RED, TEXT_DIM) shown being actively corrected after a recheck caught a near-miss or outright fail.</w:t>
            </w:r>
          </w:p>
        </w:tc>
      </w:tr>
      <w:tr>
        <w:tc>
          <w:p>
            <w:r>
              <w:rPr>
                <w:b w:val="false"/>
                <w:bCs w:val="false"/>
              </w:rPr>
              <w:t xml:space="preserve">Non-text / focus contrast (3:1)</w:t>
            </w:r>
          </w:p>
        </w:tc>
        <w:tc>
          <w:p>
            <w:r>
              <w:rPr>
                <w:b w:val="false"/>
                <w:bCs w:val="false"/>
              </w:rPr>
              <w:t xml:space="preserve">Pass — documented</w:t>
            </w:r>
          </w:p>
        </w:tc>
        <w:tc>
          <w:p>
            <w:r>
              <w:rPr>
                <w:b w:val="false"/>
                <w:bCs w:val="false"/>
              </w:rPr>
              <w:t xml:space="preserve">The FOCUS token was deliberately moved off a color that collided with the hero-number green, and is checked at 4.67:1 on card backgrounds — clears both the text and non-text bars.</w:t>
            </w:r>
          </w:p>
        </w:tc>
      </w:tr>
      <w:tr>
        <w:tc>
          <w:p>
            <w:r>
              <w:rPr>
                <w:b w:val="false"/>
                <w:bCs w:val="false"/>
              </w:rPr>
              <w:t xml:space="preserve">Colour not sole conveyor</w:t>
            </w:r>
          </w:p>
        </w:tc>
        <w:tc>
          <w:p>
            <w:r>
              <w:rPr>
                <w:b w:val="false"/>
                <w:bCs w:val="false"/>
              </w:rPr>
              <w:t xml:space="preserve">Mostly pass</w:t>
            </w:r>
          </w:p>
        </w:tc>
        <w:tc>
          <w:p>
            <w:r>
              <w:rPr>
                <w:b w:val="false"/>
                <w:bCs w:val="false"/>
              </w:rPr>
              <w:t xml:space="preserve">Honoured almost everywhere via the Colour-Plus Rule; the Goals over-100% progress bar (§3.2) is the one clear counter-example found.</w:t>
            </w:r>
          </w:p>
        </w:tc>
      </w:tr>
      <w:tr>
        <w:tc>
          <w:p>
            <w:r>
              <w:rPr>
                <w:b w:val="false"/>
                <w:bCs w:val="false"/>
              </w:rPr>
              <w:t xml:space="preserve">Light-mode / alternate theme</w:t>
            </w:r>
          </w:p>
        </w:tc>
        <w:tc>
          <w:p>
            <w:r>
              <w:rPr>
                <w:b w:val="false"/>
                <w:bCs w:val="false"/>
              </w:rPr>
              <w:t xml:space="preserve">Not present</w:t>
            </w:r>
          </w:p>
        </w:tc>
        <w:tc>
          <w:p>
            <w:r>
              <w:rPr>
                <w:b w:val="false"/>
                <w:bCs w:val="false"/>
              </w:rPr>
              <w:t xml:space="preserve">Dark-mode only. A reasonable choice for a personal desktop tool, but worth naming explicitly as a real gap for bright-environment or light-preference use.</w:t>
            </w:r>
          </w:p>
        </w:tc>
      </w:tr>
    </w:tbl>
    <w:p>
      <w:pPr>
        <w:spacing w:after="120"/>
      </w:pPr>
    </w:p>
    <w:p>
      <w:pPr>
        <w:pStyle w:val="Heading3"/>
        <w:spacing w:after="100" w:before="220"/>
      </w:pPr>
      <w:r>
        <w:t xml:space="preserve">7.2 Screen Reader Compatibility</w:t>
      </w:r>
    </w:p>
    <w:p>
      <w:pPr>
        <w:spacing w:after="120"/>
      </w:pPr>
      <w:r>
        <w:t xml:space="preserve">Cannot be verified without running the live PyQt6 application, which wasn't possible in this environment. This is flagged as a genuine open risk rather than a pass or fail: several of the app's most information-dense surfaces (the calendar heatmap, every chart) are hand-painted with QPainter rather than built from native, accessibility-tree-aware widgets, which is a well-known hard case for screen readers unless accessible names/roles are explicitly implemented on top of the custom paint code. Nothing in the reviewed docs or code comments indicates this has been tested either way.</w:t>
      </w:r>
    </w:p>
    <w:p>
      <w:pPr>
        <w:pStyle w:val="Heading3"/>
        <w:spacing w:after="100" w:before="220"/>
      </w:pPr>
      <w:r>
        <w:t xml:space="preserve">7.3 Motor Accessibility</w:t>
      </w:r>
    </w:p>
    <w:p>
      <w:pPr>
        <w:spacing w:after="120"/>
      </w:pPr>
      <w:r>
        <w:t xml:space="preserve">Touch-target sizing is not applicable to a mouse/keyboard desktop app. Keyboard-only operability of the same custom-painted controls (calendar cells, chart hover pills) is the same open question as 7.2 for the same reason — QPainter widgets need explicit keyboard event handling and focus painting that isn't automatic the way it would be for a native QPushButton or QListWidget.</w:t>
      </w:r>
    </w:p>
    <w:p>
      <w:pPr>
        <w:pStyle w:val="Heading2"/>
        <w:spacing w:after="180" w:before="380"/>
      </w:pPr>
      <w:r>
        <w:t xml:space="preserve">2F. PERFORMANCE &amp; TECHNICAL CONSIDERATIONS</w:t>
      </w:r>
    </w:p>
    <w:p>
      <w:pPr>
        <w:pStyle w:val="Heading3"/>
        <w:spacing w:after="100" w:before="220"/>
      </w:pPr>
      <w:r>
        <w:t xml:space="preserve">8.1 Load Time &amp; Responsiveness</w:t>
      </w:r>
    </w:p>
    <w:p>
      <w:pPr>
        <w:spacing w:after="120"/>
      </w:pPr>
      <w:r>
        <w:t xml:space="preserve">Not directly measurable without running the live app. One good architectural signal: backend.py is documented as pure Python with no Qt dependency specifically so business logic can be unit-tested independently of the UI (confirmed by a populated tests/ directory and repeated references to a passing pytest suite in the internal review docs) — a separation of concerns that tends to correlate with predictable performance and easier regression-catching, even though it isn't a direct performance measurement.</w:t>
      </w:r>
    </w:p>
    <w:p>
      <w:pPr>
        <w:pStyle w:val="Heading3"/>
        <w:spacing w:after="100" w:before="220"/>
      </w:pPr>
      <w:r>
        <w:t xml:space="preserve">8.2 Data Synchronisation</w:t>
      </w:r>
    </w:p>
    <w:p>
      <w:pPr>
        <w:spacing w:after="120"/>
      </w:pPr>
      <w:r>
        <w:t xml:space="preserve">Not applicable — this is a single-device desktop tool with local data storage by design (data/ is gitignored and created on first run); no multi-device sync is claimed anywhere in the product documentation.</w:t>
      </w:r>
    </w:p>
    <w:p>
      <w:pPr>
        <w:pStyle w:val="Heading3"/>
        <w:spacing w:after="100" w:before="220"/>
      </w:pPr>
      <w:r>
        <w:t xml:space="preserve">8.3 Offline Capability</w:t>
      </w:r>
    </w:p>
    <w:p>
      <w:pPr>
        <w:spacing w:after="120"/>
      </w:pPr>
      <w:r>
        <w:t xml:space="preserve">A genuine strength worth stating plainly: the app is offline-first by construction. Bank data enters only via manual CSV/OFX import, or an optional beta live-sync feature where README.md and the Settings screen both explicitly state "your bank login is never entered into this app" and only a locally-stored API key is used. This is a specific, verifiable trust claim rather than vague reassurance copy, and it directly supports the product's stated "precise, no-nonsense" brand personality.</w:t>
      </w:r>
    </w:p>
    <w:p>
      <w:pPr>
        <w:pStyle w:val="Heading2"/>
        <w:spacing w:after="180" w:before="380"/>
      </w:pPr>
      <w:r>
        <w:t xml:space="preserve">2G. PLATFORM &amp; CONVENTION COMPLIANCE</w:t>
      </w:r>
    </w:p>
    <w:p>
      <w:pPr>
        <w:pStyle w:val="Heading3"/>
        <w:spacing w:after="100" w:before="220"/>
      </w:pPr>
      <w:r>
        <w:t xml:space="preserve">9.1 Desktop Conventions</w:t>
      </w:r>
    </w:p>
    <w:p>
      <w:pPr>
        <w:spacing w:after="120"/>
      </w:pPr>
      <w:r>
        <w:t xml:space="preserve">Windows-only, packaged via PyInstaller (Budget.spec, build.bat, app.ico). PyQt6 provides native-ish base widget behaviour, but the extensive use of custom QPainter chrome for charts and the calendar means a meaningful share of the interface doesn't automatically inherit OS-level theming or accessibility behaviour the way stock Qt widgets would — consistent with the open questions raised in §7.2–7.3.</w:t>
      </w:r>
    </w:p>
    <w:p>
      <w:pPr>
        <w:pStyle w:val="Heading3"/>
        <w:spacing w:after="100" w:before="220"/>
      </w:pPr>
      <w:r>
        <w:t xml:space="preserve">9.2 Web Standards</w:t>
      </w:r>
    </w:p>
    <w:p>
      <w:pPr>
        <w:spacing w:after="120"/>
      </w:pPr>
      <w:r>
        <w:t xml:space="preserve">Not applicable; this is a native desktop application with no web surface.</w:t>
      </w:r>
    </w:p>
    <w:p>
      <w:pPr>
        <w:pStyle w:val="Heading2"/>
        <w:spacing w:after="180" w:before="380"/>
      </w:pPr>
      <w:r>
        <w:t xml:space="preserve">2H. SECURITY &amp; TRUST PERCEPTION</w:t>
      </w:r>
    </w:p>
    <w:p>
      <w:pPr>
        <w:pStyle w:val="Heading3"/>
        <w:spacing w:after="100" w:before="220"/>
      </w:pPr>
      <w:r>
        <w:t xml:space="preserve">10.1 Data Security Communication</w:t>
      </w:r>
    </w:p>
    <w:p>
      <w:pPr>
        <w:spacing w:after="120"/>
      </w:pPr>
      <w:r>
        <w:t xml:space="preserve">Security/privacy messaging is specific rather than generic: the Settings screen states plainly that bank credentials are never entered into the app and that CSV/OFX import or a locally-stored Basiq API key are the only data paths in. This kind of concrete, falsifiable claim builds more trust than a blanket privacy-policy link, and is consistent with the brand's stated "precise and no-nonsense" personality.</w:t>
      </w:r>
    </w:p>
    <w:p>
      <w:pPr>
        <w:pStyle w:val="Heading3"/>
        <w:spacing w:after="100" w:before="220"/>
      </w:pPr>
      <w:r>
        <w:t xml:space="preserve">10.2 Trust Indicators</w:t>
      </w:r>
    </w:p>
    <w:p>
      <w:pPr>
        <w:spacing w:after="120"/>
      </w:pPr>
      <w:r>
        <w:t xml:space="preserve">The "calm under bad news" principle — a deficit, an overdue bill, or negative net worth reported in the same flat visual language as good news, with no separate alarm chrome — is an unusual and well-argued stylistic choice. Most consumer finance apps do the opposite (red banners, warning icons, apologetic copy for bad numbers); reporting bad news factually is arguably more trustworthy over time, since it signals the app isn't trying to manage the user's emotions, only report the number.</w:t>
      </w:r>
    </w:p>
    <w:p>
      <w:pPr>
        <w:pStyle w:val="Heading2"/>
        <w:spacing w:after="180" w:before="380"/>
      </w:pPr>
      <w:r>
        <w:t xml:space="preserve">2I. ONBOARDING &amp; FIRST-TIME USER EXPERIENCE</w:t>
      </w:r>
    </w:p>
    <w:p>
      <w:pPr>
        <w:spacing w:after="120"/>
      </w:pPr>
      <w:r>
        <w:t xml:space="preserve">Traditional onboarding evaluation doesn't really apply here and shouldn't be scored as a gap: this is a personal tool built by its author for their own repeated use, not a product meant to onboard strangers. No in-app guided tour was found in the reviewed material (the tour_*.png filenames appear to be internal design-review captures rather than an actual in-app tutorial). If the tool were ever shared with a second person (e.g. a housemate who needs to see their own owed/settled balances), a minimal first-run explanation of the plan-vs-reality split and the shared-subscription settle-up flow would become worth adding — but as a note for future scope, not a current defect.</w:t>
      </w:r>
    </w:p>
    <w:p>
      <w:pPr>
        <w:pStyle w:val="Heading2"/>
        <w:spacing w:after="180" w:before="380"/>
      </w:pPr>
      <w:r>
        <w:t xml:space="preserve">2J. COMPETITIVE POSITIONING</w:t>
      </w:r>
    </w:p>
    <w:p>
      <w:pPr>
        <w:spacing w:after="120"/>
      </w:pPr>
      <w:r>
        <w:t xml:space="preserve">DESIGN.md explicitly names Mint, YNAB, and Monarch as anti-references, rejecting their "rounded, colorful, friendly grammar" in favour of a restrained, near-black, functional-color-only "trading terminal" register. This is a coherent and unusually explicit positioning choice — most budgeting-app design reviews chase feature parity with competitors; this one instead differentiates on trust-through-precision and on treating the plan and the bank reality as equally first-class views, which mainstream competitors generally don't (most default to an actuals-only reconciliation view with the forecast, if present at all, treated as a secondary or premium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4472C4" w:val="clear"/>
          </w:tcPr>
          <w:p>
            <w:r>
              <w:rPr>
                <w:b w:val="false"/>
                <w:bCs w:val="false"/>
                <w:color w:val="FFFFFF"/>
              </w:rPr>
              <w:t xml:space="preserve">Dimension</w:t>
            </w:r>
          </w:p>
        </w:tc>
        <w:tc>
          <w:tcPr>
            <w:tcW w:type="dxa" w:w="4900"/>
            <w:shd w:fill="4472C4" w:val="clear"/>
          </w:tcPr>
          <w:p>
            <w:r>
              <w:rPr>
                <w:b w:val="false"/>
                <w:bCs w:val="false"/>
                <w:color w:val="FFFFFF"/>
              </w:rPr>
              <w:t xml:space="preserve">Budgeting Tool</w:t>
            </w:r>
          </w:p>
        </w:tc>
        <w:tc>
          <w:tcPr>
            <w:tcW w:type="dxa" w:w="4640"/>
            <w:shd w:fill="4472C4" w:val="clear"/>
          </w:tcPr>
          <w:p>
            <w:r>
              <w:rPr>
                <w:b w:val="false"/>
                <w:bCs w:val="false"/>
                <w:color w:val="FFFFFF"/>
              </w:rPr>
              <w:t xml:space="preserve">Typical consumer app (Mint / YNAB / Monarch)</w:t>
            </w:r>
          </w:p>
        </w:tc>
      </w:tr>
      <w:tr>
        <w:tc>
          <w:p>
            <w:r>
              <w:rPr>
                <w:b w:val="false"/>
                <w:bCs w:val="false"/>
              </w:rPr>
              <w:t xml:space="preserve">Visual language</w:t>
            </w:r>
          </w:p>
        </w:tc>
        <w:tc>
          <w:p>
            <w:r>
              <w:rPr>
                <w:b w:val="false"/>
                <w:bCs w:val="false"/>
              </w:rPr>
              <w:t xml:space="preserve">Flat, near-black, zero-decoration, functional color only</w:t>
            </w:r>
          </w:p>
        </w:tc>
        <w:tc>
          <w:p>
            <w:r>
              <w:rPr>
                <w:b w:val="false"/>
                <w:bCs w:val="false"/>
              </w:rPr>
              <w:t xml:space="preserve">Rounded, colourful, illustration-heavy, friendly/reassuring tone</w:t>
            </w:r>
          </w:p>
        </w:tc>
      </w:tr>
      <w:tr>
        <w:tc>
          <w:p>
            <w:r>
              <w:rPr>
                <w:b w:val="false"/>
                <w:bCs w:val="false"/>
              </w:rPr>
              <w:t xml:space="preserve">Plan vs. actual</w:t>
            </w:r>
          </w:p>
        </w:tc>
        <w:tc>
          <w:p>
            <w:r>
              <w:rPr>
                <w:b w:val="false"/>
                <w:bCs w:val="false"/>
              </w:rPr>
              <w:t xml:space="preserve">Explicitly equal weight (by design intent, now also in implementation)</w:t>
            </w:r>
          </w:p>
        </w:tc>
        <w:tc>
          <w:p>
            <w:r>
              <w:rPr>
                <w:b w:val="false"/>
                <w:bCs w:val="false"/>
              </w:rPr>
              <w:t xml:space="preserve">Usually actuals-first; forecasting is often a secondary or paid feature</w:t>
            </w:r>
          </w:p>
        </w:tc>
      </w:tr>
      <w:tr>
        <w:tc>
          <w:p>
            <w:r>
              <w:rPr>
                <w:b w:val="false"/>
                <w:bCs w:val="false"/>
              </w:rPr>
              <w:t xml:space="preserve">Shared-cost splitting</w:t>
            </w:r>
          </w:p>
        </w:tc>
        <w:tc>
          <w:p>
            <w:r>
              <w:rPr>
                <w:b w:val="false"/>
                <w:bCs w:val="false"/>
              </w:rPr>
              <w:t xml:space="preserve">First-class: per-person owed/settle-up UI</w:t>
            </w:r>
          </w:p>
        </w:tc>
        <w:tc>
          <w:p>
            <w:r>
              <w:rPr>
                <w:b w:val="false"/>
                <w:bCs w:val="false"/>
              </w:rPr>
              <w:t xml:space="preserve">Usually absent or bolted on</w:t>
            </w:r>
          </w:p>
        </w:tc>
      </w:tr>
      <w:tr>
        <w:tc>
          <w:p>
            <w:r>
              <w:rPr>
                <w:b w:val="false"/>
                <w:bCs w:val="false"/>
              </w:rPr>
              <w:t xml:space="preserve">Bad-news treatment</w:t>
            </w:r>
          </w:p>
        </w:tc>
        <w:tc>
          <w:p>
            <w:r>
              <w:rPr>
                <w:b w:val="false"/>
                <w:bCs w:val="false"/>
              </w:rPr>
              <w:t xml:space="preserve">Calm, same visual language as good news</w:t>
            </w:r>
          </w:p>
        </w:tc>
        <w:tc>
          <w:p>
            <w:r>
              <w:rPr>
                <w:b w:val="false"/>
                <w:bCs w:val="false"/>
              </w:rPr>
              <w:t xml:space="preserve">Often alarm-styled (red banners, warning icons)</w:t>
            </w:r>
          </w:p>
        </w:tc>
      </w:tr>
      <w:tr>
        <w:tc>
          <w:p>
            <w:r>
              <w:rPr>
                <w:b w:val="false"/>
                <w:bCs w:val="false"/>
              </w:rPr>
              <w:t xml:space="preserve">Onboarding</w:t>
            </w:r>
          </w:p>
        </w:tc>
        <w:tc>
          <w:p>
            <w:r>
              <w:rPr>
                <w:b w:val="false"/>
                <w:bCs w:val="false"/>
              </w:rPr>
              <w:t xml:space="preserve">None — not needed for its actual single-user audience</w:t>
            </w:r>
          </w:p>
        </w:tc>
        <w:tc>
          <w:p>
            <w:r>
              <w:rPr>
                <w:b w:val="false"/>
                <w:bCs w:val="false"/>
              </w:rPr>
              <w:t xml:space="preserve">Extensive, since these are multi-tenant consumer products</w:t>
            </w:r>
          </w:p>
        </w:tc>
      </w:tr>
    </w:tbl>
    <w:r>
      <w:br w:type="page"/>
    </w:r>
    <w:p>
      <w:pPr>
        <w:pStyle w:val="Heading2"/>
        <w:spacing w:after="180" w:before="380"/>
      </w:pPr>
      <w:r>
        <w:t xml:space="preserve">3. STRENGTHS &amp; WEAKNESSES</w:t>
      </w:r>
    </w:p>
    <w:p>
      <w:pPr>
        <w:pStyle w:val="Heading3"/>
        <w:spacing w:after="100" w:before="220"/>
      </w:pPr>
      <w:r>
        <w:t xml:space="preserve">Design Strengths</w:t>
      </w:r>
    </w:p>
    <w:p>
      <w:pPr>
        <w:spacing w:after="90"/>
      </w:pPr>
      <w:r>
        <w:t xml:space="preserve">•  Accessibility contrast discipline embedded directly in the design tokens, with a visible, honest history of self-correction — rare rigor for a project of this size.</w:t>
      </w:r>
    </w:p>
    <w:p>
      <w:pPr>
        <w:spacing w:after="90"/>
      </w:pPr>
      <w:r>
        <w:t xml:space="preserve">•  A coherent, well-argued visual identity that deliberately rejects consumer-finance-app conventions rather than following them by default.</w:t>
      </w:r>
    </w:p>
    <w:p>
      <w:pPr>
        <w:spacing w:after="90"/>
      </w:pPr>
      <w:r>
        <w:t xml:space="preserve">•  Deterministic per-category chart colouring keeps the same spending category visually identical across every chart in the app.</w:t>
      </w:r>
    </w:p>
    <w:p>
      <w:pPr>
        <w:spacing w:after="90"/>
      </w:pPr>
      <w:r>
        <w:t xml:space="preserve">•  Specific, falsifiable privacy/trust copy ("your bank login is never entered into this app") rather than generic reassurance.</w:t>
      </w:r>
    </w:p>
    <w:p>
      <w:pPr>
        <w:spacing w:after="90"/>
      </w:pPr>
      <w:r>
        <w:t xml:space="preserve">•  A purpose-built shared-subscription settle-up flow that most competitor products handle poorly or not at all.</w:t>
      </w:r>
    </w:p>
    <w:p>
      <w:pPr>
        <w:pStyle w:val="Heading3"/>
        <w:spacing w:after="100" w:before="220"/>
      </w:pPr>
      <w:r>
        <w:t xml:space="preserve">Usability Strengths</w:t>
      </w:r>
    </w:p>
    <w:p>
      <w:pPr>
        <w:spacing w:after="90"/>
      </w:pPr>
      <w:r>
        <w:t xml:space="preserve">•  Single-level, task-matched navigation with consistent element positioning across screens.</w:t>
      </w:r>
    </w:p>
    <w:p>
      <w:pPr>
        <w:spacing w:after="90"/>
      </w:pPr>
      <w:r>
        <w:t xml:space="preserve">•  Inline "+ Add item" affordances minimise friction for the single most frequent user action.</w:t>
      </w:r>
    </w:p>
    <w:p>
      <w:pPr>
        <w:spacing w:after="90"/>
      </w:pPr>
      <w:r>
        <w:t xml:space="preserve">•  An active internal review culture — dated critique documents, a defined review methodology, and before/after verification — meaning defects tend to get caught and documented rather than accumulating silently.</w:t>
      </w:r>
    </w:p>
    <w:p>
      <w:pPr>
        <w:pStyle w:val="Heading3"/>
        <w:spacing w:after="100" w:before="220"/>
      </w:pPr>
      <w:r>
        <w:t xml:space="preserve">Critical Weaknesses</w:t>
      </w:r>
    </w:p>
    <w:p>
      <w:pPr>
        <w:spacing w:after="90"/>
      </w:pPr>
      <w:r>
        <w:t xml:space="preserve">•  DESIGN.md (the written design-system spec) has drifted from theme.py (the shipped tokens) on corner radius, sidebar width, and several colours — a real risk of anyone using the spec as ground truth misjudging the actual product.</w:t>
      </w:r>
    </w:p>
    <w:p>
      <w:pPr>
        <w:spacing w:after="90"/>
      </w:pPr>
      <w:r>
        <w:t xml:space="preserve">•  The Overview headline P&amp;L was, until a recent fix, silently plan-only and excluded real bank data for months at a time — a direct violation of the product's own central thesis, now resolved but indicative of how easily that thesis can be broken without ongoing review.</w:t>
      </w:r>
    </w:p>
    <w:p>
      <w:pPr>
        <w:spacing w:after="90"/>
      </w:pPr>
      <w:r>
        <w:t xml:space="preserve">•  The Goals page's over-100% progress bar reads in a warning color for what is objectively good news (exceeding a savings target) — a clear colour-semantics bug.</w:t>
      </w:r>
    </w:p>
    <w:p>
      <w:pPr>
        <w:spacing w:after="90"/>
      </w:pPr>
      <w:r>
        <w:t xml:space="preserve">•  Screen-reader and keyboard operability of the custom QPainter-drawn calendar and charts is unverified and structurally at risk given how these widgets are built.</w:t>
      </w:r>
    </w:p>
    <w:p>
      <w:pPr>
        <w:pStyle w:val="Heading3"/>
        <w:spacing w:after="100" w:before="220"/>
      </w:pPr>
      <w:r>
        <w:t xml:space="preserve">Quick Wins / Opportunities</w:t>
      </w:r>
    </w:p>
    <w:p>
      <w:pPr>
        <w:spacing w:after="90"/>
      </w:pPr>
      <w:r>
        <w:t xml:space="preserve">•  Reroute the Goals over-target progress bar through the "good news" (green) color family instead of the over-budget (warning) family, and clamp or relabel the bar visually past 100%.</w:t>
      </w:r>
    </w:p>
    <w:p>
      <w:pPr>
        <w:spacing w:after="90"/>
      </w:pPr>
      <w:r>
        <w:t xml:space="preserve">•  Regenerate DESIGN.md from theme.py (or vice versa) so one is mechanically derived from the other, and add a "last verified against source" date to prevent the same drift recurring.</w:t>
      </w:r>
    </w:p>
    <w:p>
      <w:pPr>
        <w:spacing w:after="90"/>
      </w:pPr>
      <w:r>
        <w:t xml:space="preserve">•  Re-capture the marketing/tour screenshots against the current 240px labelled sidebar — the currently available set still shows the fixed 72px truncation bug and will confuse future reviews.</w:t>
      </w:r>
    </w:p>
    <w:p>
      <w:pPr>
        <w:pStyle w:val="Heading2"/>
        <w:spacing w:after="180" w:before="380"/>
      </w:pPr>
      <w:r>
        <w:t xml:space="preserve">4. RECOMMENDATIONS &amp; ROADMAP</w:t>
      </w:r>
    </w:p>
    <w:p>
      <w:pPr>
        <w:pStyle w:val="Heading3"/>
        <w:spacing w:after="100" w:before="220"/>
      </w:pPr>
      <w:r>
        <w:t xml:space="preserve">Priority 1 — Critical (High Impact, Effort &lt; 1 month)</w:t>
      </w:r>
    </w:p>
    <w:p>
      <w:pPr>
        <w:spacing w:after="120"/>
      </w:pPr>
      <w:r>
        <w:t xml:space="preserve">1. Fix the Goals progress-bar colour/overflow behaviour so exceeding a savings or P&amp;L target reads as positive, not as an overrun warning.</w:t>
      </w:r>
    </w:p>
    <w:p>
      <w:pPr>
        <w:spacing w:after="120"/>
      </w:pPr>
      <w:r>
        <w:t xml:space="preserve">2. Reconcile DESIGN.md with theme.py — pick one as the generation source for the other, or at minimum re-audit and rewrite DESIGN.md's colour, radius, and layout values against the current code in a single pass.</w:t>
      </w:r>
    </w:p>
    <w:p>
      <w:pPr>
        <w:pStyle w:val="Heading3"/>
        <w:spacing w:after="100" w:before="220"/>
      </w:pPr>
      <w:r>
        <w:t xml:space="preserve">Priority 2 — Important (Medium Impact, 1–2 months)</w:t>
      </w:r>
    </w:p>
    <w:p>
      <w:pPr>
        <w:spacing w:after="120"/>
      </w:pPr>
      <w:r>
        <w:t xml:space="preserve">1. Verify (and where missing, implement) keyboard focus handling and basic accessible naming on the custom-painted calendar and chart widgets — even for a single-user tool, this protects the author's own future accessibility needs and general maintainability.</w:t>
      </w:r>
    </w:p>
    <w:p>
      <w:pPr>
        <w:spacing w:after="120"/>
      </w:pPr>
      <w:r>
        <w:t xml:space="preserve">2. Confirm which Overview right-rail layout is currently shipped (Predicted Income/Budget-vs-actual vs. Target P&amp;L/Weekly P&amp;L) and remove the stale variant from screenshots and internal docs so they stop disagreeing.</w:t>
      </w:r>
    </w:p>
    <w:p>
      <w:pPr>
        <w:spacing w:after="120"/>
      </w:pPr>
      <w:r>
        <w:t xml:space="preserve">3. Re-capture reference screenshots against the current 240px sidebar and any shipped subtractive-pass calendar changes, so future design reviews start from ground truth rather than a stale visual snapshot.</w:t>
      </w:r>
    </w:p>
    <w:p>
      <w:pPr>
        <w:pStyle w:val="Heading3"/>
        <w:spacing w:after="100" w:before="220"/>
      </w:pPr>
      <w:r>
        <w:t xml:space="preserve">Priority 3 — Nice-to-Have (Lower Priority, 2+ months)</w:t>
      </w:r>
    </w:p>
    <w:p>
      <w:pPr>
        <w:spacing w:after="120"/>
      </w:pPr>
      <w:r>
        <w:t xml:space="preserve">1. Add a lightweight, single-level "undo last delete" affordance, preserving the current low-friction one-click delete while closing its one real safety gap.</w:t>
      </w:r>
    </w:p>
    <w:p>
      <w:pPr>
        <w:spacing w:after="120"/>
      </w:pPr>
      <w:r>
        <w:t xml:space="preserve">2. Extend the existing WCAG-contrast rigor already applied to text colour into a documented pass over interactive/focus states on the custom-painted widgets specifically.</w:t>
      </w:r>
    </w:p>
    <w:p>
      <w:pPr>
        <w:pStyle w:val="Heading2"/>
        <w:spacing w:after="180" w:before="380"/>
      </w:pPr>
      <w:r>
        <w:t xml:space="preserve">5. CONCLUSION</w:t>
      </w:r>
    </w:p>
    <w:p>
      <w:pPr>
        <w:spacing w:after="120"/>
      </w:pPr>
      <w:r>
        <w:t xml:space="preserve">Budgeting Tool is a distinctive, well-reasoned personal finance tool with a genuinely rare level of design rigor for its scale — the contrast-ratio discipline baked into the token file and the dated internal critique practice are both things most production teams should be doing and aren't. The product's central differentiator, holding plan and reality to equal standard, is well-articulated and mostly realized, though its own internal review found and fixed a case where that thesis was silently broken for months, which is the strongest evidence in this whole audit for keeping that review practice running rather than treating it as finished. The most consequential fix available right now is closing the gap between the written design spec and the shipped tokens — nearly every downstream inconsistency this review found traces back, directly or indirectly, to that document drift.</w:t>
      </w:r>
    </w:p>
    <w:p>
      <w:pPr>
        <w:spacing w:after="120"/>
      </w:pPr>
      <w:r>
        <w:t xml:space="preserve">Overall Assessment: Good — solid design with a small number of concrete, fixable flaws.</w:t>
      </w:r>
    </w:p>
    <w:p>
      <w:pPr>
        <w:spacing w:after="300"/>
      </w:pPr>
      <w:r>
        <w:t xml:space="preserve">Key Recommendation: treat theme.py as the single source of truth for the visual language, regenerate or rewrite DESIGN.md against it in one pass, and re-run the internal review methodology on a recurring schedule rather than as a one-off — the Overview P&amp;L defect shows what happens when that stops.</w:t>
      </w:r>
    </w:p>
    <w:p>
      <w:pPr>
        <w:pStyle w:val="Heading2"/>
        <w:spacing w:after="180" w:before="380"/>
      </w:pPr>
      <w:r>
        <w:t xml:space="preserve">APPENDIX: EVALUATION MATRIX</w:t>
      </w:r>
    </w:p>
    <w:p>
      <w:pPr>
        <w:spacing w:after="120"/>
      </w:pPr>
      <w:r>
        <w:t xml:space="preserve">Scores reflect this review's findings (1–5 scale, 5 = excellent). Accessibility and performance carry lower confidence since the live app could not be run in this environment; both are scored conservatively and flagged for direct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300"/>
            <w:shd w:fill="4472C4" w:val="clear"/>
          </w:tcPr>
          <w:p>
            <w:r>
              <w:rPr>
                <w:b w:val="false"/>
                <w:bCs w:val="false"/>
                <w:color w:val="FFFFFF"/>
              </w:rPr>
              <w:t xml:space="preserve">Category</w:t>
            </w:r>
          </w:p>
        </w:tc>
        <w:tc>
          <w:tcPr>
            <w:tcW w:type="dxa" w:w="2100"/>
            <w:shd w:fill="4472C4" w:val="clear"/>
          </w:tcPr>
          <w:p>
            <w:r>
              <w:rPr>
                <w:b w:val="false"/>
                <w:bCs w:val="false"/>
                <w:color w:val="FFFFFF"/>
              </w:rPr>
              <w:t xml:space="preserve">Score (1–5)</w:t>
            </w:r>
          </w:p>
        </w:tc>
        <w:tc>
          <w:tcPr>
            <w:tcW w:type="dxa" w:w="1900"/>
            <w:shd w:fill="4472C4" w:val="clear"/>
          </w:tcPr>
          <w:p>
            <w:r>
              <w:rPr>
                <w:b w:val="false"/>
                <w:bCs w:val="false"/>
                <w:color w:val="FFFFFF"/>
              </w:rPr>
              <w:t xml:space="preserve">Weight</w:t>
            </w:r>
          </w:p>
        </w:tc>
        <w:tc>
          <w:tcPr>
            <w:tcW w:type="dxa" w:w="1940"/>
            <w:shd w:fill="4472C4" w:val="clear"/>
          </w:tcPr>
          <w:p>
            <w:r>
              <w:rPr>
                <w:b w:val="false"/>
                <w:bCs w:val="false"/>
                <w:color w:val="FFFFFF"/>
              </w:rPr>
              <w:t xml:space="preserve">Weighted</w:t>
            </w:r>
          </w:p>
        </w:tc>
      </w:tr>
      <w:tr>
        <w:tc>
          <w:p>
            <w:r>
              <w:rPr>
                <w:b w:val="false"/>
                <w:bCs w:val="false"/>
              </w:rPr>
              <w:t xml:space="preserve">Information Architecture</w:t>
            </w:r>
          </w:p>
        </w:tc>
        <w:tc>
          <w:p>
            <w:r>
              <w:rPr>
                <w:b w:val="false"/>
                <w:bCs w:val="false"/>
              </w:rPr>
              <w:t xml:space="preserve">4</w:t>
            </w:r>
          </w:p>
        </w:tc>
        <w:tc>
          <w:p>
            <w:r>
              <w:rPr>
                <w:b w:val="false"/>
                <w:bCs w:val="false"/>
              </w:rPr>
              <w:t xml:space="preserve">15%</w:t>
            </w:r>
          </w:p>
        </w:tc>
        <w:tc>
          <w:p>
            <w:r>
              <w:rPr>
                <w:b w:val="false"/>
                <w:bCs w:val="false"/>
              </w:rPr>
              <w:t xml:space="preserve">0.60</w:t>
            </w:r>
          </w:p>
        </w:tc>
      </w:tr>
      <w:tr>
        <w:tc>
          <w:p>
            <w:r>
              <w:rPr>
                <w:b w:val="false"/>
                <w:bCs w:val="false"/>
              </w:rPr>
              <w:t xml:space="preserve">Visual Design</w:t>
            </w:r>
          </w:p>
        </w:tc>
        <w:tc>
          <w:p>
            <w:r>
              <w:rPr>
                <w:b w:val="false"/>
                <w:bCs w:val="false"/>
              </w:rPr>
              <w:t xml:space="preserve">4</w:t>
            </w:r>
          </w:p>
        </w:tc>
        <w:tc>
          <w:p>
            <w:r>
              <w:rPr>
                <w:b w:val="false"/>
                <w:bCs w:val="false"/>
              </w:rPr>
              <w:t xml:space="preserve">20%</w:t>
            </w:r>
          </w:p>
        </w:tc>
        <w:tc>
          <w:p>
            <w:r>
              <w:rPr>
                <w:b w:val="false"/>
                <w:bCs w:val="false"/>
              </w:rPr>
              <w:t xml:space="preserve">0.80</w:t>
            </w:r>
          </w:p>
        </w:tc>
      </w:tr>
      <w:tr>
        <w:tc>
          <w:p>
            <w:r>
              <w:rPr>
                <w:b w:val="false"/>
                <w:bCs w:val="false"/>
              </w:rPr>
              <w:t xml:space="preserve">Interaction Design</w:t>
            </w:r>
          </w:p>
        </w:tc>
        <w:tc>
          <w:p>
            <w:r>
              <w:rPr>
                <w:b w:val="false"/>
                <w:bCs w:val="false"/>
              </w:rPr>
              <w:t xml:space="preserve">4</w:t>
            </w:r>
          </w:p>
        </w:tc>
        <w:tc>
          <w:p>
            <w:r>
              <w:rPr>
                <w:b w:val="false"/>
                <w:bCs w:val="false"/>
              </w:rPr>
              <w:t xml:space="preserve">20%</w:t>
            </w:r>
          </w:p>
        </w:tc>
        <w:tc>
          <w:p>
            <w:r>
              <w:rPr>
                <w:b w:val="false"/>
                <w:bCs w:val="false"/>
              </w:rPr>
              <w:t xml:space="preserve">0.80</w:t>
            </w:r>
          </w:p>
        </w:tc>
      </w:tr>
      <w:tr>
        <w:tc>
          <w:p>
            <w:r>
              <w:rPr>
                <w:b w:val="false"/>
                <w:bCs w:val="false"/>
              </w:rPr>
              <w:t xml:space="preserve">Usability</w:t>
            </w:r>
          </w:p>
        </w:tc>
        <w:tc>
          <w:p>
            <w:r>
              <w:rPr>
                <w:b w:val="false"/>
                <w:bCs w:val="false"/>
              </w:rPr>
              <w:t xml:space="preserve">4</w:t>
            </w:r>
          </w:p>
        </w:tc>
        <w:tc>
          <w:p>
            <w:r>
              <w:rPr>
                <w:b w:val="false"/>
                <w:bCs w:val="false"/>
              </w:rPr>
              <w:t xml:space="preserve">20%</w:t>
            </w:r>
          </w:p>
        </w:tc>
        <w:tc>
          <w:p>
            <w:r>
              <w:rPr>
                <w:b w:val="false"/>
                <w:bCs w:val="false"/>
              </w:rPr>
              <w:t xml:space="preserve">0.80</w:t>
            </w:r>
          </w:p>
        </w:tc>
      </w:tr>
      <w:tr>
        <w:tc>
          <w:p>
            <w:r>
              <w:rPr>
                <w:b w:val="false"/>
                <w:bCs w:val="false"/>
              </w:rPr>
              <w:t xml:space="preserve">Accessibility</w:t>
            </w:r>
          </w:p>
        </w:tc>
        <w:tc>
          <w:p>
            <w:r>
              <w:rPr>
                <w:b w:val="false"/>
                <w:bCs w:val="false"/>
              </w:rPr>
              <w:t xml:space="preserve">3</w:t>
            </w:r>
          </w:p>
        </w:tc>
        <w:tc>
          <w:p>
            <w:r>
              <w:rPr>
                <w:b w:val="false"/>
                <w:bCs w:val="false"/>
              </w:rPr>
              <w:t xml:space="preserve">10%</w:t>
            </w:r>
          </w:p>
        </w:tc>
        <w:tc>
          <w:p>
            <w:r>
              <w:rPr>
                <w:b w:val="false"/>
                <w:bCs w:val="false"/>
              </w:rPr>
              <w:t xml:space="preserve">0.30</w:t>
            </w:r>
          </w:p>
        </w:tc>
      </w:tr>
      <w:tr>
        <w:tc>
          <w:p>
            <w:r>
              <w:rPr>
                <w:b w:val="false"/>
                <w:bCs w:val="false"/>
              </w:rPr>
              <w:t xml:space="preserve">Performance / Technical Health</w:t>
            </w:r>
          </w:p>
        </w:tc>
        <w:tc>
          <w:p>
            <w:r>
              <w:rPr>
                <w:b w:val="false"/>
                <w:bCs w:val="false"/>
              </w:rPr>
              <w:t xml:space="preserve">4</w:t>
            </w:r>
          </w:p>
        </w:tc>
        <w:tc>
          <w:p>
            <w:r>
              <w:rPr>
                <w:b w:val="false"/>
                <w:bCs w:val="false"/>
              </w:rPr>
              <w:t xml:space="preserve">10%</w:t>
            </w:r>
          </w:p>
        </w:tc>
        <w:tc>
          <w:p>
            <w:r>
              <w:rPr>
                <w:b w:val="false"/>
                <w:bCs w:val="false"/>
              </w:rPr>
              <w:t xml:space="preserve">0.40</w:t>
            </w:r>
          </w:p>
        </w:tc>
      </w:tr>
      <w:tr>
        <w:tc>
          <w:p>
            <w:r>
              <w:rPr>
                <w:b w:val="false"/>
                <w:bCs w:val="false"/>
              </w:rPr>
              <w:t xml:space="preserve">Documentation &amp; Design-System Hygiene</w:t>
            </w:r>
          </w:p>
        </w:tc>
        <w:tc>
          <w:p>
            <w:r>
              <w:rPr>
                <w:b w:val="false"/>
                <w:bCs w:val="false"/>
              </w:rPr>
              <w:t xml:space="preserve">2</w:t>
            </w:r>
          </w:p>
        </w:tc>
        <w:tc>
          <w:p>
            <w:r>
              <w:rPr>
                <w:b w:val="false"/>
                <w:bCs w:val="false"/>
              </w:rPr>
              <w:t xml:space="preserve">5%</w:t>
            </w:r>
          </w:p>
        </w:tc>
        <w:tc>
          <w:p>
            <w:r>
              <w:rPr>
                <w:b w:val="false"/>
                <w:bCs w:val="false"/>
              </w:rPr>
              <w:t xml:space="preserve">0.10</w:t>
            </w:r>
          </w:p>
        </w:tc>
      </w:tr>
      <w:tr>
        <w:tc>
          <w:tcPr>
            <w:shd w:fill="E8E8E8" w:val="clear"/>
          </w:tcPr>
          <w:p>
            <w:r>
              <w:rPr>
                <w:b/>
                <w:bCs/>
              </w:rPr>
              <w:t xml:space="preserve">OVERALL SCORE</w:t>
            </w:r>
          </w:p>
        </w:tc>
        <w:tc>
          <w:tcPr>
            <w:shd w:fill="E8E8E8" w:val="clear"/>
          </w:tcPr>
          <w:p>
            <w:r>
              <w:rPr>
                <w:b w:val="false"/>
                <w:bCs w:val="false"/>
              </w:rPr>
              <w:t xml:space="preserve"/>
            </w:r>
          </w:p>
        </w:tc>
        <w:tc>
          <w:tcPr>
            <w:shd w:fill="E8E8E8" w:val="clear"/>
          </w:tcPr>
          <w:p>
            <w:r>
              <w:rPr>
                <w:b w:val="false"/>
                <w:bCs w:val="false"/>
              </w:rPr>
              <w:t xml:space="preserve">100%</w:t>
            </w:r>
          </w:p>
        </w:tc>
        <w:tc>
          <w:tcPr>
            <w:shd w:fill="E8E8E8" w:val="clear"/>
          </w:tcPr>
          <w:p>
            <w:r>
              <w:rPr>
                <w:b/>
                <w:bCs/>
              </w:rPr>
              <w:t xml:space="preserve">3.80 / 5  (76%)</w:t>
            </w:r>
          </w:p>
        </w:tc>
      </w:tr>
    </w:tbl>
    <w:p>
      <w:pPr>
        <w:spacing w:before="200"/>
      </w:pPr>
      <w:r>
        <w:t xml:space="preserve">Note: an additional "Documentation &amp; Design-System Hygiene" row was added to this app's matrix beyond the generic template, because the DESIGN.md/theme.py drift was significant and specific enough a finding to warrant its own weighted line rather than folding it silently into Visual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2026-07-20T08:04:01.610Z</dcterms:created>
  <dcterms:modified xsi:type="dcterms:W3CDTF">2026-07-20T08:04:01.610Z</dcterms:modified>
</cp:coreProperties>
</file>

<file path=docProps/custom.xml><?xml version="1.0" encoding="utf-8"?>
<Properties xmlns="http://schemas.openxmlformats.org/officeDocument/2006/custom-properties" xmlns:vt="http://schemas.openxmlformats.org/officeDocument/2006/docPropsVTypes"/>
</file>