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293B"/>
          <w:sz w:val="48"/>
        </w:rPr>
        <w:t>虚拟交易实验报告</w:t>
      </w:r>
    </w:p>
    <w:p>
      <w:pPr>
        <w:spacing w:after="400"/>
        <w:jc w:val="center"/>
      </w:pPr>
      <w:r>
        <w:rPr>
          <w:color w:val="64748B"/>
          <w:sz w:val="20"/>
        </w:rPr>
        <w:t>2026年6月5日 — 2026年6月24日 | 共13个交易日 | 实验已关闭</w:t>
      </w:r>
    </w:p>
    <w:p>
      <w:pPr>
        <w:pStyle w:val="Heading1"/>
      </w:pPr>
      <w:r>
        <w:rPr>
          <w:color w:val="1E293B"/>
        </w:rPr>
        <w:t>一、实验概览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总投入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¥19.1万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最终市值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¥26.6万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总盈亏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27AE60"/>
                <w:sz w:val="18"/>
              </w:rPr>
              <w:t>¥+7.4万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总收益率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27AE60"/>
                <w:sz w:val="18"/>
              </w:rPr>
              <w:t>+38.8%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盈利股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6 只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亏损股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6 只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最佳股票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中船特气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最佳涨幅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27AE60"/>
                <w:sz w:val="18"/>
              </w:rPr>
              <w:t>+66.6%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最差股票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华电辽能</w:t>
            </w:r>
          </w:p>
        </w:tc>
      </w:tr>
    </w:tbl>
    <w:p/>
    <w:p>
      <w:pPr>
        <w:pStyle w:val="Heading1"/>
      </w:pPr>
      <w:r>
        <w:rPr>
          <w:color w:val="1E293B"/>
        </w:rPr>
        <w:t>二、各预算档位分析</w:t>
      </w:r>
    </w:p>
    <w:p>
      <w:r>
        <w:rPr>
          <w:sz w:val="20"/>
        </w:rPr>
        <w:t>实验设计了7个预算档位（¥500~¥500,000），每个档位独立选股建仓，每日按收盘价盯市。以下为各档位最终表现：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预算档位</w:t>
            </w:r>
          </w:p>
        </w:tc>
        <w:tc>
          <w:tcPr>
            <w:tcW w:type="dxa" w:w="1881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初始投入</w:t>
            </w:r>
          </w:p>
        </w:tc>
        <w:tc>
          <w:tcPr>
            <w:tcW w:type="dxa" w:w="1881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最终市值</w:t>
            </w:r>
          </w:p>
        </w:tc>
        <w:tc>
          <w:tcPr>
            <w:tcW w:type="dxa" w:w="1881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盈亏</w:t>
            </w:r>
          </w:p>
        </w:tc>
        <w:tc>
          <w:tcPr>
            <w:tcW w:type="dxa" w:w="1881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收益率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¥500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¥496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¥462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E74C3C"/>
                <w:sz w:val="18"/>
              </w:rPr>
              <w:t>¥-34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E74C3C"/>
                <w:sz w:val="18"/>
              </w:rPr>
              <w:t>-6.9%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¥1,000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¥988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¥924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E74C3C"/>
                <w:sz w:val="18"/>
              </w:rPr>
              <w:t>¥-64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E74C3C"/>
                <w:sz w:val="18"/>
              </w:rPr>
              <w:t>-6.5%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¥5,000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¥4,984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¥4,475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E74C3C"/>
                <w:sz w:val="18"/>
              </w:rPr>
              <w:t>¥-509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E74C3C"/>
                <w:sz w:val="18"/>
              </w:rPr>
              <w:t>-10.2%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¥10,000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¥9,841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¥8,729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E74C3C"/>
                <w:sz w:val="18"/>
              </w:rPr>
              <w:t>¥-1,112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E74C3C"/>
                <w:sz w:val="18"/>
              </w:rPr>
              <w:t>-11.3%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¥50,000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¥46,826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¥62,567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27AE60"/>
                <w:sz w:val="18"/>
              </w:rPr>
              <w:t>¥+15,741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27AE60"/>
                <w:sz w:val="18"/>
              </w:rPr>
              <w:t>+33.6%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¥100,000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¥64,169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¥94,328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27AE60"/>
                <w:sz w:val="18"/>
              </w:rPr>
              <w:t>¥+30,159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27AE60"/>
                <w:sz w:val="18"/>
              </w:rPr>
              <w:t>+47.0%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¥500,000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¥64,169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¥94,328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27AE60"/>
                <w:sz w:val="18"/>
              </w:rPr>
              <w:t>¥+30,159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27AE60"/>
                <w:sz w:val="18"/>
              </w:rPr>
              <w:t>+47.0%</w:t>
            </w:r>
          </w:p>
        </w:tc>
      </w:tr>
    </w:tbl>
    <w:p/>
    <w:p>
      <w:pPr>
        <w:jc w:val="center"/>
      </w:pPr>
      <w:r>
        <w:rPr>
          <w:color w:val="64748B"/>
          <w:sz w:val="18"/>
        </w:rPr>
        <w:t>图1：各预算档位收益率曲线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ier_retur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color w:val="64748B"/>
          <w:sz w:val="18"/>
        </w:rPr>
        <w:t>图2：各预算档位初始投入 vs 最终市值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ier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74C3C"/>
          <w:sz w:val="20"/>
        </w:rPr>
        <w:t>⚠️ 关键发现：</w:t>
      </w:r>
      <w:r>
        <w:rPr>
          <w:sz w:val="20"/>
        </w:rPr>
        <w:t>小资金档位（¥500~¥10,000）全部亏损，因被迫买入低价股（北玻股份、晋控电力等），而这些股票恰好全部下跌。大资金档位（¥50,000+）依靠科创板中小市值标的获得+33.6%~+47.0%正收益。¥100,000和¥500,000档持仓完全一致，说明策略对大资金存在容量上限。</w:t>
      </w:r>
    </w:p>
    <w:p>
      <w:pPr>
        <w:pStyle w:val="Heading1"/>
      </w:pPr>
      <w:r>
        <w:rPr>
          <w:color w:val="1E293B"/>
        </w:rPr>
        <w:t>三、个股表现分析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股票名称</w:t>
            </w:r>
          </w:p>
        </w:tc>
        <w:tc>
          <w:tcPr>
            <w:tcW w:type="dxa" w:w="156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代码</w:t>
            </w:r>
          </w:p>
        </w:tc>
        <w:tc>
          <w:tcPr>
            <w:tcW w:type="dxa" w:w="156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建仓价</w:t>
            </w:r>
          </w:p>
        </w:tc>
        <w:tc>
          <w:tcPr>
            <w:tcW w:type="dxa" w:w="156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最终价</w:t>
            </w:r>
          </w:p>
        </w:tc>
        <w:tc>
          <w:tcPr>
            <w:tcW w:type="dxa" w:w="156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盈亏</w:t>
            </w:r>
          </w:p>
        </w:tc>
        <w:tc>
          <w:tcPr>
            <w:tcW w:type="dxa" w:w="156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收益率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6"/>
              </w:rPr>
              <w:t>中船特气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sh688146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¥234.14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¥389.99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27AE60"/>
                <w:sz w:val="16"/>
              </w:rPr>
              <w:t>¥+15,585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27AE60"/>
                <w:sz w:val="16"/>
              </w:rPr>
              <w:t>+66.6%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6"/>
              </w:rPr>
              <w:t>唯特偶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sz301319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¥125.50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¥200.50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27AE60"/>
                <w:sz w:val="16"/>
              </w:rPr>
              <w:t>¥+7,500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27AE60"/>
                <w:sz w:val="16"/>
              </w:rPr>
              <w:t>+59.8%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6"/>
              </w:rPr>
              <w:t>长盈通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sh688143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¥178.88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¥236.20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27AE60"/>
                <w:sz w:val="16"/>
              </w:rPr>
              <w:t>¥+5,732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27AE60"/>
                <w:sz w:val="16"/>
              </w:rPr>
              <w:t>+32.0%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6"/>
              </w:rPr>
              <w:t>宝鼎科技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sz002552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¥58.74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¥75.99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27AE60"/>
                <w:sz w:val="16"/>
              </w:rPr>
              <w:t>¥+1,725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27AE60"/>
                <w:sz w:val="16"/>
              </w:rPr>
              <w:t>+29.4%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6"/>
              </w:rPr>
              <w:t>风华高科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sz000636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¥60.71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¥72.38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27AE60"/>
                <w:sz w:val="16"/>
              </w:rPr>
              <w:t>¥+1,167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27AE60"/>
                <w:sz w:val="16"/>
              </w:rPr>
              <w:t>+19.2%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6"/>
              </w:rPr>
              <w:t>海伦哲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sz300201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¥18.62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¥18.95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27AE60"/>
                <w:sz w:val="16"/>
              </w:rPr>
              <w:t>¥+33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27AE60"/>
                <w:sz w:val="16"/>
              </w:rPr>
              <w:t>+1.8%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6"/>
              </w:rPr>
              <w:t>海航控股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sh600221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¥1.50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¥1.42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E74C3C"/>
                <w:sz w:val="16"/>
              </w:rPr>
              <w:t>¥-8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E74C3C"/>
                <w:sz w:val="16"/>
              </w:rPr>
              <w:t>-5.3%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6"/>
              </w:rPr>
              <w:t>大唐发电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sh601991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¥8.38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¥7.82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E74C3C"/>
                <w:sz w:val="16"/>
              </w:rPr>
              <w:t>¥-56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E74C3C"/>
                <w:sz w:val="16"/>
              </w:rPr>
              <w:t>-6.7%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6"/>
              </w:rPr>
              <w:t>北玻股份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sz002613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¥4.96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¥4.62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E74C3C"/>
                <w:sz w:val="16"/>
              </w:rPr>
              <w:t>¥-34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E74C3C"/>
                <w:sz w:val="16"/>
              </w:rPr>
              <w:t>-6.8%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6"/>
              </w:rPr>
              <w:t>商络电子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sz300975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¥44.43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¥40.60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E74C3C"/>
                <w:sz w:val="16"/>
              </w:rPr>
              <w:t>¥-383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E74C3C"/>
                <w:sz w:val="16"/>
              </w:rPr>
              <w:t>-8.6%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6"/>
              </w:rPr>
              <w:t>晋控电力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sz000767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¥5.41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¥4.15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E74C3C"/>
                <w:sz w:val="16"/>
              </w:rPr>
              <w:t>¥-126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E74C3C"/>
                <w:sz w:val="16"/>
              </w:rPr>
              <w:t>-23.3%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6"/>
              </w:rPr>
              <w:t>华电辽能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sh600396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¥21.57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¥15.77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E74C3C"/>
                <w:sz w:val="16"/>
              </w:rPr>
              <w:t>¥-580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E74C3C"/>
                <w:sz w:val="16"/>
              </w:rPr>
              <w:t>-26.9%</w:t>
            </w:r>
          </w:p>
        </w:tc>
      </w:tr>
    </w:tbl>
    <w:p/>
    <w:p>
      <w:pPr>
        <w:jc w:val="center"/>
      </w:pPr>
      <w:r>
        <w:rPr>
          <w:color w:val="64748B"/>
          <w:sz w:val="18"/>
        </w:rPr>
        <w:t>图3：各股票最终收益率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ck_retur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color w:val="64748B"/>
          <w:sz w:val="18"/>
        </w:rPr>
        <w:t>图4：各股票价格走势（归一化，建仓价=100）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ock_path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0"/>
        </w:rPr>
        <w:t>🏆 涨幅前三：</w:t>
      </w:r>
    </w:p>
    <w:p>
      <w:pPr>
        <w:pStyle w:val="ListBullet"/>
      </w:pPr>
      <w:r>
        <w:rPr>
          <w:sz w:val="18"/>
        </w:rPr>
        <w:t>中船特气（sh688146）：¥234.14 → ¥389.99（+66.6%）</w:t>
      </w:r>
    </w:p>
    <w:p>
      <w:pPr>
        <w:pStyle w:val="ListBullet"/>
      </w:pPr>
      <w:r>
        <w:rPr>
          <w:sz w:val="18"/>
        </w:rPr>
        <w:t>唯特偶（sz301319）：¥125.50 → ¥200.50（+59.8%）</w:t>
      </w:r>
    </w:p>
    <w:p>
      <w:pPr>
        <w:pStyle w:val="ListBullet"/>
      </w:pPr>
      <w:r>
        <w:rPr>
          <w:sz w:val="18"/>
        </w:rPr>
        <w:t>长盈通（sh688143）：¥178.88 → ¥236.20（+32.0%）</w:t>
      </w:r>
    </w:p>
    <w:p>
      <w:r>
        <w:rPr>
          <w:b/>
          <w:sz w:val="20"/>
        </w:rPr>
        <w:t>📉 跌幅前三：</w:t>
      </w:r>
    </w:p>
    <w:p>
      <w:pPr>
        <w:pStyle w:val="ListBullet"/>
      </w:pPr>
      <w:r>
        <w:rPr>
          <w:sz w:val="18"/>
        </w:rPr>
        <w:t>商络电子（sz300975）：¥44.43 → ¥40.60（-8.6%）</w:t>
      </w:r>
    </w:p>
    <w:p>
      <w:pPr>
        <w:pStyle w:val="ListBullet"/>
      </w:pPr>
      <w:r>
        <w:rPr>
          <w:sz w:val="18"/>
        </w:rPr>
        <w:t>晋控电力（sz000767）：¥5.41 → ¥4.15（-23.3%）</w:t>
      </w:r>
    </w:p>
    <w:p>
      <w:pPr>
        <w:pStyle w:val="ListBullet"/>
      </w:pPr>
      <w:r>
        <w:rPr>
          <w:sz w:val="18"/>
        </w:rPr>
        <w:t>华电辽能（sh600396）：¥21.57 → ¥15.77（-26.9%）</w:t>
      </w:r>
    </w:p>
    <w:p>
      <w:r>
        <w:br w:type="page"/>
      </w:r>
    </w:p>
    <w:p>
      <w:pPr>
        <w:pStyle w:val="Heading1"/>
      </w:pPr>
      <w:r>
        <w:rPr>
          <w:color w:val="1E293B"/>
        </w:rPr>
        <w:t>四、每日净值变动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交易日</w:t>
            </w:r>
          </w:p>
        </w:tc>
        <w:tc>
          <w:tcPr>
            <w:tcW w:type="dxa" w:w="1881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1881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总市值</w:t>
            </w:r>
          </w:p>
        </w:tc>
        <w:tc>
          <w:tcPr>
            <w:tcW w:type="dxa" w:w="1881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日盈亏</w:t>
            </w:r>
          </w:p>
        </w:tc>
        <w:tc>
          <w:tcPr>
            <w:tcW w:type="dxa" w:w="1881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日涨跌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Day 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2026-06-05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¥191,473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¥+0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+0.00%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Day 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2026-06-05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¥188,206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E74C3C"/>
                <w:sz w:val="16"/>
              </w:rPr>
              <w:t>¥-3,267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E74C3C"/>
                <w:sz w:val="16"/>
              </w:rPr>
              <w:t>-1.71%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Day 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2026-06-08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¥200,381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27AE60"/>
                <w:sz w:val="16"/>
              </w:rPr>
              <w:t>¥+12,175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27AE60"/>
                <w:sz w:val="16"/>
              </w:rPr>
              <w:t>+6.47%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Day 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2026-06-10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¥207,013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27AE60"/>
                <w:sz w:val="16"/>
              </w:rPr>
              <w:t>¥+6,632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27AE60"/>
                <w:sz w:val="16"/>
              </w:rPr>
              <w:t>+3.31%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Day 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2026-06-10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¥205,616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E74C3C"/>
                <w:sz w:val="16"/>
              </w:rPr>
              <w:t>¥-1,397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E74C3C"/>
                <w:sz w:val="16"/>
              </w:rPr>
              <w:t>-0.67%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Day 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2026-06-11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¥215,903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27AE60"/>
                <w:sz w:val="16"/>
              </w:rPr>
              <w:t>¥+10,287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27AE60"/>
                <w:sz w:val="16"/>
              </w:rPr>
              <w:t>+5.00%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Day 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2026-06-12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¥203,289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E74C3C"/>
                <w:sz w:val="16"/>
              </w:rPr>
              <w:t>¥-12,614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E74C3C"/>
                <w:sz w:val="16"/>
              </w:rPr>
              <w:t>-5.84%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Day 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2026-06-15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¥217,134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27AE60"/>
                <w:sz w:val="16"/>
              </w:rPr>
              <w:t>¥+13,845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27AE60"/>
                <w:sz w:val="16"/>
              </w:rPr>
              <w:t>+6.81%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Day 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2026-06-16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¥229,751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27AE60"/>
                <w:sz w:val="16"/>
              </w:rPr>
              <w:t>¥+12,617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27AE60"/>
                <w:sz w:val="16"/>
              </w:rPr>
              <w:t>+5.81%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Day 10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2026-06-17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¥239,493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27AE60"/>
                <w:sz w:val="16"/>
              </w:rPr>
              <w:t>¥+9,742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27AE60"/>
                <w:sz w:val="16"/>
              </w:rPr>
              <w:t>+4.24%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Day 11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2026-06-22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¥257,584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27AE60"/>
                <w:sz w:val="16"/>
              </w:rPr>
              <w:t>¥+18,091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27AE60"/>
                <w:sz w:val="16"/>
              </w:rPr>
              <w:t>+7.55%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Day 12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2026-06-24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¥265,813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27AE60"/>
                <w:sz w:val="16"/>
              </w:rPr>
              <w:t>¥+8,229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27AE60"/>
                <w:sz w:val="16"/>
              </w:rPr>
              <w:t>+3.19%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Day 13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2026-06-24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6"/>
              </w:rPr>
              <w:t>¥265,813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27AE60"/>
                <w:sz w:val="16"/>
              </w:rPr>
              <w:t>¥+0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27AE60"/>
                <w:sz w:val="16"/>
              </w:rPr>
              <w:t>+0.00%</w:t>
            </w:r>
          </w:p>
        </w:tc>
      </w:tr>
    </w:tbl>
    <w:p/>
    <w:p>
      <w:pPr>
        <w:jc w:val="center"/>
      </w:pPr>
      <w:r>
        <w:rPr>
          <w:color w:val="64748B"/>
          <w:sz w:val="18"/>
        </w:rPr>
        <w:t>图5：投资组合总权益曲线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tal_equ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1E293B"/>
        </w:rPr>
        <w:t>五、实验总结与策略反思</w:t>
      </w:r>
    </w:p>
    <w:p>
      <w:r>
        <w:rPr>
          <w:b/>
          <w:sz w:val="22"/>
        </w:rPr>
        <w:t>✅ 策略优势</w:t>
      </w:r>
    </w:p>
    <w:p>
      <w:pPr>
        <w:pStyle w:val="ListBullet"/>
      </w:pPr>
      <w:r>
        <w:rPr>
          <w:sz w:val="20"/>
        </w:rPr>
        <w:t>多因子选股有效：中船特气、唯特偶、长盈通等科创板/创业板中小市值标的被正确识别，贡献了绝大部分收益。</w:t>
      </w:r>
    </w:p>
    <w:p>
      <w:pPr>
        <w:pStyle w:val="ListBullet"/>
      </w:pPr>
      <w:r>
        <w:rPr>
          <w:sz w:val="20"/>
        </w:rPr>
        <w:t>分档设计的价值：直观展示了资金规模对策略效果的决定性影响——资金越小越被动，越容易被低价股拖累。</w:t>
      </w:r>
    </w:p>
    <w:p>
      <w:pPr>
        <w:pStyle w:val="ListBullet"/>
      </w:pPr>
      <w:r>
        <w:rPr>
          <w:sz w:val="20"/>
        </w:rPr>
        <w:t>纪律性持有：实验期间无调仓、无止损，避免了情绪化交易对策略的干扰。</w:t>
      </w:r>
    </w:p>
    <w:p/>
    <w:p>
      <w:r>
        <w:rPr>
          <w:b/>
          <w:sz w:val="22"/>
        </w:rPr>
        <w:t>⚠️ 策略缺陷</w:t>
      </w:r>
    </w:p>
    <w:p>
      <w:pPr>
        <w:pStyle w:val="ListBullet"/>
      </w:pPr>
      <w:r>
        <w:rPr>
          <w:sz w:val="20"/>
        </w:rPr>
        <w:t>小资金困境：¥500~¥10,000档位被迫买入单价&lt;¥50的低价股，而这些恰好全跌。策略对小资金无效。</w:t>
      </w:r>
    </w:p>
    <w:p>
      <w:pPr>
        <w:pStyle w:val="ListBullet"/>
      </w:pPr>
      <w:r>
        <w:rPr>
          <w:sz w:val="20"/>
        </w:rPr>
        <w:t>无风控止损：华电辽能跌了-26.9%全程没有任何干预。真实交易中这样的回撤不可接受。</w:t>
      </w:r>
    </w:p>
    <w:p>
      <w:pPr>
        <w:pStyle w:val="ListBullet"/>
      </w:pPr>
      <w:r>
        <w:rPr>
          <w:sz w:val="20"/>
        </w:rPr>
        <w:t>样本偏差：¥100K和¥500K持仓完全相同，表明策略标的池不够深，大资金容量有限。</w:t>
      </w:r>
    </w:p>
    <w:p>
      <w:pPr>
        <w:pStyle w:val="ListBullet"/>
      </w:pPr>
      <w:r>
        <w:rPr>
          <w:sz w:val="20"/>
        </w:rPr>
        <w:t>回测期过短：13个交易日刚好赶上一波科创板小票行情，可能是运气成分。</w:t>
      </w:r>
    </w:p>
    <w:p/>
    <w:p>
      <w:r>
        <w:rPr>
          <w:b/>
          <w:sz w:val="22"/>
        </w:rPr>
        <w:t>🔮 改进方向</w:t>
      </w:r>
    </w:p>
    <w:p>
      <w:pPr>
        <w:pStyle w:val="ListBullet"/>
      </w:pPr>
      <w:r>
        <w:rPr>
          <w:sz w:val="20"/>
        </w:rPr>
        <w:t>对小资金档位放宽单价约束，允许买入零股或引入ETF替代方案。</w:t>
      </w:r>
    </w:p>
    <w:p>
      <w:pPr>
        <w:pStyle w:val="ListBullet"/>
      </w:pPr>
      <w:r>
        <w:rPr>
          <w:sz w:val="20"/>
        </w:rPr>
        <w:t>加入止损机制（如-15%强制平仓）。</w:t>
      </w:r>
    </w:p>
    <w:p>
      <w:pPr>
        <w:pStyle w:val="ListBullet"/>
      </w:pPr>
      <w:r>
        <w:rPr>
          <w:sz w:val="20"/>
        </w:rPr>
        <w:t>延长回测周期至3-6个月，覆盖不同市场风格。</w:t>
      </w:r>
    </w:p>
    <w:p>
      <w:pPr>
        <w:pStyle w:val="ListBullet"/>
      </w:pPr>
      <w:r>
        <w:rPr>
          <w:sz w:val="20"/>
        </w:rPr>
        <w:t>引入行业/市值中性化，避免过度集中在科创板小盘股。</w:t>
      </w:r>
    </w:p>
    <w:p>
      <w:pPr>
        <w:pStyle w:val="ListBullet"/>
      </w:pPr>
      <w:r>
        <w:rPr>
          <w:sz w:val="20"/>
        </w:rPr>
        <w:t>对商络电子这类跨档位重仓的系统性拖累股，设置最大暴露上限。</w:t>
      </w:r>
    </w:p>
    <w:p/>
    <w:p>
      <w:pPr>
        <w:jc w:val="center"/>
      </w:pPr>
      <w:r>
        <w:rPr>
          <w:color w:val="94A3B8"/>
          <w:sz w:val="16"/>
        </w:rPr>
        <w:t>— 实验ID：20260605_1321 | 报告生成于 2026-06-24 | 数据来源：BaoStock/东方财富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ngXian" w:hAnsi="DengXian" w:eastAsia="DengXi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