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Corporate Identity · Kurzreferenz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Marke in Kürze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Verbindliche Grundlage für alle Vorlagen und Dokumente. Stand der aktuellen CI.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Wortmarke &amp; Claim</w:t>
      </w:r>
    </w:p>
    <w:p>
      <w:pPr>
        <w:spacing w:after="40" w:before="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C2533A"/>
          <w:sz w:val="44"/>
          <w:szCs w:val="44"/>
        </w:rPr>
        <w:t xml:space="preserve">H</w:t>
      </w: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4"/>
          <w:szCs w:val="44"/>
        </w:rPr>
        <w:t xml:space="preserve">ei</w:t>
      </w: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C2533A"/>
          <w:sz w:val="44"/>
          <w:szCs w:val="44"/>
        </w:rPr>
        <w:t xml:space="preserve">B</w:t>
      </w: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4"/>
          <w:szCs w:val="44"/>
        </w:rPr>
        <w:t xml:space="preserve">en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„HeiBen“ = HEI(mat) + (le)BEN. H und B in Terracotta, „ei“ und „en“ in Tinte. Claim: „Heimat leben“ (Versalien, Mono, gesperrt).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Farben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55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3EE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Papier (Hintergrund)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#F3EEE5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BE3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Papier weich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#EBE3D4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F1C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Tinte (Text)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#1F1C17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52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Tinte weich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#524A3E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8CD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Linie / Rule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#D8CDB7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C25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Terracotta (Holding/Akzent)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#C2533A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299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Reisen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#D29939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4A5C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Wohnen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#4A5C39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792D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Immobilien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#792D29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F1C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Studio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#1F1C17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6B39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8"/>
                <w:szCs w:val="18"/>
              </w:rPr>
              <w:t xml:space="preserve">Kulinarik</w:t>
            </w:r>
          </w:p>
        </w:tc>
        <w:tc>
          <w:tcPr>
            <w:tcW w:type="dxa" w:w="39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6"/>
                <w:szCs w:val="16"/>
              </w:rPr>
              <w:t xml:space="preserve">#6B3951</w:t>
            </w:r>
          </w:p>
        </w:tc>
      </w:tr>
    </w:tbl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Typografie</w:t>
      </w:r>
    </w:p>
    <w:p>
      <w:pPr>
        <w:spacing w:after="40" w:before="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Fraunces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8"/>
          <w:szCs w:val="18"/>
        </w:rPr>
        <w:t xml:space="preserve">  — Überschriften, Wortmarke (Serif)</w:t>
      </w:r>
    </w:p>
    <w:p>
      <w:pPr>
        <w:spacing w:after="4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2"/>
          <w:szCs w:val="22"/>
        </w:rPr>
        <w:t xml:space="preserve">Manrope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8"/>
          <w:szCs w:val="18"/>
        </w:rPr>
        <w:t xml:space="preserve">  — Fließtext (Sans)</w:t>
      </w:r>
    </w:p>
    <w:p>
      <w:pPr>
        <w:spacing w:after="12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1F1C17"/>
          <w:sz w:val="18"/>
          <w:szCs w:val="18"/>
        </w:rPr>
        <w:t xml:space="preserve">JetBrains Mono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8"/>
          <w:szCs w:val="18"/>
        </w:rPr>
        <w:t xml:space="preserve">  — Labels, Claim, Kennziffern (Mono, gesperrt)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Firmierung (Fußzeile)</w:t>
      </w:r>
    </w:p>
    <w:p>
      <w:pPr>
        <w:spacing w:after="2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z w:val="13"/>
          <w:szCs w:val="13"/>
        </w:rPr>
        <w:t xml:space="preserve">HeiBen Holding GmbH (i. G.)  ·  Sitz Köln  ·  Geschäftsführer: Yakin Benkhaouda, Katharina Hein</w:t>
      </w:r>
    </w:p>
    <w:p>
      <w:pPr>
        <w:spacing w:after="8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z w:val="13"/>
          <w:szCs w:val="13"/>
        </w:rPr>
        <w:t xml:space="preserve">Amtsgericht Köln HRB [Nummer]  ·  USt-IdNr. [DE…]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2026-06-17T06:04:55.523Z</dcterms:created>
  <dcterms:modified xsi:type="dcterms:W3CDTF">2026-06-17T06:04:55.523Z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