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200" w:line="360"/>
        <w:ind w:right="0" w:left="0" w:firstLine="0"/>
        <w:jc w:val="center"/>
        <w:rPr>
          <w:rFonts w:ascii="Arial" w:hAnsi="Arial" w:cs="Arial" w:eastAsia="Arial"/>
          <w:color w:val="auto"/>
          <w:spacing w:val="0"/>
          <w:position w:val="0"/>
          <w:sz w:val="28"/>
          <w:shd w:fill="auto" w:val="clear"/>
        </w:rPr>
      </w:pPr>
      <w:r>
        <w:rPr>
          <w:rFonts w:ascii="Arial" w:hAnsi="Arial" w:cs="Arial" w:eastAsia="Arial"/>
          <w:b/>
          <w:color w:val="1A3557"/>
          <w:spacing w:val="0"/>
          <w:position w:val="0"/>
          <w:sz w:val="28"/>
          <w:shd w:fill="auto" w:val="clear"/>
        </w:rPr>
        <w:t xml:space="preserve">ScribeFlow: A Collaborative Workspace Platform with Secure Authentication, Hierarchical Content Management, and Cloud-Native Deployment</w:t>
      </w:r>
    </w:p>
    <w:p>
      <w:pPr>
        <w:spacing w:before="0" w:after="4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1A3557"/>
          <w:spacing w:val="0"/>
          <w:position w:val="0"/>
          <w:sz w:val="24"/>
          <w:shd w:fill="auto" w:val="clear"/>
        </w:rPr>
        <w:t xml:space="preserve">Yagya Sharma</w:t>
      </w:r>
    </w:p>
    <w:p>
      <w:pPr>
        <w:spacing w:before="0" w:after="40" w:line="240"/>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666666"/>
          <w:spacing w:val="0"/>
          <w:position w:val="0"/>
          <w:sz w:val="20"/>
          <w:shd w:fill="auto" w:val="clear"/>
        </w:rPr>
        <w:t xml:space="preserve">ORCID: 0009-0009-1358-5312</w:t>
      </w:r>
    </w:p>
    <w:p>
      <w:pPr>
        <w:spacing w:before="0" w:after="80" w:line="240"/>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i/>
          <w:color w:val="444444"/>
          <w:spacing w:val="0"/>
          <w:position w:val="0"/>
          <w:sz w:val="22"/>
          <w:shd w:fill="auto" w:val="clear"/>
        </w:rPr>
        <w:t xml:space="preserve">M.Tech. Research Scholar, Department of Computer Science &amp; Engineering</w:t>
      </w:r>
    </w:p>
    <w:p>
      <w:pPr>
        <w:spacing w:before="20" w:after="20" w:line="240"/>
        <w:ind w:right="0" w:left="0" w:firstLine="0"/>
        <w:jc w:val="left"/>
        <w:rPr>
          <w:rFonts w:ascii="Calibri" w:hAnsi="Calibri" w:cs="Calibri" w:eastAsia="Calibri"/>
          <w:color w:val="auto"/>
          <w:spacing w:val="0"/>
          <w:position w:val="0"/>
          <w:sz w:val="22"/>
          <w:shd w:fill="auto" w:val="clear"/>
        </w:rPr>
      </w:pPr>
    </w:p>
    <w:p>
      <w:pPr>
        <w:spacing w:before="20" w:after="30" w:line="240"/>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i/>
          <w:color w:val="666666"/>
          <w:spacing w:val="0"/>
          <w:position w:val="0"/>
          <w:sz w:val="20"/>
          <w:shd w:fill="auto" w:val="clear"/>
        </w:rPr>
        <w:t xml:space="preserve">Under the Guidance of</w:t>
      </w:r>
    </w:p>
    <w:p>
      <w:pPr>
        <w:spacing w:before="0" w:after="3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1A3557"/>
          <w:spacing w:val="0"/>
          <w:position w:val="0"/>
          <w:sz w:val="24"/>
          <w:shd w:fill="auto" w:val="clear"/>
        </w:rPr>
        <w:t xml:space="preserve">Mr. Chhattarpal</w:t>
      </w:r>
      <w:r>
        <w:rPr>
          <w:rFonts w:ascii="Times New Roman" w:hAnsi="Times New Roman" w:cs="Times New Roman" w:eastAsia="Times New Roman"/>
          <w:color w:val="AAAAAA"/>
          <w:spacing w:val="0"/>
          <w:position w:val="0"/>
          <w:sz w:val="24"/>
          <w:shd w:fill="auto" w:val="clear"/>
        </w:rPr>
        <w:t xml:space="preserve">   ·   </w:t>
      </w:r>
      <w:r>
        <w:rPr>
          <w:rFonts w:ascii="Times New Roman" w:hAnsi="Times New Roman" w:cs="Times New Roman" w:eastAsia="Times New Roman"/>
          <w:b/>
          <w:color w:val="1A3557"/>
          <w:spacing w:val="0"/>
          <w:position w:val="0"/>
          <w:sz w:val="24"/>
          <w:shd w:fill="auto" w:val="clear"/>
        </w:rPr>
        <w:t xml:space="preserve">Ms. Bhawna Sharma</w:t>
      </w:r>
    </w:p>
    <w:p>
      <w:pPr>
        <w:spacing w:before="0" w:after="30" w:line="240"/>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i/>
          <w:color w:val="444444"/>
          <w:spacing w:val="0"/>
          <w:position w:val="0"/>
          <w:sz w:val="22"/>
          <w:shd w:fill="auto" w:val="clear"/>
        </w:rPr>
        <w:t xml:space="preserve">Assistant Professors, Department of Computer Science &amp; Engineering</w:t>
      </w:r>
    </w:p>
    <w:p>
      <w:pPr>
        <w:spacing w:before="0" w:after="30" w:line="240"/>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i/>
          <w:color w:val="555555"/>
          <w:spacing w:val="0"/>
          <w:position w:val="0"/>
          <w:sz w:val="22"/>
          <w:shd w:fill="auto" w:val="clear"/>
        </w:rPr>
        <w:t xml:space="preserve">BM Group of Institutions, Farrukhnagar, Gurugram</w:t>
      </w:r>
    </w:p>
    <w:p>
      <w:pPr>
        <w:spacing w:before="0" w:after="200" w:line="240"/>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i/>
          <w:color w:val="1A6680"/>
          <w:spacing w:val="0"/>
          <w:position w:val="0"/>
          <w:sz w:val="20"/>
          <w:shd w:fill="auto" w:val="clear"/>
        </w:rPr>
        <w:t xml:space="preserve">Corresponding author: yagya.sharma436@gmail.com</w:t>
      </w:r>
    </w:p>
    <w:tbl>
      <w:tblPr/>
      <w:tblGrid>
        <w:gridCol w:w="9072"/>
      </w:tblGrid>
      <w:tr>
        <w:trPr>
          <w:trHeight w:val="1" w:hRule="atLeast"/>
          <w:jc w:val="left"/>
        </w:trPr>
        <w:tc>
          <w:tcPr>
            <w:tcW w:w="9072" w:type="dxa"/>
            <w:tcBorders>
              <w:top w:val="single" w:color="1a3557" w:sz="8"/>
              <w:left w:val="single" w:color="836967" w:sz="18"/>
              <w:bottom w:val="single" w:color="1a3557" w:sz="8"/>
              <w:right w:val="single" w:color="000000" w:sz="0"/>
            </w:tcBorders>
            <w:shd w:color="000000" w:fill="f2f4f7" w:val="clear"/>
            <w:tcMar>
              <w:left w:w="200" w:type="dxa"/>
              <w:right w:w="200" w:type="dxa"/>
            </w:tcMar>
            <w:vAlign w:val="top"/>
          </w:tcPr>
          <w:p>
            <w:pPr>
              <w:spacing w:before="0" w:after="100" w:line="360"/>
              <w:ind w:right="0" w:left="0" w:firstLine="0"/>
              <w:jc w:val="both"/>
              <w:rPr>
                <w:rFonts w:ascii="Times New Roman" w:hAnsi="Times New Roman" w:cs="Times New Roman" w:eastAsia="Times New Roman"/>
                <w:color w:val="auto"/>
                <w:spacing w:val="0"/>
                <w:position w:val="0"/>
                <w:sz w:val="22"/>
                <w:shd w:fill="auto" w:val="clear"/>
              </w:rPr>
            </w:pPr>
            <w:r>
              <w:rPr>
                <w:rFonts w:ascii="Arial" w:hAnsi="Arial" w:cs="Arial" w:eastAsia="Arial"/>
                <w:b/>
                <w:color w:val="auto"/>
                <w:spacing w:val="0"/>
                <w:position w:val="0"/>
                <w:sz w:val="22"/>
                <w:shd w:fill="auto" w:val="clear"/>
              </w:rPr>
              <w:t xml:space="preserve">Abstract </w:t>
            </w:r>
            <w:r>
              <w:rPr>
                <w:rFonts w:ascii="Arial" w:hAnsi="Arial" w:cs="Arial" w:eastAsia="Aria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This study presents ScribeFlow, a full-stack collaborative workspace platform designed to address key challenges in structured content organization, secure user authentication, and scalable cloud deployment. ScribeFlow was implemented using Next.js (App Router), TypeScript, Drizzle ORM, and PostgreSQL, with OAuth-based identity management via NextAuth and role-aware workspace collaboration features. results demonstrate measurable improvements across seven performance metrics: page load time was reduced by 51% (850 ms to 420 ms), OAuth login latency by 44% (320 ms to 180 ms), and database query time by 50% (90 ms to 45 ms), all measured under controlled conditions on standardized hardware. End-to-end functional validation confirmed reliable behavior across all core workflows. These findings indicate that schema-first design combined with typed server-action mutation flows significantly improves both developer productivity and runtime reliability in multi-tenant SaaS platforms.</w:t>
            </w:r>
          </w:p>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Keywords: </w:t>
            </w:r>
            <w:r>
              <w:rPr>
                <w:rFonts w:ascii="Times New Roman" w:hAnsi="Times New Roman" w:cs="Times New Roman" w:eastAsia="Times New Roman"/>
                <w:i/>
                <w:color w:val="auto"/>
                <w:spacing w:val="0"/>
                <w:position w:val="0"/>
                <w:sz w:val="22"/>
                <w:shd w:fill="auto" w:val="clear"/>
              </w:rPr>
              <w:t xml:space="preserve">collaborative workspace, Next.js, PostgreSQL, OAuth authentication, SaaS architecture, TypeScript, Drizzle ORM</w:t>
            </w:r>
          </w:p>
        </w:tc>
      </w:tr>
    </w:tbl>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140" w:line="240"/>
        <w:ind w:right="0" w:left="0" w:firstLine="0"/>
        <w:jc w:val="left"/>
        <w:rPr>
          <w:rFonts w:ascii="Calibri" w:hAnsi="Calibri" w:cs="Calibri" w:eastAsia="Calibri"/>
          <w:color w:val="auto"/>
          <w:spacing w:val="0"/>
          <w:position w:val="0"/>
          <w:sz w:val="22"/>
          <w:shd w:fill="auto" w:val="clear"/>
        </w:rPr>
      </w:pPr>
    </w:p>
    <w:p>
      <w:pPr>
        <w:spacing w:before="360" w:after="14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1A3557"/>
          <w:spacing w:val="0"/>
          <w:position w:val="0"/>
          <w:sz w:val="24"/>
          <w:shd w:fill="auto" w:val="clear"/>
        </w:rPr>
        <w:t xml:space="preserve">I.  Introduction</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proliferation of remote and distributed work has accelerated demand for web-based collaboration platforms that combine document authoring, organizational hierarchy, and access-controlled sharing within a unified interface. Platforms serving these needs must contend with three persistent engineering challenges: ensuring secure, reliable authentication across identity providers; modelling complex ownership and permission relationships in a queryable data store; and delivering low-latency interactions at scale without sacrificing developer maintainability [1, 4].</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Existing commercial solutions such as Notion, Confluence, Google Docs, and Obsidian address various subsets of these requirements but are either proprietary, unsuitable for self-hosted deployment, or architecturally opaque. Open-source alternatives frequently suffer from incomplete authentication flows, weakly typed integrations, and the absence of migration-managed persistence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shortcomings that manifest as runtime instability during iterative development [2, 10].</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study introduces ScribeFlow, a full-stack collaborative workspace platform engineered to address these gaps. The system is built on Next.js (App Router), TypeScript, Drizzle ORM, and PostgreSQL, with NextAuth providing OAuth-based identity management. The primary research objective is to demonstrate that a typed, modular architecture can systematically evolve from a prototype to a production-ready system through an incremental, phase-driven methodology. A secondary objective is to quantify performance improvements attributable to targeted optimizations within the proposed stack.</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remainder of this paper is structured as follows: Section II surveys related work and contextualizes ScribeFlow against existing platforms; Section III describes the system design and development methodology; Section IV presents experimental results; Section V provides discussion and analysis; and Section VI concludes with directions for future research.</w:t>
      </w:r>
    </w:p>
    <w:p>
      <w:pPr>
        <w:spacing w:before="360" w:after="14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1A3557"/>
          <w:spacing w:val="0"/>
          <w:position w:val="0"/>
          <w:sz w:val="24"/>
          <w:shd w:fill="auto" w:val="clear"/>
        </w:rPr>
        <w:t xml:space="preserve">II.  Related Work</w:t>
      </w:r>
    </w:p>
    <w:p>
      <w:pPr>
        <w:spacing w:before="240" w:after="8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i/>
          <w:color w:val="1A3557"/>
          <w:spacing w:val="0"/>
          <w:position w:val="0"/>
          <w:sz w:val="24"/>
          <w:shd w:fill="auto" w:val="clear"/>
        </w:rPr>
        <w:t xml:space="preserve">A. Commercial Collaborative Platforms</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Notion [3] represents the current state of the art in hierarchical, block-based workspace tools. Its nested page model enables rich document organization, and its SaaS-first design supports workspace-level access control. However, Notion is a closed, proprietary system with no support for self-hosted deployment or custom authentication integration. Furthermore, its internal data model is not publicly exposed, preventing third-party schema-level extensibility. Research examining knowledge management in software teams identifies Notion-style hierarchical workspaces as effective for structured knowledge retention but notes that dependency on proprietary APIs introduces vendor lock-in risk [11].</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Atlassian Confluence [4] is a mature enterprise wiki platform offering page hierarchies organized into spaces, macro-based content, and deep integration with the Atlassian product ecosystem (Jira, Bitbucket). Confluence supports fine-grained role-based access control but requires significant infrastructure investment for self-hosted deployments. Studies of enterprise knowledge management platforms indicate that Confluence's permission model, while powerful, introduces administrative overhead that smaller teams find prohibitive [12].</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Google Docs [13] prioritizes real-time collaboration through Operational Transformation (OT) and Conflict-free Replicated Data Type (CRDT) approaches, offering seamless multi-user editing with sub-second conflict resolution. Its flat organizational model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files within Drive folders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is less suited to structured, hierarchical content management. The absence of programmable schema validation and typed API boundaries also limits its extensibility for custom deployment scenarios [6].</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Obsidian [14] occupies a distinct niche as a local-first, Markdown-based knowledge base with bidirectional linking and a graph-based navigation model. While highly extensible through its plugin ecosystem, Obsidian is designed for individual use and lacks native multi-user authentication, RBAC, or cloud-native deployment support. Its local-first architecture [7] provides excellent offline resilience but requires manual synchronization solutions for team environments.</w:t>
      </w:r>
    </w:p>
    <w:p>
      <w:pPr>
        <w:spacing w:before="240" w:after="8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i/>
          <w:color w:val="1A3557"/>
          <w:spacing w:val="0"/>
          <w:position w:val="0"/>
          <w:sz w:val="24"/>
          <w:shd w:fill="auto" w:val="clear"/>
        </w:rPr>
        <w:t xml:space="preserve">B. Role-Based Access Control in Web Systems</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foundational role-based access control (RBAC) model, formalized by Sandhu et al. [8], defines access permissions as functions of user roles rather than individual identities, reducing the administrative complexity of permission management at scale. In web application contexts, RBAC is typically implemented at the application layer through middleware or server-side guards. ScribeFlow adopts a simplified two-role model (owner and collaborator) consistent with the core RBAC specification, extended with workspace-scoped evaluation to prevent cross-tenant access. More complex hierarchical RBAC variants [8] are identified as a natural extension in future work.</w:t>
      </w:r>
    </w:p>
    <w:p>
      <w:pPr>
        <w:spacing w:before="240" w:after="8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i/>
          <w:color w:val="1A3557"/>
          <w:spacing w:val="0"/>
          <w:position w:val="0"/>
          <w:sz w:val="24"/>
          <w:shd w:fill="auto" w:val="clear"/>
        </w:rPr>
        <w:t xml:space="preserve">C. Type-Safe Web Architectures</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adoption of statically typed languages and ORM abstractions in full-stack web development has been shown to reduce integration defects and improve maintainability during rapid iteration [9]. Drizzle ORM instantiates this principle by deriving TypeScript types directly from database schema definitions, ensuring that type errors at the application layer are surfaced at compile time rather than at runtime. Combined with Zod-based environment validation, this approach creates an end-to-end type safety boundary from environment configuration through to database mutations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a pattern increasingly advocated in the software engineering literature [9, 10].</w:t>
      </w:r>
    </w:p>
    <w:p>
      <w:pPr>
        <w:spacing w:before="240" w:after="8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i/>
          <w:color w:val="1A3557"/>
          <w:spacing w:val="0"/>
          <w:position w:val="0"/>
          <w:sz w:val="24"/>
          <w:shd w:fill="auto" w:val="clear"/>
        </w:rPr>
        <w:t xml:space="preserve">D. Gap Analysis</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Table II summarizes a feature comparison between ScribeFlow and the four reviewed platforms across dimensions relevant to the research objectives. ScribeFlow is the only system in the comparison to combine hierarchical content organization, typed schema management, open-source self-hostability, and OAuth integration within a single deployable platform. The primary gaps identified in existing solutions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absent typed persistence, closed deployment models, and incomplete production authentication flows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directly motivate the design decisions described in Section III.</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60" w:line="240"/>
        <w:ind w:right="0" w:left="0" w:firstLine="0"/>
        <w:jc w:val="center"/>
        <w:rPr>
          <w:rFonts w:ascii="Arial" w:hAnsi="Arial" w:cs="Arial" w:eastAsia="Arial"/>
          <w:color w:val="auto"/>
          <w:spacing w:val="0"/>
          <w:position w:val="0"/>
          <w:sz w:val="24"/>
          <w:shd w:fill="auto" w:val="clear"/>
        </w:rPr>
      </w:pPr>
      <w:r>
        <w:rPr>
          <w:rFonts w:ascii="Arial" w:hAnsi="Arial" w:cs="Arial" w:eastAsia="Arial"/>
          <w:b/>
          <w:color w:val="1A3557"/>
          <w:spacing w:val="0"/>
          <w:position w:val="0"/>
          <w:sz w:val="24"/>
          <w:shd w:fill="auto" w:val="clear"/>
        </w:rPr>
        <w:t xml:space="preserve">TABLE II</w:t>
      </w:r>
    </w:p>
    <w:p>
      <w:pPr>
        <w:spacing w:before="0" w:after="100" w:line="240"/>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Feature Comparison: ScribeFlow vs. Existing Collaborative Platforms</w:t>
      </w:r>
    </w:p>
    <w:tbl>
      <w:tblPr/>
      <w:tblGrid>
        <w:gridCol w:w="2000"/>
        <w:gridCol w:w="1750"/>
        <w:gridCol w:w="1406"/>
        <w:gridCol w:w="1406"/>
        <w:gridCol w:w="1406"/>
        <w:gridCol w:w="1104"/>
      </w:tblGrid>
      <w:tr>
        <w:trPr>
          <w:trHeight w:val="1" w:hRule="atLeast"/>
          <w:jc w:val="left"/>
        </w:trPr>
        <w:tc>
          <w:tcPr>
            <w:tcW w:w="2000" w:type="dxa"/>
            <w:tcBorders>
              <w:top w:val="single" w:color="1a3557" w:sz="4"/>
              <w:left w:val="single" w:color="1a3557" w:sz="4"/>
              <w:bottom w:val="single" w:color="1a3557" w:sz="4"/>
              <w:right w:val="single" w:color="1a3557" w:sz="4"/>
            </w:tcBorders>
            <w:shd w:color="000000" w:fill="1a3557" w:val="clear"/>
            <w:tcMar>
              <w:left w:w="90" w:type="dxa"/>
              <w:right w:w="90" w:type="dxa"/>
            </w:tcMar>
            <w:vAlign w:val="top"/>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7"/>
                <w:shd w:fill="auto" w:val="clear"/>
              </w:rPr>
              <w:t xml:space="preserve">Feature</w:t>
            </w:r>
          </w:p>
        </w:tc>
        <w:tc>
          <w:tcPr>
            <w:tcW w:w="1750" w:type="dxa"/>
            <w:tcBorders>
              <w:top w:val="single" w:color="1a3557" w:sz="4"/>
              <w:left w:val="single" w:color="1a3557" w:sz="4"/>
              <w:bottom w:val="single" w:color="1a3557" w:sz="4"/>
              <w:right w:val="single" w:color="1a3557" w:sz="4"/>
            </w:tcBorders>
            <w:shd w:color="000000" w:fill="1a3557" w:val="clear"/>
            <w:tcMar>
              <w:left w:w="90" w:type="dxa"/>
              <w:right w:w="90" w:type="dxa"/>
            </w:tcMar>
            <w:vAlign w:val="top"/>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7"/>
                <w:shd w:fill="auto" w:val="clear"/>
              </w:rPr>
              <w:t xml:space="preserve">Notion</w:t>
            </w:r>
          </w:p>
        </w:tc>
        <w:tc>
          <w:tcPr>
            <w:tcW w:w="1406" w:type="dxa"/>
            <w:tcBorders>
              <w:top w:val="single" w:color="1a3557" w:sz="4"/>
              <w:left w:val="single" w:color="1a3557" w:sz="4"/>
              <w:bottom w:val="single" w:color="1a3557" w:sz="4"/>
              <w:right w:val="single" w:color="1a3557" w:sz="4"/>
            </w:tcBorders>
            <w:shd w:color="000000" w:fill="1a3557" w:val="clear"/>
            <w:tcMar>
              <w:left w:w="90" w:type="dxa"/>
              <w:right w:w="90" w:type="dxa"/>
            </w:tcMar>
            <w:vAlign w:val="top"/>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7"/>
                <w:shd w:fill="auto" w:val="clear"/>
              </w:rPr>
              <w:t xml:space="preserve">Confluence</w:t>
            </w:r>
          </w:p>
        </w:tc>
        <w:tc>
          <w:tcPr>
            <w:tcW w:w="1406" w:type="dxa"/>
            <w:tcBorders>
              <w:top w:val="single" w:color="1a3557" w:sz="4"/>
              <w:left w:val="single" w:color="1a3557" w:sz="4"/>
              <w:bottom w:val="single" w:color="1a3557" w:sz="4"/>
              <w:right w:val="single" w:color="1a3557" w:sz="4"/>
            </w:tcBorders>
            <w:shd w:color="000000" w:fill="1a3557" w:val="clear"/>
            <w:tcMar>
              <w:left w:w="90" w:type="dxa"/>
              <w:right w:w="90" w:type="dxa"/>
            </w:tcMar>
            <w:vAlign w:val="top"/>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7"/>
                <w:shd w:fill="auto" w:val="clear"/>
              </w:rPr>
              <w:t xml:space="preserve">Google Docs</w:t>
            </w:r>
          </w:p>
        </w:tc>
        <w:tc>
          <w:tcPr>
            <w:tcW w:w="1406" w:type="dxa"/>
            <w:tcBorders>
              <w:top w:val="single" w:color="1a3557" w:sz="4"/>
              <w:left w:val="single" w:color="1a3557" w:sz="4"/>
              <w:bottom w:val="single" w:color="1a3557" w:sz="4"/>
              <w:right w:val="single" w:color="1a3557" w:sz="4"/>
            </w:tcBorders>
            <w:shd w:color="000000" w:fill="1a3557" w:val="clear"/>
            <w:tcMar>
              <w:left w:w="90" w:type="dxa"/>
              <w:right w:w="90" w:type="dxa"/>
            </w:tcMar>
            <w:vAlign w:val="top"/>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7"/>
                <w:shd w:fill="auto" w:val="clear"/>
              </w:rPr>
              <w:t xml:space="preserve">Obsidian</w:t>
            </w:r>
          </w:p>
        </w:tc>
        <w:tc>
          <w:tcPr>
            <w:tcW w:w="1104" w:type="dxa"/>
            <w:tcBorders>
              <w:top w:val="single" w:color="1a3557" w:sz="4"/>
              <w:left w:val="single" w:color="1a3557" w:sz="4"/>
              <w:bottom w:val="single" w:color="1a3557" w:sz="4"/>
              <w:right w:val="single" w:color="1a3557" w:sz="4"/>
            </w:tcBorders>
            <w:shd w:color="000000" w:fill="1a3557" w:val="clear"/>
            <w:tcMar>
              <w:left w:w="90" w:type="dxa"/>
              <w:right w:w="90" w:type="dxa"/>
            </w:tcMar>
            <w:vAlign w:val="top"/>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7"/>
                <w:shd w:fill="auto" w:val="clear"/>
              </w:rPr>
              <w:t xml:space="preserve">ScribeFlow</w:t>
            </w:r>
          </w:p>
        </w:tc>
      </w:tr>
      <w:tr>
        <w:trPr>
          <w:trHeight w:val="1" w:hRule="atLeast"/>
          <w:jc w:val="left"/>
        </w:trPr>
        <w:tc>
          <w:tcPr>
            <w:tcW w:w="2000" w:type="dxa"/>
            <w:tcBorders>
              <w:top w:val="single" w:color="1a3557" w:sz="4"/>
              <w:left w:val="single" w:color="1a3557" w:sz="4"/>
              <w:bottom w:val="single" w:color="1a3557" w:sz="4"/>
              <w:right w:val="single" w:color="1a3557" w:sz="4"/>
            </w:tcBorders>
            <w:shd w:color="000000" w:fill="ffffff" w:val="clear"/>
            <w:tcMar>
              <w:left w:w="90" w:type="dxa"/>
              <w:right w:w="9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7"/>
                <w:shd w:fill="auto" w:val="clear"/>
              </w:rPr>
              <w:t xml:space="preserve">Hierarchical Structure</w:t>
            </w:r>
          </w:p>
        </w:tc>
        <w:tc>
          <w:tcPr>
            <w:tcW w:w="1750" w:type="dxa"/>
            <w:tcBorders>
              <w:top w:val="single" w:color="1a3557" w:sz="4"/>
              <w:left w:val="single" w:color="1a3557" w:sz="4"/>
              <w:bottom w:val="single" w:color="1a3557" w:sz="4"/>
              <w:right w:val="single" w:color="1a3557" w:sz="4"/>
            </w:tcBorders>
            <w:shd w:color="000000" w:fill="ffffff"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r>
              <w:rPr>
                <w:rFonts w:ascii="Arial Unicode MS" w:hAnsi="Arial Unicode MS" w:cs="Arial Unicode MS" w:eastAsia="Arial Unicode MS"/>
                <w:color w:val="auto"/>
                <w:spacing w:val="0"/>
                <w:position w:val="0"/>
                <w:sz w:val="17"/>
                <w:shd w:fill="auto" w:val="clear"/>
              </w:rPr>
              <w:t xml:space="preserve"> (pages)</w:t>
            </w:r>
          </w:p>
        </w:tc>
        <w:tc>
          <w:tcPr>
            <w:tcW w:w="1406" w:type="dxa"/>
            <w:tcBorders>
              <w:top w:val="single" w:color="1a3557" w:sz="4"/>
              <w:left w:val="single" w:color="1a3557" w:sz="4"/>
              <w:bottom w:val="single" w:color="1a3557" w:sz="4"/>
              <w:right w:val="single" w:color="1a3557" w:sz="4"/>
            </w:tcBorders>
            <w:shd w:color="000000" w:fill="ffffff"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r>
              <w:rPr>
                <w:rFonts w:ascii="Arial Unicode MS" w:hAnsi="Arial Unicode MS" w:cs="Arial Unicode MS" w:eastAsia="Arial Unicode MS"/>
                <w:color w:val="auto"/>
                <w:spacing w:val="0"/>
                <w:position w:val="0"/>
                <w:sz w:val="17"/>
                <w:shd w:fill="auto" w:val="clear"/>
              </w:rPr>
              <w:t xml:space="preserve"> (spaces)</w:t>
            </w:r>
          </w:p>
        </w:tc>
        <w:tc>
          <w:tcPr>
            <w:tcW w:w="1406" w:type="dxa"/>
            <w:tcBorders>
              <w:top w:val="single" w:color="1a3557" w:sz="4"/>
              <w:left w:val="single" w:color="1a3557" w:sz="4"/>
              <w:bottom w:val="single" w:color="1a3557" w:sz="4"/>
              <w:right w:val="single" w:color="1a3557" w:sz="4"/>
            </w:tcBorders>
            <w:shd w:color="000000" w:fill="ffffff"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p>
        </w:tc>
        <w:tc>
          <w:tcPr>
            <w:tcW w:w="1406" w:type="dxa"/>
            <w:tcBorders>
              <w:top w:val="single" w:color="1a3557" w:sz="4"/>
              <w:left w:val="single" w:color="1a3557" w:sz="4"/>
              <w:bottom w:val="single" w:color="1a3557" w:sz="4"/>
              <w:right w:val="single" w:color="1a3557" w:sz="4"/>
            </w:tcBorders>
            <w:shd w:color="000000" w:fill="ffffff"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r>
              <w:rPr>
                <w:rFonts w:ascii="Arial Unicode MS" w:hAnsi="Arial Unicode MS" w:cs="Arial Unicode MS" w:eastAsia="Arial Unicode MS"/>
                <w:color w:val="auto"/>
                <w:spacing w:val="0"/>
                <w:position w:val="0"/>
                <w:sz w:val="17"/>
                <w:shd w:fill="auto" w:val="clear"/>
              </w:rPr>
              <w:t xml:space="preserve"> (folders)</w:t>
            </w:r>
          </w:p>
        </w:tc>
        <w:tc>
          <w:tcPr>
            <w:tcW w:w="1104" w:type="dxa"/>
            <w:tcBorders>
              <w:top w:val="single" w:color="1a3557" w:sz="4"/>
              <w:left w:val="single" w:color="1a3557" w:sz="4"/>
              <w:bottom w:val="single" w:color="1a3557" w:sz="4"/>
              <w:right w:val="single" w:color="1a3557" w:sz="4"/>
            </w:tcBorders>
            <w:shd w:color="000000" w:fill="ffffff"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r>
              <w:rPr>
                <w:rFonts w:ascii="Arial Unicode MS" w:hAnsi="Arial Unicode MS" w:cs="Arial Unicode MS" w:eastAsia="Arial Unicode MS"/>
                <w:color w:val="auto"/>
                <w:spacing w:val="0"/>
                <w:position w:val="0"/>
                <w:sz w:val="17"/>
                <w:shd w:fill="auto" w:val="clear"/>
              </w:rPr>
              <w:t xml:space="preserve"> (ws/folder/file)</w:t>
            </w:r>
          </w:p>
        </w:tc>
      </w:tr>
      <w:tr>
        <w:trPr>
          <w:trHeight w:val="1" w:hRule="atLeast"/>
          <w:jc w:val="left"/>
        </w:trPr>
        <w:tc>
          <w:tcPr>
            <w:tcW w:w="2000" w:type="dxa"/>
            <w:tcBorders>
              <w:top w:val="single" w:color="1a3557" w:sz="4"/>
              <w:left w:val="single" w:color="1a3557" w:sz="4"/>
              <w:bottom w:val="single" w:color="1a3557" w:sz="4"/>
              <w:right w:val="single" w:color="1a3557" w:sz="4"/>
            </w:tcBorders>
            <w:shd w:color="000000" w:fill="f2f4f7" w:val="clear"/>
            <w:tcMar>
              <w:left w:w="90" w:type="dxa"/>
              <w:right w:w="9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7"/>
                <w:shd w:fill="auto" w:val="clear"/>
              </w:rPr>
              <w:t xml:space="preserve">Real-time Collaboration</w:t>
            </w:r>
          </w:p>
        </w:tc>
        <w:tc>
          <w:tcPr>
            <w:tcW w:w="1750" w:type="dxa"/>
            <w:tcBorders>
              <w:top w:val="single" w:color="1a3557" w:sz="4"/>
              <w:left w:val="single" w:color="1a3557" w:sz="4"/>
              <w:bottom w:val="single" w:color="1a3557" w:sz="4"/>
              <w:right w:val="single" w:color="1a3557" w:sz="4"/>
            </w:tcBorders>
            <w:shd w:color="000000" w:fill="f2f4f7"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p>
        </w:tc>
        <w:tc>
          <w:tcPr>
            <w:tcW w:w="1406" w:type="dxa"/>
            <w:tcBorders>
              <w:top w:val="single" w:color="1a3557" w:sz="4"/>
              <w:left w:val="single" w:color="1a3557" w:sz="4"/>
              <w:bottom w:val="single" w:color="1a3557" w:sz="4"/>
              <w:right w:val="single" w:color="1a3557" w:sz="4"/>
            </w:tcBorders>
            <w:shd w:color="000000" w:fill="f2f4f7"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p>
        </w:tc>
        <w:tc>
          <w:tcPr>
            <w:tcW w:w="1406" w:type="dxa"/>
            <w:tcBorders>
              <w:top w:val="single" w:color="1a3557" w:sz="4"/>
              <w:left w:val="single" w:color="1a3557" w:sz="4"/>
              <w:bottom w:val="single" w:color="1a3557" w:sz="4"/>
              <w:right w:val="single" w:color="1a3557" w:sz="4"/>
            </w:tcBorders>
            <w:shd w:color="000000" w:fill="f2f4f7"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p>
        </w:tc>
        <w:tc>
          <w:tcPr>
            <w:tcW w:w="1406" w:type="dxa"/>
            <w:tcBorders>
              <w:top w:val="single" w:color="1a3557" w:sz="4"/>
              <w:left w:val="single" w:color="1a3557" w:sz="4"/>
              <w:bottom w:val="single" w:color="1a3557" w:sz="4"/>
              <w:right w:val="single" w:color="1a3557" w:sz="4"/>
            </w:tcBorders>
            <w:shd w:color="000000" w:fill="f2f4f7"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p>
        </w:tc>
        <w:tc>
          <w:tcPr>
            <w:tcW w:w="1104" w:type="dxa"/>
            <w:tcBorders>
              <w:top w:val="single" w:color="1a3557" w:sz="4"/>
              <w:left w:val="single" w:color="1a3557" w:sz="4"/>
              <w:bottom w:val="single" w:color="1a3557" w:sz="4"/>
              <w:right w:val="single" w:color="1a3557" w:sz="4"/>
            </w:tcBorders>
            <w:shd w:color="000000" w:fill="f2f4f7"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17"/>
                <w:shd w:fill="auto" w:val="clear"/>
              </w:rPr>
              <w:t xml:space="preserve">Planned</w:t>
            </w:r>
          </w:p>
        </w:tc>
      </w:tr>
      <w:tr>
        <w:trPr>
          <w:trHeight w:val="1" w:hRule="atLeast"/>
          <w:jc w:val="left"/>
        </w:trPr>
        <w:tc>
          <w:tcPr>
            <w:tcW w:w="2000" w:type="dxa"/>
            <w:tcBorders>
              <w:top w:val="single" w:color="1a3557" w:sz="4"/>
              <w:left w:val="single" w:color="1a3557" w:sz="4"/>
              <w:bottom w:val="single" w:color="1a3557" w:sz="4"/>
              <w:right w:val="single" w:color="1a3557" w:sz="4"/>
            </w:tcBorders>
            <w:shd w:color="000000" w:fill="ffffff" w:val="clear"/>
            <w:tcMar>
              <w:left w:w="90" w:type="dxa"/>
              <w:right w:w="9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7"/>
                <w:shd w:fill="auto" w:val="clear"/>
              </w:rPr>
              <w:t xml:space="preserve">Role-based Access Control</w:t>
            </w:r>
          </w:p>
        </w:tc>
        <w:tc>
          <w:tcPr>
            <w:tcW w:w="1750" w:type="dxa"/>
            <w:tcBorders>
              <w:top w:val="single" w:color="1a3557" w:sz="4"/>
              <w:left w:val="single" w:color="1a3557" w:sz="4"/>
              <w:bottom w:val="single" w:color="1a3557" w:sz="4"/>
              <w:right w:val="single" w:color="1a3557" w:sz="4"/>
            </w:tcBorders>
            <w:shd w:color="000000" w:fill="ffffff"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17"/>
                <w:shd w:fill="auto" w:val="clear"/>
              </w:rPr>
              <w:t xml:space="preserve">Limited</w:t>
            </w:r>
          </w:p>
        </w:tc>
        <w:tc>
          <w:tcPr>
            <w:tcW w:w="1406" w:type="dxa"/>
            <w:tcBorders>
              <w:top w:val="single" w:color="1a3557" w:sz="4"/>
              <w:left w:val="single" w:color="1a3557" w:sz="4"/>
              <w:bottom w:val="single" w:color="1a3557" w:sz="4"/>
              <w:right w:val="single" w:color="1a3557" w:sz="4"/>
            </w:tcBorders>
            <w:shd w:color="000000" w:fill="ffffff"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p>
        </w:tc>
        <w:tc>
          <w:tcPr>
            <w:tcW w:w="1406" w:type="dxa"/>
            <w:tcBorders>
              <w:top w:val="single" w:color="1a3557" w:sz="4"/>
              <w:left w:val="single" w:color="1a3557" w:sz="4"/>
              <w:bottom w:val="single" w:color="1a3557" w:sz="4"/>
              <w:right w:val="single" w:color="1a3557" w:sz="4"/>
            </w:tcBorders>
            <w:shd w:color="000000" w:fill="ffffff"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17"/>
                <w:shd w:fill="auto" w:val="clear"/>
              </w:rPr>
              <w:t xml:space="preserve">Limited</w:t>
            </w:r>
          </w:p>
        </w:tc>
        <w:tc>
          <w:tcPr>
            <w:tcW w:w="1406" w:type="dxa"/>
            <w:tcBorders>
              <w:top w:val="single" w:color="1a3557" w:sz="4"/>
              <w:left w:val="single" w:color="1a3557" w:sz="4"/>
              <w:bottom w:val="single" w:color="1a3557" w:sz="4"/>
              <w:right w:val="single" w:color="1a3557" w:sz="4"/>
            </w:tcBorders>
            <w:shd w:color="000000" w:fill="ffffff"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p>
        </w:tc>
        <w:tc>
          <w:tcPr>
            <w:tcW w:w="1104" w:type="dxa"/>
            <w:tcBorders>
              <w:top w:val="single" w:color="1a3557" w:sz="4"/>
              <w:left w:val="single" w:color="1a3557" w:sz="4"/>
              <w:bottom w:val="single" w:color="1a3557" w:sz="4"/>
              <w:right w:val="single" w:color="1a3557" w:sz="4"/>
            </w:tcBorders>
            <w:shd w:color="000000" w:fill="ffffff"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p>
        </w:tc>
      </w:tr>
      <w:tr>
        <w:trPr>
          <w:trHeight w:val="1" w:hRule="atLeast"/>
          <w:jc w:val="left"/>
        </w:trPr>
        <w:tc>
          <w:tcPr>
            <w:tcW w:w="2000" w:type="dxa"/>
            <w:tcBorders>
              <w:top w:val="single" w:color="1a3557" w:sz="4"/>
              <w:left w:val="single" w:color="1a3557" w:sz="4"/>
              <w:bottom w:val="single" w:color="1a3557" w:sz="4"/>
              <w:right w:val="single" w:color="1a3557" w:sz="4"/>
            </w:tcBorders>
            <w:shd w:color="000000" w:fill="f2f4f7" w:val="clear"/>
            <w:tcMar>
              <w:left w:w="90" w:type="dxa"/>
              <w:right w:w="9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7"/>
                <w:shd w:fill="auto" w:val="clear"/>
              </w:rPr>
              <w:t xml:space="preserve">Open Source / Self-hostable</w:t>
            </w:r>
          </w:p>
        </w:tc>
        <w:tc>
          <w:tcPr>
            <w:tcW w:w="1750" w:type="dxa"/>
            <w:tcBorders>
              <w:top w:val="single" w:color="1a3557" w:sz="4"/>
              <w:left w:val="single" w:color="1a3557" w:sz="4"/>
              <w:bottom w:val="single" w:color="1a3557" w:sz="4"/>
              <w:right w:val="single" w:color="1a3557" w:sz="4"/>
            </w:tcBorders>
            <w:shd w:color="000000" w:fill="f2f4f7"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p>
        </w:tc>
        <w:tc>
          <w:tcPr>
            <w:tcW w:w="1406" w:type="dxa"/>
            <w:tcBorders>
              <w:top w:val="single" w:color="1a3557" w:sz="4"/>
              <w:left w:val="single" w:color="1a3557" w:sz="4"/>
              <w:bottom w:val="single" w:color="1a3557" w:sz="4"/>
              <w:right w:val="single" w:color="1a3557" w:sz="4"/>
            </w:tcBorders>
            <w:shd w:color="000000" w:fill="f2f4f7"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p>
        </w:tc>
        <w:tc>
          <w:tcPr>
            <w:tcW w:w="1406" w:type="dxa"/>
            <w:tcBorders>
              <w:top w:val="single" w:color="1a3557" w:sz="4"/>
              <w:left w:val="single" w:color="1a3557" w:sz="4"/>
              <w:bottom w:val="single" w:color="1a3557" w:sz="4"/>
              <w:right w:val="single" w:color="1a3557" w:sz="4"/>
            </w:tcBorders>
            <w:shd w:color="000000" w:fill="f2f4f7"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p>
        </w:tc>
        <w:tc>
          <w:tcPr>
            <w:tcW w:w="1406" w:type="dxa"/>
            <w:tcBorders>
              <w:top w:val="single" w:color="1a3557" w:sz="4"/>
              <w:left w:val="single" w:color="1a3557" w:sz="4"/>
              <w:bottom w:val="single" w:color="1a3557" w:sz="4"/>
              <w:right w:val="single" w:color="1a3557" w:sz="4"/>
            </w:tcBorders>
            <w:shd w:color="000000" w:fill="f2f4f7"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r>
              <w:rPr>
                <w:rFonts w:ascii="Arial Unicode MS" w:hAnsi="Arial Unicode MS" w:cs="Arial Unicode MS" w:eastAsia="Arial Unicode MS"/>
                <w:color w:val="auto"/>
                <w:spacing w:val="0"/>
                <w:position w:val="0"/>
                <w:sz w:val="17"/>
                <w:shd w:fill="auto" w:val="clear"/>
              </w:rPr>
              <w:t xml:space="preserve"> (local)</w:t>
            </w:r>
          </w:p>
        </w:tc>
        <w:tc>
          <w:tcPr>
            <w:tcW w:w="1104" w:type="dxa"/>
            <w:tcBorders>
              <w:top w:val="single" w:color="1a3557" w:sz="4"/>
              <w:left w:val="single" w:color="1a3557" w:sz="4"/>
              <w:bottom w:val="single" w:color="1a3557" w:sz="4"/>
              <w:right w:val="single" w:color="1a3557" w:sz="4"/>
            </w:tcBorders>
            <w:shd w:color="000000" w:fill="f2f4f7"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p>
        </w:tc>
      </w:tr>
      <w:tr>
        <w:trPr>
          <w:trHeight w:val="1" w:hRule="atLeast"/>
          <w:jc w:val="left"/>
        </w:trPr>
        <w:tc>
          <w:tcPr>
            <w:tcW w:w="2000" w:type="dxa"/>
            <w:tcBorders>
              <w:top w:val="single" w:color="1a3557" w:sz="4"/>
              <w:left w:val="single" w:color="1a3557" w:sz="4"/>
              <w:bottom w:val="single" w:color="1a3557" w:sz="4"/>
              <w:right w:val="single" w:color="1a3557" w:sz="4"/>
            </w:tcBorders>
            <w:shd w:color="000000" w:fill="ffffff" w:val="clear"/>
            <w:tcMar>
              <w:left w:w="90" w:type="dxa"/>
              <w:right w:w="9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7"/>
                <w:shd w:fill="auto" w:val="clear"/>
              </w:rPr>
              <w:t xml:space="preserve">Typed Schema (ORM)</w:t>
            </w:r>
          </w:p>
        </w:tc>
        <w:tc>
          <w:tcPr>
            <w:tcW w:w="1750" w:type="dxa"/>
            <w:tcBorders>
              <w:top w:val="single" w:color="1a3557" w:sz="4"/>
              <w:left w:val="single" w:color="1a3557" w:sz="4"/>
              <w:bottom w:val="single" w:color="1a3557" w:sz="4"/>
              <w:right w:val="single" w:color="1a3557" w:sz="4"/>
            </w:tcBorders>
            <w:shd w:color="000000" w:fill="ffffff"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p>
        </w:tc>
        <w:tc>
          <w:tcPr>
            <w:tcW w:w="1406" w:type="dxa"/>
            <w:tcBorders>
              <w:top w:val="single" w:color="1a3557" w:sz="4"/>
              <w:left w:val="single" w:color="1a3557" w:sz="4"/>
              <w:bottom w:val="single" w:color="1a3557" w:sz="4"/>
              <w:right w:val="single" w:color="1a3557" w:sz="4"/>
            </w:tcBorders>
            <w:shd w:color="000000" w:fill="ffffff"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p>
        </w:tc>
        <w:tc>
          <w:tcPr>
            <w:tcW w:w="1406" w:type="dxa"/>
            <w:tcBorders>
              <w:top w:val="single" w:color="1a3557" w:sz="4"/>
              <w:left w:val="single" w:color="1a3557" w:sz="4"/>
              <w:bottom w:val="single" w:color="1a3557" w:sz="4"/>
              <w:right w:val="single" w:color="1a3557" w:sz="4"/>
            </w:tcBorders>
            <w:shd w:color="000000" w:fill="ffffff"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p>
        </w:tc>
        <w:tc>
          <w:tcPr>
            <w:tcW w:w="1406" w:type="dxa"/>
            <w:tcBorders>
              <w:top w:val="single" w:color="1a3557" w:sz="4"/>
              <w:left w:val="single" w:color="1a3557" w:sz="4"/>
              <w:bottom w:val="single" w:color="1a3557" w:sz="4"/>
              <w:right w:val="single" w:color="1a3557" w:sz="4"/>
            </w:tcBorders>
            <w:shd w:color="000000" w:fill="ffffff"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p>
        </w:tc>
        <w:tc>
          <w:tcPr>
            <w:tcW w:w="1104" w:type="dxa"/>
            <w:tcBorders>
              <w:top w:val="single" w:color="1a3557" w:sz="4"/>
              <w:left w:val="single" w:color="1a3557" w:sz="4"/>
              <w:bottom w:val="single" w:color="1a3557" w:sz="4"/>
              <w:right w:val="single" w:color="1a3557" w:sz="4"/>
            </w:tcBorders>
            <w:shd w:color="000000" w:fill="ffffff"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r>
              <w:rPr>
                <w:rFonts w:ascii="Arial Unicode MS" w:hAnsi="Arial Unicode MS" w:cs="Arial Unicode MS" w:eastAsia="Arial Unicode MS"/>
                <w:color w:val="auto"/>
                <w:spacing w:val="0"/>
                <w:position w:val="0"/>
                <w:sz w:val="17"/>
                <w:shd w:fill="auto" w:val="clear"/>
              </w:rPr>
              <w:t xml:space="preserve"> (Drizzle)</w:t>
            </w:r>
          </w:p>
        </w:tc>
      </w:tr>
      <w:tr>
        <w:trPr>
          <w:trHeight w:val="1" w:hRule="atLeast"/>
          <w:jc w:val="left"/>
        </w:trPr>
        <w:tc>
          <w:tcPr>
            <w:tcW w:w="2000" w:type="dxa"/>
            <w:tcBorders>
              <w:top w:val="single" w:color="1a3557" w:sz="4"/>
              <w:left w:val="single" w:color="1a3557" w:sz="4"/>
              <w:bottom w:val="single" w:color="1a3557" w:sz="4"/>
              <w:right w:val="single" w:color="1a3557" w:sz="4"/>
            </w:tcBorders>
            <w:shd w:color="000000" w:fill="f2f4f7" w:val="clear"/>
            <w:tcMar>
              <w:left w:w="90" w:type="dxa"/>
              <w:right w:w="9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7"/>
                <w:shd w:fill="auto" w:val="clear"/>
              </w:rPr>
              <w:t xml:space="preserve">OAuth Integration</w:t>
            </w:r>
          </w:p>
        </w:tc>
        <w:tc>
          <w:tcPr>
            <w:tcW w:w="1750" w:type="dxa"/>
            <w:tcBorders>
              <w:top w:val="single" w:color="1a3557" w:sz="4"/>
              <w:left w:val="single" w:color="1a3557" w:sz="4"/>
              <w:bottom w:val="single" w:color="1a3557" w:sz="4"/>
              <w:right w:val="single" w:color="1a3557" w:sz="4"/>
            </w:tcBorders>
            <w:shd w:color="000000" w:fill="f2f4f7"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p>
        </w:tc>
        <w:tc>
          <w:tcPr>
            <w:tcW w:w="1406" w:type="dxa"/>
            <w:tcBorders>
              <w:top w:val="single" w:color="1a3557" w:sz="4"/>
              <w:left w:val="single" w:color="1a3557" w:sz="4"/>
              <w:bottom w:val="single" w:color="1a3557" w:sz="4"/>
              <w:right w:val="single" w:color="1a3557" w:sz="4"/>
            </w:tcBorders>
            <w:shd w:color="000000" w:fill="f2f4f7"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p>
        </w:tc>
        <w:tc>
          <w:tcPr>
            <w:tcW w:w="1406" w:type="dxa"/>
            <w:tcBorders>
              <w:top w:val="single" w:color="1a3557" w:sz="4"/>
              <w:left w:val="single" w:color="1a3557" w:sz="4"/>
              <w:bottom w:val="single" w:color="1a3557" w:sz="4"/>
              <w:right w:val="single" w:color="1a3557" w:sz="4"/>
            </w:tcBorders>
            <w:shd w:color="000000" w:fill="f2f4f7"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p>
        </w:tc>
        <w:tc>
          <w:tcPr>
            <w:tcW w:w="1406" w:type="dxa"/>
            <w:tcBorders>
              <w:top w:val="single" w:color="1a3557" w:sz="4"/>
              <w:left w:val="single" w:color="1a3557" w:sz="4"/>
              <w:bottom w:val="single" w:color="1a3557" w:sz="4"/>
              <w:right w:val="single" w:color="1a3557" w:sz="4"/>
            </w:tcBorders>
            <w:shd w:color="000000" w:fill="f2f4f7"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p>
        </w:tc>
        <w:tc>
          <w:tcPr>
            <w:tcW w:w="1104" w:type="dxa"/>
            <w:tcBorders>
              <w:top w:val="single" w:color="1a3557" w:sz="4"/>
              <w:left w:val="single" w:color="1a3557" w:sz="4"/>
              <w:bottom w:val="single" w:color="1a3557" w:sz="4"/>
              <w:right w:val="single" w:color="1a3557" w:sz="4"/>
            </w:tcBorders>
            <w:shd w:color="000000" w:fill="f2f4f7"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r>
              <w:rPr>
                <w:rFonts w:ascii="Arial Unicode MS" w:hAnsi="Arial Unicode MS" w:cs="Arial Unicode MS" w:eastAsia="Arial Unicode MS"/>
                <w:color w:val="auto"/>
                <w:spacing w:val="0"/>
                <w:position w:val="0"/>
                <w:sz w:val="17"/>
                <w:shd w:fill="auto" w:val="clear"/>
              </w:rPr>
              <w:t xml:space="preserve"> (NextAuth)</w:t>
            </w:r>
          </w:p>
        </w:tc>
      </w:tr>
      <w:tr>
        <w:trPr>
          <w:trHeight w:val="1" w:hRule="atLeast"/>
          <w:jc w:val="left"/>
        </w:trPr>
        <w:tc>
          <w:tcPr>
            <w:tcW w:w="2000" w:type="dxa"/>
            <w:tcBorders>
              <w:top w:val="single" w:color="1a3557" w:sz="4"/>
              <w:left w:val="single" w:color="1a3557" w:sz="4"/>
              <w:bottom w:val="single" w:color="1a3557" w:sz="4"/>
              <w:right w:val="single" w:color="1a3557" w:sz="4"/>
            </w:tcBorders>
            <w:shd w:color="000000" w:fill="ffffff" w:val="clear"/>
            <w:tcMar>
              <w:left w:w="90" w:type="dxa"/>
              <w:right w:w="9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7"/>
                <w:shd w:fill="auto" w:val="clear"/>
              </w:rPr>
              <w:t xml:space="preserve">Autosave / Persistence</w:t>
            </w:r>
          </w:p>
        </w:tc>
        <w:tc>
          <w:tcPr>
            <w:tcW w:w="1750" w:type="dxa"/>
            <w:tcBorders>
              <w:top w:val="single" w:color="1a3557" w:sz="4"/>
              <w:left w:val="single" w:color="1a3557" w:sz="4"/>
              <w:bottom w:val="single" w:color="1a3557" w:sz="4"/>
              <w:right w:val="single" w:color="1a3557" w:sz="4"/>
            </w:tcBorders>
            <w:shd w:color="000000" w:fill="ffffff"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p>
        </w:tc>
        <w:tc>
          <w:tcPr>
            <w:tcW w:w="1406" w:type="dxa"/>
            <w:tcBorders>
              <w:top w:val="single" w:color="1a3557" w:sz="4"/>
              <w:left w:val="single" w:color="1a3557" w:sz="4"/>
              <w:bottom w:val="single" w:color="1a3557" w:sz="4"/>
              <w:right w:val="single" w:color="1a3557" w:sz="4"/>
            </w:tcBorders>
            <w:shd w:color="000000" w:fill="ffffff"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p>
        </w:tc>
        <w:tc>
          <w:tcPr>
            <w:tcW w:w="1406" w:type="dxa"/>
            <w:tcBorders>
              <w:top w:val="single" w:color="1a3557" w:sz="4"/>
              <w:left w:val="single" w:color="1a3557" w:sz="4"/>
              <w:bottom w:val="single" w:color="1a3557" w:sz="4"/>
              <w:right w:val="single" w:color="1a3557" w:sz="4"/>
            </w:tcBorders>
            <w:shd w:color="000000" w:fill="ffffff"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p>
        </w:tc>
        <w:tc>
          <w:tcPr>
            <w:tcW w:w="1406" w:type="dxa"/>
            <w:tcBorders>
              <w:top w:val="single" w:color="1a3557" w:sz="4"/>
              <w:left w:val="single" w:color="1a3557" w:sz="4"/>
              <w:bottom w:val="single" w:color="1a3557" w:sz="4"/>
              <w:right w:val="single" w:color="1a3557" w:sz="4"/>
            </w:tcBorders>
            <w:shd w:color="000000" w:fill="ffffff"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p>
        </w:tc>
        <w:tc>
          <w:tcPr>
            <w:tcW w:w="1104" w:type="dxa"/>
            <w:tcBorders>
              <w:top w:val="single" w:color="1a3557" w:sz="4"/>
              <w:left w:val="single" w:color="1a3557" w:sz="4"/>
              <w:bottom w:val="single" w:color="1a3557" w:sz="4"/>
              <w:right w:val="single" w:color="1a3557" w:sz="4"/>
            </w:tcBorders>
            <w:shd w:color="000000" w:fill="ffffff"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r>
              <w:rPr>
                <w:rFonts w:ascii="Arial Unicode MS" w:hAnsi="Arial Unicode MS" w:cs="Arial Unicode MS" w:eastAsia="Arial Unicode MS"/>
                <w:color w:val="auto"/>
                <w:spacing w:val="0"/>
                <w:position w:val="0"/>
                <w:sz w:val="17"/>
                <w:shd w:fill="auto" w:val="clear"/>
              </w:rPr>
              <w:t xml:space="preserve"> (500ms)</w:t>
            </w:r>
          </w:p>
        </w:tc>
      </w:tr>
      <w:tr>
        <w:trPr>
          <w:trHeight w:val="1" w:hRule="atLeast"/>
          <w:jc w:val="left"/>
        </w:trPr>
        <w:tc>
          <w:tcPr>
            <w:tcW w:w="2000" w:type="dxa"/>
            <w:tcBorders>
              <w:top w:val="single" w:color="1a3557" w:sz="4"/>
              <w:left w:val="single" w:color="1a3557" w:sz="4"/>
              <w:bottom w:val="single" w:color="1a3557" w:sz="4"/>
              <w:right w:val="single" w:color="1a3557" w:sz="4"/>
            </w:tcBorders>
            <w:shd w:color="000000" w:fill="f2f4f7" w:val="clear"/>
            <w:tcMar>
              <w:left w:w="90" w:type="dxa"/>
              <w:right w:w="9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7"/>
                <w:shd w:fill="auto" w:val="clear"/>
              </w:rPr>
              <w:t xml:space="preserve">Custom Deployment</w:t>
            </w:r>
          </w:p>
        </w:tc>
        <w:tc>
          <w:tcPr>
            <w:tcW w:w="1750" w:type="dxa"/>
            <w:tcBorders>
              <w:top w:val="single" w:color="1a3557" w:sz="4"/>
              <w:left w:val="single" w:color="1a3557" w:sz="4"/>
              <w:bottom w:val="single" w:color="1a3557" w:sz="4"/>
              <w:right w:val="single" w:color="1a3557" w:sz="4"/>
            </w:tcBorders>
            <w:shd w:color="000000" w:fill="f2f4f7"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p>
        </w:tc>
        <w:tc>
          <w:tcPr>
            <w:tcW w:w="1406" w:type="dxa"/>
            <w:tcBorders>
              <w:top w:val="single" w:color="1a3557" w:sz="4"/>
              <w:left w:val="single" w:color="1a3557" w:sz="4"/>
              <w:bottom w:val="single" w:color="1a3557" w:sz="4"/>
              <w:right w:val="single" w:color="1a3557" w:sz="4"/>
            </w:tcBorders>
            <w:shd w:color="000000" w:fill="f2f4f7"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r>
              <w:rPr>
                <w:rFonts w:ascii="Arial Unicode MS" w:hAnsi="Arial Unicode MS" w:cs="Arial Unicode MS" w:eastAsia="Arial Unicode MS"/>
                <w:color w:val="auto"/>
                <w:spacing w:val="0"/>
                <w:position w:val="0"/>
                <w:sz w:val="17"/>
                <w:shd w:fill="auto" w:val="clear"/>
              </w:rPr>
              <w:t xml:space="preserve"> (DC)</w:t>
            </w:r>
          </w:p>
        </w:tc>
        <w:tc>
          <w:tcPr>
            <w:tcW w:w="1406" w:type="dxa"/>
            <w:tcBorders>
              <w:top w:val="single" w:color="1a3557" w:sz="4"/>
              <w:left w:val="single" w:color="1a3557" w:sz="4"/>
              <w:bottom w:val="single" w:color="1a3557" w:sz="4"/>
              <w:right w:val="single" w:color="1a3557" w:sz="4"/>
            </w:tcBorders>
            <w:shd w:color="000000" w:fill="f2f4f7"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p>
        </w:tc>
        <w:tc>
          <w:tcPr>
            <w:tcW w:w="1406" w:type="dxa"/>
            <w:tcBorders>
              <w:top w:val="single" w:color="1a3557" w:sz="4"/>
              <w:left w:val="single" w:color="1a3557" w:sz="4"/>
              <w:bottom w:val="single" w:color="1a3557" w:sz="4"/>
              <w:right w:val="single" w:color="1a3557" w:sz="4"/>
            </w:tcBorders>
            <w:shd w:color="000000" w:fill="f2f4f7"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p>
        </w:tc>
        <w:tc>
          <w:tcPr>
            <w:tcW w:w="1104" w:type="dxa"/>
            <w:tcBorders>
              <w:top w:val="single" w:color="1a3557" w:sz="4"/>
              <w:left w:val="single" w:color="1a3557" w:sz="4"/>
              <w:bottom w:val="single" w:color="1a3557" w:sz="4"/>
              <w:right w:val="single" w:color="1a3557" w:sz="4"/>
            </w:tcBorders>
            <w:shd w:color="000000" w:fill="f2f4f7" w:val="clear"/>
            <w:tcMar>
              <w:left w:w="90" w:type="dxa"/>
              <w:right w:w="90" w:type="dxa"/>
            </w:tcMar>
            <w:vAlign w:val="top"/>
          </w:tcPr>
          <w:p>
            <w:pPr>
              <w:spacing w:before="0" w:after="0" w:line="240"/>
              <w:ind w:right="0" w:left="0" w:firstLine="0"/>
              <w:jc w:val="center"/>
              <w:rPr>
                <w:color w:val="auto"/>
                <w:spacing w:val="0"/>
                <w:position w:val="0"/>
                <w:shd w:fill="auto" w:val="clear"/>
              </w:rPr>
            </w:pPr>
            <w:r>
              <w:rPr>
                <w:rFonts w:ascii="Segoe UI Symbol" w:hAnsi="Segoe UI Symbol" w:cs="Segoe UI Symbol" w:eastAsia="Segoe UI Symbol"/>
                <w:color w:val="auto"/>
                <w:spacing w:val="0"/>
                <w:position w:val="0"/>
                <w:sz w:val="17"/>
                <w:shd w:fill="auto" w:val="clear"/>
              </w:rPr>
              <w:t xml:space="preserve">✓</w:t>
            </w:r>
            <w:r>
              <w:rPr>
                <w:rFonts w:ascii="Arial Unicode MS" w:hAnsi="Arial Unicode MS" w:cs="Arial Unicode MS" w:eastAsia="Arial Unicode MS"/>
                <w:color w:val="auto"/>
                <w:spacing w:val="0"/>
                <w:position w:val="0"/>
                <w:sz w:val="17"/>
                <w:shd w:fill="auto" w:val="clear"/>
              </w:rPr>
              <w:t xml:space="preserve"> (Vercel/Docker)</w:t>
            </w:r>
          </w:p>
        </w:tc>
      </w:tr>
    </w:tbl>
    <w:p>
      <w:pPr>
        <w:spacing w:before="50" w:after="220" w:line="240"/>
        <w:ind w:right="0" w:left="0" w:firstLine="0"/>
        <w:jc w:val="center"/>
        <w:rPr>
          <w:rFonts w:ascii="Arial Unicode MS" w:hAnsi="Arial Unicode MS" w:cs="Arial Unicode MS" w:eastAsia="Arial Unicode MS"/>
          <w:color w:val="auto"/>
          <w:spacing w:val="0"/>
          <w:position w:val="0"/>
          <w:sz w:val="20"/>
          <w:shd w:fill="auto" w:val="clear"/>
        </w:rPr>
      </w:pPr>
      <w:r>
        <w:rPr>
          <w:rFonts w:ascii="Arial Unicode MS" w:hAnsi="Arial Unicode MS" w:cs="Arial Unicode MS" w:eastAsia="Arial Unicode MS"/>
          <w:i/>
          <w:color w:val="auto"/>
          <w:spacing w:val="0"/>
          <w:position w:val="0"/>
          <w:sz w:val="20"/>
          <w:shd w:fill="auto" w:val="clear"/>
        </w:rPr>
        <w:t xml:space="preserve">Table II. Feature comparison across collaborative platforms. </w:t>
      </w:r>
      <w:r>
        <w:rPr>
          <w:rFonts w:ascii="Segoe UI Symbol" w:hAnsi="Segoe UI Symbol" w:cs="Segoe UI Symbol" w:eastAsia="Segoe UI Symbol"/>
          <w:i/>
          <w:color w:val="auto"/>
          <w:spacing w:val="0"/>
          <w:position w:val="0"/>
          <w:sz w:val="20"/>
          <w:shd w:fill="auto" w:val="clear"/>
        </w:rPr>
        <w:t xml:space="preserve">✓</w:t>
      </w:r>
      <w:r>
        <w:rPr>
          <w:rFonts w:ascii="Arial Unicode MS" w:hAnsi="Arial Unicode MS" w:cs="Arial Unicode MS" w:eastAsia="Arial Unicode MS"/>
          <w:i/>
          <w:color w:val="auto"/>
          <w:spacing w:val="0"/>
          <w:position w:val="0"/>
          <w:sz w:val="20"/>
          <w:shd w:fill="auto" w:val="clear"/>
        </w:rPr>
        <w:t xml:space="preserve"> = supported, </w:t>
      </w:r>
      <w:r>
        <w:rPr>
          <w:rFonts w:ascii="Segoe UI Symbol" w:hAnsi="Segoe UI Symbol" w:cs="Segoe UI Symbol" w:eastAsia="Segoe UI Symbol"/>
          <w:i/>
          <w:color w:val="auto"/>
          <w:spacing w:val="0"/>
          <w:position w:val="0"/>
          <w:sz w:val="20"/>
          <w:shd w:fill="auto" w:val="clear"/>
        </w:rPr>
        <w:t xml:space="preserve">✗</w:t>
      </w:r>
      <w:r>
        <w:rPr>
          <w:rFonts w:ascii="Arial Unicode MS" w:hAnsi="Arial Unicode MS" w:cs="Arial Unicode MS" w:eastAsia="Arial Unicode MS"/>
          <w:i/>
          <w:color w:val="auto"/>
          <w:spacing w:val="0"/>
          <w:position w:val="0"/>
          <w:sz w:val="20"/>
          <w:shd w:fill="auto" w:val="clear"/>
        </w:rPr>
        <w:t xml:space="preserve"> = not supported, ws = workspace.</w:t>
      </w:r>
    </w:p>
    <w:p>
      <w:pPr>
        <w:spacing w:before="360" w:after="14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1A3557"/>
          <w:spacing w:val="0"/>
          <w:position w:val="0"/>
          <w:sz w:val="24"/>
          <w:shd w:fill="auto" w:val="clear"/>
        </w:rPr>
        <w:t xml:space="preserve">III.  Methods</w:t>
      </w:r>
    </w:p>
    <w:p>
      <w:pPr>
        <w:spacing w:before="240" w:after="8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i/>
          <w:color w:val="1A3557"/>
          <w:spacing w:val="0"/>
          <w:position w:val="0"/>
          <w:sz w:val="24"/>
          <w:shd w:fill="auto" w:val="clear"/>
        </w:rPr>
        <w:t xml:space="preserve">A. System Architecture</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ScribeFlow was designed as a five-layer architecture (Figure 1) to enforce clear separation of concerns and enable independent scaling of each tier:</w:t>
      </w:r>
    </w:p>
    <w:p>
      <w:pPr>
        <w:numPr>
          <w:ilvl w:val="0"/>
          <w:numId w:val="68"/>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u w:val="single"/>
          <w:shd w:fill="auto" w:val="clear"/>
        </w:rPr>
        <w:t xml:space="preserve">Presentation Layer: Next.js App Router pages and React components for dashboard, workspace, file editor, and authentication flows.</w:t>
      </w:r>
    </w:p>
    <w:p>
      <w:pPr>
        <w:numPr>
          <w:ilvl w:val="0"/>
          <w:numId w:val="68"/>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u w:val="single"/>
          <w:shd w:fill="auto" w:val="clear"/>
        </w:rPr>
        <w:t xml:space="preserve">Application Layer: Server actions and query modules handling create/update/delete operations, collaborator management, and search.</w:t>
      </w:r>
    </w:p>
    <w:p>
      <w:pPr>
        <w:numPr>
          <w:ilvl w:val="0"/>
          <w:numId w:val="68"/>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u w:val="single"/>
          <w:shd w:fill="auto" w:val="clear"/>
        </w:rPr>
        <w:t xml:space="preserve">Data Layer: PostgreSQL with Drizzle ORM schemas, type-safe queries, and a version-controlled migration history.</w:t>
      </w:r>
    </w:p>
    <w:p>
      <w:pPr>
        <w:numPr>
          <w:ilvl w:val="0"/>
          <w:numId w:val="68"/>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u w:val="single"/>
          <w:shd w:fill="auto" w:val="clear"/>
        </w:rPr>
        <w:t xml:space="preserve">Identity Layer: NextAuth with Google OAuth and credentials-based login, JWT session tokens, and protected route middleware.</w:t>
      </w:r>
    </w:p>
    <w:p>
      <w:pPr>
        <w:numPr>
          <w:ilvl w:val="0"/>
          <w:numId w:val="68"/>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u w:val="single"/>
          <w:shd w:fill="auto" w:val="clear"/>
        </w:rPr>
        <w:t xml:space="preserve">Operational Layer: Zod environment validation, optional Upstash rate limiting, and Docker container support.</w:t>
      </w:r>
    </w:p>
    <w:p>
      <w:pPr>
        <w:spacing w:before="140" w:after="0" w:line="240"/>
        <w:ind w:right="0" w:left="0" w:firstLine="0"/>
        <w:jc w:val="center"/>
        <w:rPr>
          <w:rFonts w:ascii="Calibri" w:hAnsi="Calibri" w:cs="Calibri" w:eastAsia="Calibri"/>
          <w:color w:val="auto"/>
          <w:spacing w:val="0"/>
          <w:position w:val="0"/>
          <w:sz w:val="22"/>
          <w:shd w:fill="auto" w:val="clear"/>
        </w:rPr>
      </w:pPr>
      <w:r>
        <w:object w:dxaOrig="7200" w:dyaOrig="4464">
          <v:rect xmlns:o="urn:schemas-microsoft-com:office:office" xmlns:v="urn:schemas-microsoft-com:vml" id="rectole0000000000" style="width:360.000000pt;height:223.2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50" w:after="220" w:line="240"/>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i/>
          <w:color w:val="444444"/>
          <w:spacing w:val="0"/>
          <w:position w:val="0"/>
          <w:sz w:val="20"/>
          <w:shd w:fill="auto" w:val="clear"/>
        </w:rPr>
        <w:t xml:space="preserve">Fig. 1. ScribeFlow five-layer system architecture.</w:t>
      </w:r>
    </w:p>
    <w:p>
      <w:pPr>
        <w:spacing w:before="240" w:after="8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i/>
          <w:color w:val="1A3557"/>
          <w:spacing w:val="0"/>
          <w:position w:val="0"/>
          <w:sz w:val="24"/>
          <w:shd w:fill="auto" w:val="clear"/>
        </w:rPr>
        <w:t xml:space="preserve">B. Core Data Model</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primary entities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user, workspace, folder, file, collaborator, and newsletter_subscriber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were modelled using Drizzle ORM schemas on PostgreSQL. Workspaces define the principal multi-tenancy boundary; folders and files exist within workspaces. The entity relationships are depicted in Figure 2.</w:t>
      </w:r>
    </w:p>
    <w:p>
      <w:pPr>
        <w:spacing w:before="140" w:after="0" w:line="240"/>
        <w:ind w:right="0" w:left="0" w:firstLine="0"/>
        <w:jc w:val="center"/>
        <w:rPr>
          <w:rFonts w:ascii="Calibri" w:hAnsi="Calibri" w:cs="Calibri" w:eastAsia="Calibri"/>
          <w:color w:val="auto"/>
          <w:spacing w:val="0"/>
          <w:position w:val="0"/>
          <w:sz w:val="22"/>
          <w:shd w:fill="auto" w:val="clear"/>
        </w:rPr>
      </w:pPr>
      <w:r>
        <w:object w:dxaOrig="7200" w:dyaOrig="4838">
          <v:rect xmlns:o="urn:schemas-microsoft-com:office:office" xmlns:v="urn:schemas-microsoft-com:vml" id="rectole0000000001" style="width:360.000000pt;height:241.9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50" w:after="220" w:line="240"/>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i/>
          <w:color w:val="444444"/>
          <w:spacing w:val="0"/>
          <w:position w:val="0"/>
          <w:sz w:val="20"/>
          <w:shd w:fill="auto" w:val="clear"/>
        </w:rPr>
        <w:t xml:space="preserve">Fig. 2. Core data model: entity relationships across workspace, folder, and file entities.</w:t>
      </w:r>
    </w:p>
    <w:p>
      <w:pPr>
        <w:spacing w:before="240" w:after="8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i/>
          <w:color w:val="1A3557"/>
          <w:spacing w:val="0"/>
          <w:position w:val="0"/>
          <w:sz w:val="24"/>
          <w:shd w:fill="auto" w:val="clear"/>
        </w:rPr>
        <w:t xml:space="preserve">C. Security and Access Control</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All protected routes enforce a workspace-level authorization predicate evaluated server-side before rendering any workspace, folder, or file view:</w:t>
      </w:r>
    </w:p>
    <w:p>
      <w:pPr>
        <w:spacing w:before="120" w:after="120" w:line="240"/>
        <w:ind w:right="0" w:left="0" w:firstLine="0"/>
        <w:jc w:val="center"/>
        <w:rPr>
          <w:rFonts w:ascii="Gungsuh" w:hAnsi="Gungsuh" w:cs="Gungsuh" w:eastAsia="Gungsuh"/>
          <w:color w:val="auto"/>
          <w:spacing w:val="0"/>
          <w:position w:val="0"/>
          <w:sz w:val="22"/>
          <w:shd w:fill="auto" w:val="clear"/>
        </w:rPr>
      </w:pPr>
      <w:r>
        <w:rPr>
          <w:rFonts w:ascii="Gungsuh" w:hAnsi="Gungsuh" w:cs="Gungsuh" w:eastAsia="Gungsuh"/>
          <w:b/>
          <w:color w:val="1A3557"/>
          <w:spacing w:val="0"/>
          <w:position w:val="0"/>
          <w:sz w:val="22"/>
          <w:shd w:fill="auto" w:val="clear"/>
        </w:rPr>
        <w:t xml:space="preserve">canAccess(w, u) = 1  iff  u = owner(w)  OR  (u, w) </w:t>
      </w:r>
      <w:r>
        <w:rPr>
          <w:rFonts w:ascii="Cambria Math" w:hAnsi="Cambria Math" w:cs="Cambria Math" w:eastAsia="Cambria Math"/>
          <w:b/>
          <w:color w:val="1A3557"/>
          <w:spacing w:val="0"/>
          <w:position w:val="0"/>
          <w:sz w:val="22"/>
          <w:shd w:fill="auto" w:val="clear"/>
        </w:rPr>
        <w:t xml:space="preserve">∈</w:t>
      </w:r>
      <w:r>
        <w:rPr>
          <w:rFonts w:ascii="Gungsuh" w:hAnsi="Gungsuh" w:cs="Gungsuh" w:eastAsia="Gungsuh"/>
          <w:b/>
          <w:color w:val="1A3557"/>
          <w:spacing w:val="0"/>
          <w:position w:val="0"/>
          <w:sz w:val="22"/>
          <w:shd w:fill="auto" w:val="clear"/>
        </w:rPr>
        <w:t xml:space="preserve"> Collaborators</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predicate is consistent with the RBAC model described by Sandhu et al. [8], with workspace ownership and collaborator membership serving as the two principal roles. Unauthorized access attempts are redirected to a dedicated error page, preventing both unauthorized reads and mutations. The full authentication and authorization flow is illustrated in Figure 3.</w:t>
      </w:r>
    </w:p>
    <w:p>
      <w:pPr>
        <w:spacing w:before="140" w:after="0" w:line="240"/>
        <w:ind w:right="0" w:left="0" w:firstLine="0"/>
        <w:jc w:val="center"/>
        <w:rPr>
          <w:rFonts w:ascii="Calibri" w:hAnsi="Calibri" w:cs="Calibri" w:eastAsia="Calibri"/>
          <w:color w:val="auto"/>
          <w:spacing w:val="0"/>
          <w:position w:val="0"/>
          <w:sz w:val="22"/>
          <w:shd w:fill="auto" w:val="clear"/>
        </w:rPr>
      </w:pPr>
      <w:r>
        <w:object w:dxaOrig="7200" w:dyaOrig="5256">
          <v:rect xmlns:o="urn:schemas-microsoft-com:office:office" xmlns:v="urn:schemas-microsoft-com:vml" id="rectole0000000002" style="width:360.000000pt;height:262.8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50" w:after="220" w:line="240"/>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i/>
          <w:color w:val="444444"/>
          <w:spacing w:val="0"/>
          <w:position w:val="0"/>
          <w:sz w:val="20"/>
          <w:shd w:fill="auto" w:val="clear"/>
        </w:rPr>
        <w:t xml:space="preserve">Fig. 3. Authentication and authorization flow: OAuth path, credentials path, and access predicate evaluation.</w:t>
      </w:r>
    </w:p>
    <w:p>
      <w:pPr>
        <w:spacing w:before="240" w:after="8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i/>
          <w:color w:val="1A3557"/>
          <w:spacing w:val="0"/>
          <w:position w:val="0"/>
          <w:sz w:val="24"/>
          <w:shd w:fill="auto" w:val="clear"/>
        </w:rPr>
        <w:t xml:space="preserve">D. Incremental Development Methodology</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ScribeFlow was implemented through six sequential phases, each introducing a bounded set of features with independent testability:</w:t>
      </w:r>
    </w:p>
    <w:p>
      <w:pPr>
        <w:numPr>
          <w:ilvl w:val="0"/>
          <w:numId w:val="83"/>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u w:val="single"/>
          <w:shd w:fill="auto" w:val="clear"/>
        </w:rPr>
        <w:t xml:space="preserve">Auth and session foundation: NextAuth integration with Google OAuth, bcrypt credential hashing, and JWT session management.</w:t>
      </w:r>
    </w:p>
    <w:p>
      <w:pPr>
        <w:numPr>
          <w:ilvl w:val="0"/>
          <w:numId w:val="83"/>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u w:val="single"/>
          <w:shd w:fill="auto" w:val="clear"/>
        </w:rPr>
        <w:t xml:space="preserve">Workspace/folder/file CRUD: complete create, read, update, and delete flows backed by Drizzle ORM server actions with typed return values.</w:t>
      </w:r>
    </w:p>
    <w:p>
      <w:pPr>
        <w:numPr>
          <w:ilvl w:val="0"/>
          <w:numId w:val="83"/>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u w:val="single"/>
          <w:shd w:fill="auto" w:val="clear"/>
        </w:rPr>
        <w:t xml:space="preserve">Dashboard UX improvements: breadcrumb navigation, informative empty states, and responsive workspace panels (Figure 4).</w:t>
      </w:r>
    </w:p>
    <w:p>
      <w:pPr>
        <w:numPr>
          <w:ilvl w:val="0"/>
          <w:numId w:val="83"/>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u w:val="single"/>
          <w:shd w:fill="auto" w:val="clear"/>
        </w:rPr>
        <w:t xml:space="preserve">File editor persistence: autosave triggered on content change using a 500 ms debounce, manual save fallback, and real-time status indicators (Figure 5).</w:t>
      </w:r>
    </w:p>
    <w:p>
      <w:pPr>
        <w:numPr>
          <w:ilvl w:val="0"/>
          <w:numId w:val="83"/>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u w:val="single"/>
          <w:shd w:fill="auto" w:val="clear"/>
        </w:rPr>
        <w:t xml:space="preserve">Collaboration management: invite and remove collaborator flows using email-based lookup and role enforcement (Figure 6).</w:t>
      </w:r>
    </w:p>
    <w:p>
      <w:pPr>
        <w:numPr>
          <w:ilvl w:val="0"/>
          <w:numId w:val="83"/>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u w:val="single"/>
          <w:shd w:fill="auto" w:val="clear"/>
        </w:rPr>
        <w:t xml:space="preserve">Environment and migration reliability: Zod-validated environment variables, stable DB table prefixes, and automated migration verification at startup.</w:t>
      </w:r>
    </w:p>
    <w:p>
      <w:pPr>
        <w:spacing w:before="140" w:after="0" w:line="240"/>
        <w:ind w:right="0" w:left="0" w:firstLine="0"/>
        <w:jc w:val="center"/>
        <w:rPr>
          <w:rFonts w:ascii="Calibri" w:hAnsi="Calibri" w:cs="Calibri" w:eastAsia="Calibri"/>
          <w:color w:val="auto"/>
          <w:spacing w:val="0"/>
          <w:position w:val="0"/>
          <w:sz w:val="22"/>
          <w:shd w:fill="auto" w:val="clear"/>
        </w:rPr>
      </w:pPr>
      <w:r>
        <w:object w:dxaOrig="7200" w:dyaOrig="4492">
          <v:rect xmlns:o="urn:schemas-microsoft-com:office:office" xmlns:v="urn:schemas-microsoft-com:vml" id="rectole0000000003" style="width:360.000000pt;height:224.6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50" w:after="220" w:line="240"/>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i/>
          <w:color w:val="444444"/>
          <w:spacing w:val="0"/>
          <w:position w:val="0"/>
          <w:sz w:val="20"/>
          <w:shd w:fill="auto" w:val="clear"/>
        </w:rPr>
        <w:t xml:space="preserve">Fig. 4. ScribeFlow dashboard UI </w:t>
      </w:r>
      <w:r>
        <w:rPr>
          <w:rFonts w:ascii="Times New Roman" w:hAnsi="Times New Roman" w:cs="Times New Roman" w:eastAsia="Times New Roman"/>
          <w:i/>
          <w:color w:val="444444"/>
          <w:spacing w:val="0"/>
          <w:position w:val="0"/>
          <w:sz w:val="20"/>
          <w:shd w:fill="auto" w:val="clear"/>
        </w:rPr>
        <w:t xml:space="preserve">—</w:t>
      </w:r>
      <w:r>
        <w:rPr>
          <w:rFonts w:ascii="Times New Roman" w:hAnsi="Times New Roman" w:cs="Times New Roman" w:eastAsia="Times New Roman"/>
          <w:i/>
          <w:color w:val="444444"/>
          <w:spacing w:val="0"/>
          <w:position w:val="0"/>
          <w:sz w:val="20"/>
          <w:shd w:fill="auto" w:val="clear"/>
        </w:rPr>
        <w:t xml:space="preserve"> breadcrumb navigation, workspace cards, and recent files panel.</w:t>
      </w:r>
    </w:p>
    <w:p>
      <w:pPr>
        <w:spacing w:before="240" w:after="8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i/>
          <w:color w:val="1A3557"/>
          <w:spacing w:val="0"/>
          <w:position w:val="0"/>
          <w:sz w:val="24"/>
          <w:shd w:fill="auto" w:val="clear"/>
        </w:rPr>
        <w:t xml:space="preserve">E. Deployment Infrastructure</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deployment pipeline supports both serverless (Vercel) and containerized (Docker) targets. Schema evolution is managed exclusively through Drizzle migration history, ensuring that the database state is always reconcilable with the application schema version. All environment variables (OAuth credentials, database connection strings, session secrets) are validated at startup through Zod schemas, preventing incomplete or misconfigured deployments from serving traffic.</w:t>
      </w:r>
    </w:p>
    <w:p>
      <w:pPr>
        <w:spacing w:before="360" w:after="14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1A3557"/>
          <w:spacing w:val="0"/>
          <w:position w:val="0"/>
          <w:sz w:val="24"/>
          <w:shd w:fill="auto" w:val="clear"/>
        </w:rPr>
        <w:t xml:space="preserve">IV.  Results</w:t>
      </w:r>
    </w:p>
    <w:p>
      <w:pPr>
        <w:spacing w:before="240" w:after="8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i/>
          <w:color w:val="1A3557"/>
          <w:spacing w:val="0"/>
          <w:position w:val="0"/>
          <w:sz w:val="24"/>
          <w:shd w:fill="auto" w:val="clear"/>
        </w:rPr>
        <w:t xml:space="preserve">A. Experimental Setup and Hardware Specification</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All performance measurements were conducted under controlled laboratory conditions on the following standardized hardware and software configuration:</w:t>
      </w:r>
    </w:p>
    <w:p>
      <w:pPr>
        <w:numPr>
          <w:ilvl w:val="0"/>
          <w:numId w:val="91"/>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u w:val="single"/>
          <w:shd w:fill="auto" w:val="clear"/>
        </w:rPr>
        <w:t xml:space="preserve">Processor: Intel Core i5-12450H (8 cores, 2.0 GHz base / 4.4 GHz boost)</w:t>
      </w:r>
    </w:p>
    <w:p>
      <w:pPr>
        <w:numPr>
          <w:ilvl w:val="0"/>
          <w:numId w:val="91"/>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u w:val="single"/>
          <w:shd w:fill="auto" w:val="clear"/>
        </w:rPr>
        <w:t xml:space="preserve">Memory: 16 GB DDR4-3200 RAM</w:t>
      </w:r>
    </w:p>
    <w:p>
      <w:pPr>
        <w:numPr>
          <w:ilvl w:val="0"/>
          <w:numId w:val="91"/>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u w:val="single"/>
          <w:shd w:fill="auto" w:val="clear"/>
        </w:rPr>
        <w:t xml:space="preserve">Operating System: Ubuntu 22.04 LTS (kernel 6.5)</w:t>
      </w:r>
    </w:p>
    <w:p>
      <w:pPr>
        <w:numPr>
          <w:ilvl w:val="0"/>
          <w:numId w:val="91"/>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u w:val="single"/>
          <w:shd w:fill="auto" w:val="clear"/>
        </w:rPr>
        <w:t xml:space="preserve">Browser: Chromium 135.0 (DevTools Performance API used for client-side timing)</w:t>
      </w:r>
    </w:p>
    <w:p>
      <w:pPr>
        <w:numPr>
          <w:ilvl w:val="0"/>
          <w:numId w:val="91"/>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u w:val="single"/>
          <w:shd w:fill="auto" w:val="clear"/>
        </w:rPr>
        <w:t xml:space="preserve">Runtime: Node.js 22.11.0, Bun 1.1.21</w:t>
      </w:r>
    </w:p>
    <w:p>
      <w:pPr>
        <w:numPr>
          <w:ilvl w:val="0"/>
          <w:numId w:val="91"/>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u w:val="single"/>
          <w:shd w:fill="auto" w:val="clear"/>
        </w:rPr>
        <w:t xml:space="preserve">Database: PostgreSQL 16 hosted on Supabase (Frankfurt region) with PgBouncer connection pooling</w:t>
      </w:r>
    </w:p>
    <w:p>
      <w:pPr>
        <w:numPr>
          <w:ilvl w:val="0"/>
          <w:numId w:val="91"/>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u w:val="single"/>
          <w:shd w:fill="auto" w:val="clear"/>
        </w:rPr>
        <w:t xml:space="preserve">Deployment: Vercel serverless (Edge Network, closest PoP to test machine)</w:t>
      </w:r>
    </w:p>
    <w:p>
      <w:pPr>
        <w:numPr>
          <w:ilvl w:val="0"/>
          <w:numId w:val="91"/>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u w:val="single"/>
          <w:shd w:fill="auto" w:val="clear"/>
        </w:rPr>
        <w:t xml:space="preserve">Network: 100 Mbps symmetric fiber (measured RTT to Vercel edge: ~12 ms)</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Each metric was averaged over 50 independent requests under a simulated concurrent load of 10 users, implemented using the k6 load-testing framework. Baseline measurements were taken on the unoptimized initial implementation; optimized measurements were taken after applying React Server Components, connection pooling, and tree-shaken imports.</w:t>
      </w:r>
    </w:p>
    <w:p>
      <w:pPr>
        <w:spacing w:before="240" w:after="8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i/>
          <w:color w:val="1A3557"/>
          <w:spacing w:val="0"/>
          <w:position w:val="0"/>
          <w:sz w:val="24"/>
          <w:shd w:fill="auto" w:val="clear"/>
        </w:rPr>
        <w:t xml:space="preserve">B. Performance Results</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Table I presents the full set of performance results. The most significant gains were observed in page load time (51% reduction), database query latency (50%), and collaborator invite latency (58%). The autosave round-trip (240 ms in the optimized implementation) was absent from the baseline, where saves were triggered manually. An aggregated bar chart comparing all metrics is presented in Figure 8.</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60" w:line="240"/>
        <w:ind w:right="0" w:left="0" w:firstLine="0"/>
        <w:jc w:val="center"/>
        <w:rPr>
          <w:rFonts w:ascii="Arial" w:hAnsi="Arial" w:cs="Arial" w:eastAsia="Arial"/>
          <w:color w:val="auto"/>
          <w:spacing w:val="0"/>
          <w:position w:val="0"/>
          <w:sz w:val="24"/>
          <w:shd w:fill="auto" w:val="clear"/>
        </w:rPr>
      </w:pPr>
      <w:r>
        <w:rPr>
          <w:rFonts w:ascii="Arial" w:hAnsi="Arial" w:cs="Arial" w:eastAsia="Arial"/>
          <w:b/>
          <w:color w:val="1A3557"/>
          <w:spacing w:val="0"/>
          <w:position w:val="0"/>
          <w:sz w:val="24"/>
          <w:shd w:fill="auto" w:val="clear"/>
        </w:rPr>
        <w:t xml:space="preserve">TABLE I</w:t>
      </w:r>
    </w:p>
    <w:p>
      <w:pPr>
        <w:spacing w:before="0" w:after="100" w:line="240"/>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Performance Comparison: Baseline vs. Optimized ScribeFlow Implementation</w:t>
      </w:r>
    </w:p>
    <w:tbl>
      <w:tblPr/>
      <w:tblGrid>
        <w:gridCol w:w="4500"/>
        <w:gridCol w:w="2286"/>
        <w:gridCol w:w="2286"/>
      </w:tblGrid>
      <w:tr>
        <w:trPr>
          <w:trHeight w:val="1" w:hRule="atLeast"/>
          <w:jc w:val="left"/>
        </w:trPr>
        <w:tc>
          <w:tcPr>
            <w:tcW w:w="4500" w:type="dxa"/>
            <w:tcBorders>
              <w:top w:val="single" w:color="1a3557" w:sz="4"/>
              <w:left w:val="single" w:color="1a3557" w:sz="4"/>
              <w:bottom w:val="single" w:color="1a3557" w:sz="4"/>
              <w:right w:val="single" w:color="1a3557" w:sz="4"/>
            </w:tcBorders>
            <w:shd w:color="000000" w:fill="1a3557" w:val="clear"/>
            <w:tcMar>
              <w:left w:w="120" w:type="dxa"/>
              <w:right w:w="120" w:type="dxa"/>
            </w:tcMar>
            <w:vAlign w:val="top"/>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Metric</w:t>
            </w:r>
          </w:p>
        </w:tc>
        <w:tc>
          <w:tcPr>
            <w:tcW w:w="2286" w:type="dxa"/>
            <w:tcBorders>
              <w:top w:val="single" w:color="1a3557" w:sz="4"/>
              <w:left w:val="single" w:color="1a3557" w:sz="4"/>
              <w:bottom w:val="single" w:color="1a3557" w:sz="4"/>
              <w:right w:val="single" w:color="1a3557" w:sz="4"/>
            </w:tcBorders>
            <w:shd w:color="000000" w:fill="1a3557" w:val="clear"/>
            <w:tcMar>
              <w:left w:w="120" w:type="dxa"/>
              <w:right w:w="120" w:type="dxa"/>
            </w:tcMar>
            <w:vAlign w:val="top"/>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Baseline</w:t>
            </w:r>
          </w:p>
        </w:tc>
        <w:tc>
          <w:tcPr>
            <w:tcW w:w="2286" w:type="dxa"/>
            <w:tcBorders>
              <w:top w:val="single" w:color="1a3557" w:sz="4"/>
              <w:left w:val="single" w:color="1a3557" w:sz="4"/>
              <w:bottom w:val="single" w:color="1a3557" w:sz="4"/>
              <w:right w:val="single" w:color="1a3557" w:sz="4"/>
            </w:tcBorders>
            <w:shd w:color="000000" w:fill="1a3557" w:val="clear"/>
            <w:tcMar>
              <w:left w:w="120" w:type="dxa"/>
              <w:right w:w="120" w:type="dxa"/>
            </w:tcMar>
            <w:vAlign w:val="top"/>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Optimized</w:t>
            </w:r>
          </w:p>
        </w:tc>
      </w:tr>
      <w:tr>
        <w:trPr>
          <w:trHeight w:val="1" w:hRule="atLeast"/>
          <w:jc w:val="left"/>
        </w:trPr>
        <w:tc>
          <w:tcPr>
            <w:tcW w:w="4500" w:type="dxa"/>
            <w:tcBorders>
              <w:top w:val="single" w:color="1a3557" w:sz="4"/>
              <w:left w:val="single" w:color="1a3557" w:sz="4"/>
              <w:bottom w:val="single" w:color="1a3557" w:sz="4"/>
              <w:right w:val="single" w:color="1a3557" w:sz="4"/>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Page Load Time (ms)</w:t>
            </w:r>
          </w:p>
        </w:tc>
        <w:tc>
          <w:tcPr>
            <w:tcW w:w="2286" w:type="dxa"/>
            <w:tcBorders>
              <w:top w:val="single" w:color="1a3557" w:sz="4"/>
              <w:left w:val="single" w:color="1a3557" w:sz="4"/>
              <w:bottom w:val="single" w:color="1a3557" w:sz="4"/>
              <w:right w:val="single" w:color="1a3557" w:sz="4"/>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~850</w:t>
            </w:r>
          </w:p>
        </w:tc>
        <w:tc>
          <w:tcPr>
            <w:tcW w:w="2286" w:type="dxa"/>
            <w:tcBorders>
              <w:top w:val="single" w:color="1a3557" w:sz="4"/>
              <w:left w:val="single" w:color="1a3557" w:sz="4"/>
              <w:bottom w:val="single" w:color="1a3557" w:sz="4"/>
              <w:right w:val="single" w:color="1a3557" w:sz="4"/>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~420</w:t>
            </w:r>
          </w:p>
        </w:tc>
      </w:tr>
      <w:tr>
        <w:trPr>
          <w:trHeight w:val="1" w:hRule="atLeast"/>
          <w:jc w:val="left"/>
        </w:trPr>
        <w:tc>
          <w:tcPr>
            <w:tcW w:w="4500" w:type="dxa"/>
            <w:tcBorders>
              <w:top w:val="single" w:color="1a3557" w:sz="4"/>
              <w:left w:val="single" w:color="1a3557" w:sz="4"/>
              <w:bottom w:val="single" w:color="1a3557" w:sz="4"/>
              <w:right w:val="single" w:color="1a3557" w:sz="4"/>
            </w:tcBorders>
            <w:shd w:color="000000" w:fill="f2f4f7"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OAuth Login Latency (ms)</w:t>
            </w:r>
          </w:p>
        </w:tc>
        <w:tc>
          <w:tcPr>
            <w:tcW w:w="2286" w:type="dxa"/>
            <w:tcBorders>
              <w:top w:val="single" w:color="1a3557" w:sz="4"/>
              <w:left w:val="single" w:color="1a3557" w:sz="4"/>
              <w:bottom w:val="single" w:color="1a3557" w:sz="4"/>
              <w:right w:val="single" w:color="1a3557" w:sz="4"/>
            </w:tcBorders>
            <w:shd w:color="000000" w:fill="f2f4f7"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~320</w:t>
            </w:r>
          </w:p>
        </w:tc>
        <w:tc>
          <w:tcPr>
            <w:tcW w:w="2286" w:type="dxa"/>
            <w:tcBorders>
              <w:top w:val="single" w:color="1a3557" w:sz="4"/>
              <w:left w:val="single" w:color="1a3557" w:sz="4"/>
              <w:bottom w:val="single" w:color="1a3557" w:sz="4"/>
              <w:right w:val="single" w:color="1a3557" w:sz="4"/>
            </w:tcBorders>
            <w:shd w:color="000000" w:fill="f2f4f7"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~180</w:t>
            </w:r>
          </w:p>
        </w:tc>
      </w:tr>
      <w:tr>
        <w:trPr>
          <w:trHeight w:val="1" w:hRule="atLeast"/>
          <w:jc w:val="left"/>
        </w:trPr>
        <w:tc>
          <w:tcPr>
            <w:tcW w:w="4500" w:type="dxa"/>
            <w:tcBorders>
              <w:top w:val="single" w:color="1a3557" w:sz="4"/>
              <w:left w:val="single" w:color="1a3557" w:sz="4"/>
              <w:bottom w:val="single" w:color="1a3557" w:sz="4"/>
              <w:right w:val="single" w:color="1a3557" w:sz="4"/>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Autosave Round-Trip (ms)</w:t>
            </w:r>
          </w:p>
        </w:tc>
        <w:tc>
          <w:tcPr>
            <w:tcW w:w="2286" w:type="dxa"/>
            <w:tcBorders>
              <w:top w:val="single" w:color="1a3557" w:sz="4"/>
              <w:left w:val="single" w:color="1a3557" w:sz="4"/>
              <w:bottom w:val="single" w:color="1a3557" w:sz="4"/>
              <w:right w:val="single" w:color="1a3557" w:sz="4"/>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N/A (manual)</w:t>
            </w:r>
          </w:p>
        </w:tc>
        <w:tc>
          <w:tcPr>
            <w:tcW w:w="2286" w:type="dxa"/>
            <w:tcBorders>
              <w:top w:val="single" w:color="1a3557" w:sz="4"/>
              <w:left w:val="single" w:color="1a3557" w:sz="4"/>
              <w:bottom w:val="single" w:color="1a3557" w:sz="4"/>
              <w:right w:val="single" w:color="1a3557" w:sz="4"/>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~240</w:t>
            </w:r>
          </w:p>
        </w:tc>
      </w:tr>
      <w:tr>
        <w:trPr>
          <w:trHeight w:val="1" w:hRule="atLeast"/>
          <w:jc w:val="left"/>
        </w:trPr>
        <w:tc>
          <w:tcPr>
            <w:tcW w:w="4500" w:type="dxa"/>
            <w:tcBorders>
              <w:top w:val="single" w:color="1a3557" w:sz="4"/>
              <w:left w:val="single" w:color="1a3557" w:sz="4"/>
              <w:bottom w:val="single" w:color="1a3557" w:sz="4"/>
              <w:right w:val="single" w:color="1a3557" w:sz="4"/>
            </w:tcBorders>
            <w:shd w:color="000000" w:fill="f2f4f7"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DB Query </w:t>
            </w:r>
            <w:r>
              <w:rPr>
                <w:rFonts w:ascii="Times New Roman" w:hAnsi="Times New Roman" w:cs="Times New Roman" w:eastAsia="Times New Roman"/>
                <w:color w:val="auto"/>
                <w:spacing w:val="0"/>
                <w:position w:val="0"/>
                <w:sz w:val="20"/>
                <w:shd w:fill="auto" w:val="clear"/>
              </w:rPr>
              <w:t xml:space="preserve">–</w:t>
            </w:r>
            <w:r>
              <w:rPr>
                <w:rFonts w:ascii="Times New Roman" w:hAnsi="Times New Roman" w:cs="Times New Roman" w:eastAsia="Times New Roman"/>
                <w:color w:val="auto"/>
                <w:spacing w:val="0"/>
                <w:position w:val="0"/>
                <w:sz w:val="20"/>
                <w:shd w:fill="auto" w:val="clear"/>
              </w:rPr>
              <w:t xml:space="preserve"> Workspace List (ms)</w:t>
            </w:r>
          </w:p>
        </w:tc>
        <w:tc>
          <w:tcPr>
            <w:tcW w:w="2286" w:type="dxa"/>
            <w:tcBorders>
              <w:top w:val="single" w:color="1a3557" w:sz="4"/>
              <w:left w:val="single" w:color="1a3557" w:sz="4"/>
              <w:bottom w:val="single" w:color="1a3557" w:sz="4"/>
              <w:right w:val="single" w:color="1a3557" w:sz="4"/>
            </w:tcBorders>
            <w:shd w:color="000000" w:fill="f2f4f7"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~90</w:t>
            </w:r>
          </w:p>
        </w:tc>
        <w:tc>
          <w:tcPr>
            <w:tcW w:w="2286" w:type="dxa"/>
            <w:tcBorders>
              <w:top w:val="single" w:color="1a3557" w:sz="4"/>
              <w:left w:val="single" w:color="1a3557" w:sz="4"/>
              <w:bottom w:val="single" w:color="1a3557" w:sz="4"/>
              <w:right w:val="single" w:color="1a3557" w:sz="4"/>
            </w:tcBorders>
            <w:shd w:color="000000" w:fill="f2f4f7"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~45</w:t>
            </w:r>
          </w:p>
        </w:tc>
      </w:tr>
      <w:tr>
        <w:trPr>
          <w:trHeight w:val="1" w:hRule="atLeast"/>
          <w:jc w:val="left"/>
        </w:trPr>
        <w:tc>
          <w:tcPr>
            <w:tcW w:w="4500" w:type="dxa"/>
            <w:tcBorders>
              <w:top w:val="single" w:color="1a3557" w:sz="4"/>
              <w:left w:val="single" w:color="1a3557" w:sz="4"/>
              <w:bottom w:val="single" w:color="1a3557" w:sz="4"/>
              <w:right w:val="single" w:color="1a3557" w:sz="4"/>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JS Bundle Size (KB, gzip)</w:t>
            </w:r>
          </w:p>
        </w:tc>
        <w:tc>
          <w:tcPr>
            <w:tcW w:w="2286" w:type="dxa"/>
            <w:tcBorders>
              <w:top w:val="single" w:color="1a3557" w:sz="4"/>
              <w:left w:val="single" w:color="1a3557" w:sz="4"/>
              <w:bottom w:val="single" w:color="1a3557" w:sz="4"/>
              <w:right w:val="single" w:color="1a3557" w:sz="4"/>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~310</w:t>
            </w:r>
          </w:p>
        </w:tc>
        <w:tc>
          <w:tcPr>
            <w:tcW w:w="2286" w:type="dxa"/>
            <w:tcBorders>
              <w:top w:val="single" w:color="1a3557" w:sz="4"/>
              <w:left w:val="single" w:color="1a3557" w:sz="4"/>
              <w:bottom w:val="single" w:color="1a3557" w:sz="4"/>
              <w:right w:val="single" w:color="1a3557" w:sz="4"/>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~218</w:t>
            </w:r>
          </w:p>
        </w:tc>
      </w:tr>
      <w:tr>
        <w:trPr>
          <w:trHeight w:val="1" w:hRule="atLeast"/>
          <w:jc w:val="left"/>
        </w:trPr>
        <w:tc>
          <w:tcPr>
            <w:tcW w:w="4500" w:type="dxa"/>
            <w:tcBorders>
              <w:top w:val="single" w:color="1a3557" w:sz="4"/>
              <w:left w:val="single" w:color="1a3557" w:sz="4"/>
              <w:bottom w:val="single" w:color="1a3557" w:sz="4"/>
              <w:right w:val="single" w:color="1a3557" w:sz="4"/>
            </w:tcBorders>
            <w:shd w:color="000000" w:fill="f2f4f7"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Collaborator Invite (ms)</w:t>
            </w:r>
          </w:p>
        </w:tc>
        <w:tc>
          <w:tcPr>
            <w:tcW w:w="2286" w:type="dxa"/>
            <w:tcBorders>
              <w:top w:val="single" w:color="1a3557" w:sz="4"/>
              <w:left w:val="single" w:color="1a3557" w:sz="4"/>
              <w:bottom w:val="single" w:color="1a3557" w:sz="4"/>
              <w:right w:val="single" w:color="1a3557" w:sz="4"/>
            </w:tcBorders>
            <w:shd w:color="000000" w:fill="f2f4f7"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~500</w:t>
            </w:r>
          </w:p>
        </w:tc>
        <w:tc>
          <w:tcPr>
            <w:tcW w:w="2286" w:type="dxa"/>
            <w:tcBorders>
              <w:top w:val="single" w:color="1a3557" w:sz="4"/>
              <w:left w:val="single" w:color="1a3557" w:sz="4"/>
              <w:bottom w:val="single" w:color="1a3557" w:sz="4"/>
              <w:right w:val="single" w:color="1a3557" w:sz="4"/>
            </w:tcBorders>
            <w:shd w:color="000000" w:fill="f2f4f7"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~210</w:t>
            </w:r>
          </w:p>
        </w:tc>
      </w:tr>
      <w:tr>
        <w:trPr>
          <w:trHeight w:val="1" w:hRule="atLeast"/>
          <w:jc w:val="left"/>
        </w:trPr>
        <w:tc>
          <w:tcPr>
            <w:tcW w:w="4500" w:type="dxa"/>
            <w:tcBorders>
              <w:top w:val="single" w:color="1a3557" w:sz="4"/>
              <w:left w:val="single" w:color="1a3557" w:sz="4"/>
              <w:bottom w:val="single" w:color="1a3557" w:sz="4"/>
              <w:right w:val="single" w:color="1a3557" w:sz="4"/>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Server-Side Render (ms)</w:t>
            </w:r>
          </w:p>
        </w:tc>
        <w:tc>
          <w:tcPr>
            <w:tcW w:w="2286" w:type="dxa"/>
            <w:tcBorders>
              <w:top w:val="single" w:color="1a3557" w:sz="4"/>
              <w:left w:val="single" w:color="1a3557" w:sz="4"/>
              <w:bottom w:val="single" w:color="1a3557" w:sz="4"/>
              <w:right w:val="single" w:color="1a3557" w:sz="4"/>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~180</w:t>
            </w:r>
          </w:p>
        </w:tc>
        <w:tc>
          <w:tcPr>
            <w:tcW w:w="2286" w:type="dxa"/>
            <w:tcBorders>
              <w:top w:val="single" w:color="1a3557" w:sz="4"/>
              <w:left w:val="single" w:color="1a3557" w:sz="4"/>
              <w:bottom w:val="single" w:color="1a3557" w:sz="4"/>
              <w:right w:val="single" w:color="1a3557" w:sz="4"/>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~95</w:t>
            </w:r>
          </w:p>
        </w:tc>
      </w:tr>
    </w:tbl>
    <w:p>
      <w:pPr>
        <w:spacing w:before="240" w:after="8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i/>
          <w:color w:val="1A3557"/>
          <w:spacing w:val="0"/>
          <w:position w:val="0"/>
          <w:sz w:val="24"/>
          <w:shd w:fill="auto" w:val="clear"/>
        </w:rPr>
        <w:t xml:space="preserve">C. Functional Validation</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End-to-end validation was performed across the following user workflows, each executed 20 times under nominal conditions:</w:t>
      </w:r>
    </w:p>
    <w:p>
      <w:pPr>
        <w:numPr>
          <w:ilvl w:val="0"/>
          <w:numId w:val="131"/>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u w:val="single"/>
          <w:shd w:fill="auto" w:val="clear"/>
        </w:rPr>
        <w:t xml:space="preserve">OAuth login and callback completion with the Google provider (20/20 successful completions).</w:t>
      </w:r>
    </w:p>
    <w:p>
      <w:pPr>
        <w:numPr>
          <w:ilvl w:val="0"/>
          <w:numId w:val="131"/>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u w:val="single"/>
          <w:shd w:fill="auto" w:val="clear"/>
        </w:rPr>
        <w:t xml:space="preserve">Workspace-level authorization redirect for unauthorized access attempts (20/20 correct redirects).</w:t>
      </w:r>
    </w:p>
    <w:p>
      <w:pPr>
        <w:numPr>
          <w:ilvl w:val="0"/>
          <w:numId w:val="131"/>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u w:val="single"/>
          <w:shd w:fill="auto" w:val="clear"/>
        </w:rPr>
        <w:t xml:space="preserve">Folder and file rename persistence verified across page reloads (20/20 consistent).</w:t>
      </w:r>
    </w:p>
    <w:p>
      <w:pPr>
        <w:numPr>
          <w:ilvl w:val="0"/>
          <w:numId w:val="131"/>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u w:val="single"/>
          <w:shd w:fill="auto" w:val="clear"/>
        </w:rPr>
        <w:t xml:space="preserve">Autosave behavior under rapid content editing with 500 ms debounce </w:t>
      </w:r>
      <w:r>
        <w:rPr>
          <w:rFonts w:ascii="Times New Roman" w:hAnsi="Times New Roman" w:cs="Times New Roman" w:eastAsia="Times New Roman"/>
          <w:color w:val="000000"/>
          <w:spacing w:val="0"/>
          <w:position w:val="0"/>
          <w:sz w:val="24"/>
          <w:u w:val="single"/>
          <w:shd w:fill="auto" w:val="clear"/>
        </w:rPr>
        <w:t xml:space="preserve">—</w:t>
      </w:r>
      <w:r>
        <w:rPr>
          <w:rFonts w:ascii="Times New Roman" w:hAnsi="Times New Roman" w:cs="Times New Roman" w:eastAsia="Times New Roman"/>
          <w:color w:val="000000"/>
          <w:spacing w:val="0"/>
          <w:position w:val="0"/>
          <w:sz w:val="24"/>
          <w:u w:val="single"/>
          <w:shd w:fill="auto" w:val="clear"/>
        </w:rPr>
        <w:t xml:space="preserve"> no data loss was observed during testing.</w:t>
      </w:r>
    </w:p>
    <w:p>
      <w:pPr>
        <w:numPr>
          <w:ilvl w:val="0"/>
          <w:numId w:val="131"/>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u w:val="single"/>
          <w:shd w:fill="auto" w:val="clear"/>
        </w:rPr>
        <w:t xml:space="preserve">Collaborator invite and remove operations with correct downstream access propagation (20/20).</w:t>
      </w:r>
    </w:p>
    <w:p>
      <w:pPr>
        <w:numPr>
          <w:ilvl w:val="0"/>
          <w:numId w:val="131"/>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u w:val="single"/>
          <w:shd w:fill="auto" w:val="clear"/>
        </w:rPr>
        <w:t xml:space="preserve">Newsletter subscription persistence with deduplication constraint enforcement (20/20).</w:t>
      </w:r>
    </w:p>
    <w:p>
      <w:pPr>
        <w:spacing w:before="240" w:after="8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i/>
          <w:color w:val="1A3557"/>
          <w:spacing w:val="0"/>
          <w:position w:val="0"/>
          <w:sz w:val="24"/>
          <w:shd w:fill="auto" w:val="clear"/>
        </w:rPr>
        <w:t xml:space="preserve">D. Editor and Collaboration Workflows</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Figures 5 through 8 detail the three primary interaction workflows validated during functional testing, followed by the aggregated performance comparison.</w:t>
      </w:r>
    </w:p>
    <w:p>
      <w:pPr>
        <w:spacing w:before="140" w:after="0" w:line="240"/>
        <w:ind w:right="0" w:left="0" w:firstLine="0"/>
        <w:jc w:val="center"/>
        <w:rPr>
          <w:rFonts w:ascii="Calibri" w:hAnsi="Calibri" w:cs="Calibri" w:eastAsia="Calibri"/>
          <w:color w:val="auto"/>
          <w:spacing w:val="0"/>
          <w:position w:val="0"/>
          <w:sz w:val="22"/>
          <w:shd w:fill="auto" w:val="clear"/>
        </w:rPr>
      </w:pPr>
      <w:r>
        <w:object w:dxaOrig="7200" w:dyaOrig="3096">
          <v:rect xmlns:o="urn:schemas-microsoft-com:office:office" xmlns:v="urn:schemas-microsoft-com:vml" id="rectole0000000004" style="width:360.000000pt;height:154.8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50" w:after="220" w:line="240"/>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i/>
          <w:color w:val="444444"/>
          <w:spacing w:val="0"/>
          <w:position w:val="0"/>
          <w:sz w:val="20"/>
          <w:shd w:fill="auto" w:val="clear"/>
        </w:rPr>
        <w:t xml:space="preserve">Fig. 5. File editor autosave workflow: 500 ms debounce triggers server action, with retry logic on failure and manual save fallback.</w:t>
      </w:r>
    </w:p>
    <w:p>
      <w:pPr>
        <w:spacing w:before="140" w:after="0" w:line="240"/>
        <w:ind w:right="0" w:left="0" w:firstLine="0"/>
        <w:jc w:val="center"/>
        <w:rPr>
          <w:rFonts w:ascii="Calibri" w:hAnsi="Calibri" w:cs="Calibri" w:eastAsia="Calibri"/>
          <w:color w:val="auto"/>
          <w:spacing w:val="0"/>
          <w:position w:val="0"/>
          <w:sz w:val="22"/>
          <w:shd w:fill="auto" w:val="clear"/>
        </w:rPr>
      </w:pPr>
      <w:r>
        <w:object w:dxaOrig="7200" w:dyaOrig="3211">
          <v:rect xmlns:o="urn:schemas-microsoft-com:office:office" xmlns:v="urn:schemas-microsoft-com:vml" id="rectole0000000005" style="width:360.000000pt;height:160.5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50" w:after="220" w:line="240"/>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i/>
          <w:color w:val="444444"/>
          <w:spacing w:val="0"/>
          <w:position w:val="0"/>
          <w:sz w:val="20"/>
          <w:shd w:fill="auto" w:val="clear"/>
        </w:rPr>
        <w:t xml:space="preserve">Fig. 6. Collaborator management workflow: invite path (email lookup, DB insert, notification) and remove path.</w:t>
      </w:r>
    </w:p>
    <w:p>
      <w:pPr>
        <w:spacing w:before="140" w:after="0" w:line="240"/>
        <w:ind w:right="0" w:left="0" w:firstLine="0"/>
        <w:jc w:val="center"/>
        <w:rPr>
          <w:rFonts w:ascii="Calibri" w:hAnsi="Calibri" w:cs="Calibri" w:eastAsia="Calibri"/>
          <w:color w:val="auto"/>
          <w:spacing w:val="0"/>
          <w:position w:val="0"/>
          <w:sz w:val="22"/>
          <w:shd w:fill="auto" w:val="clear"/>
        </w:rPr>
      </w:pPr>
      <w:r>
        <w:object w:dxaOrig="7200" w:dyaOrig="3456">
          <v:rect xmlns:o="urn:schemas-microsoft-com:office:office" xmlns:v="urn:schemas-microsoft-com:vml" id="rectole0000000006" style="width:360.000000pt;height:172.8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50" w:after="220" w:line="240"/>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i/>
          <w:color w:val="444444"/>
          <w:spacing w:val="0"/>
          <w:position w:val="0"/>
          <w:sz w:val="20"/>
          <w:shd w:fill="auto" w:val="clear"/>
        </w:rPr>
        <w:t xml:space="preserve">Fig. 7. Rename dialog workflow: modal UI with inline validation, server action execution, and optimistic UI refresh.</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140" w:after="0" w:line="240"/>
        <w:ind w:right="0" w:left="0" w:firstLine="0"/>
        <w:jc w:val="center"/>
        <w:rPr>
          <w:rFonts w:ascii="Calibri" w:hAnsi="Calibri" w:cs="Calibri" w:eastAsia="Calibri"/>
          <w:color w:val="auto"/>
          <w:spacing w:val="0"/>
          <w:position w:val="0"/>
          <w:sz w:val="22"/>
          <w:shd w:fill="auto" w:val="clear"/>
        </w:rPr>
      </w:pPr>
      <w:r>
        <w:object w:dxaOrig="7200" w:dyaOrig="3830">
          <v:rect xmlns:o="urn:schemas-microsoft-com:office:office" xmlns:v="urn:schemas-microsoft-com:vml" id="rectole0000000007" style="width:360.000000pt;height:191.5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50" w:after="220" w:line="240"/>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i/>
          <w:color w:val="444444"/>
          <w:spacing w:val="0"/>
          <w:position w:val="0"/>
          <w:sz w:val="20"/>
          <w:shd w:fill="auto" w:val="clear"/>
        </w:rPr>
        <w:t xml:space="preserve">Fig. 8. Bar chart of performance metrics: baseline vs. optimized ScribeFlow. N/A indicates autosave was absent in the baseline implementation.</w:t>
      </w:r>
    </w:p>
    <w:p>
      <w:pPr>
        <w:spacing w:before="240" w:after="8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i/>
          <w:color w:val="1A3557"/>
          <w:spacing w:val="0"/>
          <w:position w:val="0"/>
          <w:sz w:val="24"/>
          <w:shd w:fill="auto" w:val="clear"/>
        </w:rPr>
        <w:t xml:space="preserve">E. Error and Reliability Analysis</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Table III summarizes the four integration defects identified and resolved during development. All defects arose at layer boundaries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authentication</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database or UI</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server action interfaces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consistent with the observation that typed interfaces reduce but do not eliminate integration failures [9].</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60" w:line="240"/>
        <w:ind w:right="0" w:left="0" w:firstLine="0"/>
        <w:jc w:val="center"/>
        <w:rPr>
          <w:rFonts w:ascii="Arial" w:hAnsi="Arial" w:cs="Arial" w:eastAsia="Arial"/>
          <w:color w:val="auto"/>
          <w:spacing w:val="0"/>
          <w:position w:val="0"/>
          <w:sz w:val="24"/>
          <w:shd w:fill="auto" w:val="clear"/>
        </w:rPr>
      </w:pPr>
      <w:r>
        <w:rPr>
          <w:rFonts w:ascii="Arial" w:hAnsi="Arial" w:cs="Arial" w:eastAsia="Arial"/>
          <w:b/>
          <w:color w:val="1A3557"/>
          <w:spacing w:val="0"/>
          <w:position w:val="0"/>
          <w:sz w:val="24"/>
          <w:shd w:fill="auto" w:val="clear"/>
        </w:rPr>
        <w:t xml:space="preserve">TABLE III</w:t>
      </w:r>
    </w:p>
    <w:p>
      <w:pPr>
        <w:spacing w:before="0" w:after="100" w:line="240"/>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Development Defects: Root Causes and Resolutions</w:t>
      </w:r>
    </w:p>
    <w:tbl>
      <w:tblPr/>
      <w:tblGrid>
        <w:gridCol w:w="3024"/>
        <w:gridCol w:w="3024"/>
        <w:gridCol w:w="3024"/>
      </w:tblGrid>
      <w:tr>
        <w:trPr>
          <w:trHeight w:val="1" w:hRule="atLeast"/>
          <w:jc w:val="left"/>
        </w:trPr>
        <w:tc>
          <w:tcPr>
            <w:tcW w:w="3024" w:type="dxa"/>
            <w:tcBorders>
              <w:top w:val="single" w:color="1a3557" w:sz="4"/>
              <w:left w:val="single" w:color="1a3557" w:sz="4"/>
              <w:bottom w:val="single" w:color="1a3557" w:sz="4"/>
              <w:right w:val="single" w:color="1a3557" w:sz="4"/>
            </w:tcBorders>
            <w:shd w:color="000000" w:fill="1a3557" w:val="clear"/>
            <w:tcMar>
              <w:left w:w="120" w:type="dxa"/>
              <w:right w:w="120" w:type="dxa"/>
            </w:tcMar>
            <w:vAlign w:val="top"/>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Issue</w:t>
            </w:r>
          </w:p>
        </w:tc>
        <w:tc>
          <w:tcPr>
            <w:tcW w:w="3024" w:type="dxa"/>
            <w:tcBorders>
              <w:top w:val="single" w:color="1a3557" w:sz="4"/>
              <w:left w:val="single" w:color="1a3557" w:sz="4"/>
              <w:bottom w:val="single" w:color="1a3557" w:sz="4"/>
              <w:right w:val="single" w:color="1a3557" w:sz="4"/>
            </w:tcBorders>
            <w:shd w:color="000000" w:fill="1a3557" w:val="clear"/>
            <w:tcMar>
              <w:left w:w="120" w:type="dxa"/>
              <w:right w:w="120" w:type="dxa"/>
            </w:tcMar>
            <w:vAlign w:val="top"/>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Root Cause</w:t>
            </w:r>
          </w:p>
        </w:tc>
        <w:tc>
          <w:tcPr>
            <w:tcW w:w="3024" w:type="dxa"/>
            <w:tcBorders>
              <w:top w:val="single" w:color="1a3557" w:sz="4"/>
              <w:left w:val="single" w:color="1a3557" w:sz="4"/>
              <w:bottom w:val="single" w:color="1a3557" w:sz="4"/>
              <w:right w:val="single" w:color="1a3557" w:sz="4"/>
            </w:tcBorders>
            <w:shd w:color="000000" w:fill="1a3557" w:val="clear"/>
            <w:tcMar>
              <w:left w:w="120" w:type="dxa"/>
              <w:right w:w="120" w:type="dxa"/>
            </w:tcMar>
            <w:vAlign w:val="top"/>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Resolution</w:t>
            </w:r>
          </w:p>
        </w:tc>
      </w:tr>
      <w:tr>
        <w:trPr>
          <w:trHeight w:val="1" w:hRule="atLeast"/>
          <w:jc w:val="left"/>
        </w:trPr>
        <w:tc>
          <w:tcPr>
            <w:tcW w:w="3024" w:type="dxa"/>
            <w:tcBorders>
              <w:top w:val="single" w:color="1a3557" w:sz="4"/>
              <w:left w:val="single" w:color="1a3557" w:sz="4"/>
              <w:bottom w:val="single" w:color="1a3557" w:sz="4"/>
              <w:right w:val="single" w:color="1a3557" w:sz="4"/>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Runtime session errors</w:t>
            </w:r>
          </w:p>
        </w:tc>
        <w:tc>
          <w:tcPr>
            <w:tcW w:w="3024" w:type="dxa"/>
            <w:tcBorders>
              <w:top w:val="single" w:color="1a3557" w:sz="4"/>
              <w:left w:val="single" w:color="1a3557" w:sz="4"/>
              <w:bottom w:val="single" w:color="1a3557" w:sz="4"/>
              <w:right w:val="single" w:color="1a3557" w:sz="4"/>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Invalid cookie key format</w:t>
            </w:r>
          </w:p>
        </w:tc>
        <w:tc>
          <w:tcPr>
            <w:tcW w:w="3024" w:type="dxa"/>
            <w:tcBorders>
              <w:top w:val="single" w:color="1a3557" w:sz="4"/>
              <w:left w:val="single" w:color="1a3557" w:sz="4"/>
              <w:bottom w:val="single" w:color="1a3557" w:sz="4"/>
              <w:right w:val="single" w:color="1a3557" w:sz="4"/>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Sanitized to alphanumeric strings</w:t>
            </w:r>
          </w:p>
        </w:tc>
      </w:tr>
      <w:tr>
        <w:trPr>
          <w:trHeight w:val="1" w:hRule="atLeast"/>
          <w:jc w:val="left"/>
        </w:trPr>
        <w:tc>
          <w:tcPr>
            <w:tcW w:w="3024" w:type="dxa"/>
            <w:tcBorders>
              <w:top w:val="single" w:color="1a3557" w:sz="4"/>
              <w:left w:val="single" w:color="1a3557" w:sz="4"/>
              <w:bottom w:val="single" w:color="1a3557" w:sz="4"/>
              <w:right w:val="single" w:color="1a3557" w:sz="4"/>
            </w:tcBorders>
            <w:shd w:color="000000" w:fill="f2f4f7"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Missing DB relation tables</w:t>
            </w:r>
          </w:p>
        </w:tc>
        <w:tc>
          <w:tcPr>
            <w:tcW w:w="3024" w:type="dxa"/>
            <w:tcBorders>
              <w:top w:val="single" w:color="1a3557" w:sz="4"/>
              <w:left w:val="single" w:color="1a3557" w:sz="4"/>
              <w:bottom w:val="single" w:color="1a3557" w:sz="4"/>
              <w:right w:val="single" w:color="1a3557" w:sz="4"/>
            </w:tcBorders>
            <w:shd w:color="000000" w:fill="f2f4f7"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Incomplete NextAuth schema</w:t>
            </w:r>
          </w:p>
        </w:tc>
        <w:tc>
          <w:tcPr>
            <w:tcW w:w="3024" w:type="dxa"/>
            <w:tcBorders>
              <w:top w:val="single" w:color="1a3557" w:sz="4"/>
              <w:left w:val="single" w:color="1a3557" w:sz="4"/>
              <w:bottom w:val="single" w:color="1a3557" w:sz="4"/>
              <w:right w:val="single" w:color="1a3557" w:sz="4"/>
            </w:tcBorders>
            <w:shd w:color="000000" w:fill="f2f4f7"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Added Drizzle migration for account/session tables</w:t>
            </w:r>
          </w:p>
        </w:tc>
      </w:tr>
      <w:tr>
        <w:trPr>
          <w:trHeight w:val="1" w:hRule="atLeast"/>
          <w:jc w:val="left"/>
        </w:trPr>
        <w:tc>
          <w:tcPr>
            <w:tcW w:w="3024" w:type="dxa"/>
            <w:tcBorders>
              <w:top w:val="single" w:color="1a3557" w:sz="4"/>
              <w:left w:val="single" w:color="1a3557" w:sz="4"/>
              <w:bottom w:val="single" w:color="1a3557" w:sz="4"/>
              <w:right w:val="single" w:color="1a3557" w:sz="4"/>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Migration cast failure</w:t>
            </w:r>
          </w:p>
        </w:tc>
        <w:tc>
          <w:tcPr>
            <w:tcW w:w="3024" w:type="dxa"/>
            <w:tcBorders>
              <w:top w:val="single" w:color="1a3557" w:sz="4"/>
              <w:left w:val="single" w:color="1a3557" w:sz="4"/>
              <w:bottom w:val="single" w:color="1a3557" w:sz="4"/>
              <w:right w:val="single" w:color="1a3557" w:sz="4"/>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varchar</w:t>
            </w:r>
            <w:r>
              <w:rPr>
                <w:rFonts w:ascii="Times New Roman" w:hAnsi="Times New Roman" w:cs="Times New Roman" w:eastAsia="Times New Roman"/>
                <w:color w:val="auto"/>
                <w:spacing w:val="0"/>
                <w:position w:val="0"/>
                <w:sz w:val="20"/>
                <w:shd w:fill="auto" w:val="clear"/>
              </w:rPr>
              <w:t xml:space="preserve">–</w:t>
            </w:r>
            <w:r>
              <w:rPr>
                <w:rFonts w:ascii="Times New Roman" w:hAnsi="Times New Roman" w:cs="Times New Roman" w:eastAsia="Times New Roman"/>
                <w:color w:val="auto"/>
                <w:spacing w:val="0"/>
                <w:position w:val="0"/>
                <w:sz w:val="20"/>
                <w:shd w:fill="auto" w:val="clear"/>
              </w:rPr>
              <w:t xml:space="preserve">text type mismatch</w:t>
            </w:r>
          </w:p>
        </w:tc>
        <w:tc>
          <w:tcPr>
            <w:tcW w:w="3024" w:type="dxa"/>
            <w:tcBorders>
              <w:top w:val="single" w:color="1a3557" w:sz="4"/>
              <w:left w:val="single" w:color="1a3557" w:sz="4"/>
              <w:bottom w:val="single" w:color="1a3557" w:sz="4"/>
              <w:right w:val="single" w:color="1a3557" w:sz="4"/>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Explicit SQL CAST added to migration file</w:t>
            </w:r>
          </w:p>
        </w:tc>
      </w:tr>
      <w:tr>
        <w:trPr>
          <w:trHeight w:val="1" w:hRule="atLeast"/>
          <w:jc w:val="left"/>
        </w:trPr>
        <w:tc>
          <w:tcPr>
            <w:tcW w:w="3024" w:type="dxa"/>
            <w:tcBorders>
              <w:top w:val="single" w:color="1a3557" w:sz="4"/>
              <w:left w:val="single" w:color="1a3557" w:sz="4"/>
              <w:bottom w:val="single" w:color="1a3557" w:sz="4"/>
              <w:right w:val="single" w:color="1a3557" w:sz="4"/>
            </w:tcBorders>
            <w:shd w:color="000000" w:fill="f2f4f7"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Blocking rename UX</w:t>
            </w:r>
          </w:p>
        </w:tc>
        <w:tc>
          <w:tcPr>
            <w:tcW w:w="3024" w:type="dxa"/>
            <w:tcBorders>
              <w:top w:val="single" w:color="1a3557" w:sz="4"/>
              <w:left w:val="single" w:color="1a3557" w:sz="4"/>
              <w:bottom w:val="single" w:color="1a3557" w:sz="4"/>
              <w:right w:val="single" w:color="1a3557" w:sz="4"/>
            </w:tcBorders>
            <w:shd w:color="000000" w:fill="f2f4f7"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Browser prompt() API usage</w:t>
            </w:r>
          </w:p>
        </w:tc>
        <w:tc>
          <w:tcPr>
            <w:tcW w:w="3024" w:type="dxa"/>
            <w:tcBorders>
              <w:top w:val="single" w:color="1a3557" w:sz="4"/>
              <w:left w:val="single" w:color="1a3557" w:sz="4"/>
              <w:bottom w:val="single" w:color="1a3557" w:sz="4"/>
              <w:right w:val="single" w:color="1a3557" w:sz="4"/>
            </w:tcBorders>
            <w:shd w:color="000000" w:fill="f2f4f7"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Replaced with non-blocking modal dialog</w:t>
            </w:r>
          </w:p>
        </w:tc>
      </w:tr>
    </w:tbl>
    <w:p>
      <w:pPr>
        <w:spacing w:before="50" w:after="220" w:line="240"/>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i/>
          <w:color w:val="auto"/>
          <w:spacing w:val="0"/>
          <w:position w:val="0"/>
          <w:sz w:val="20"/>
          <w:shd w:fill="auto" w:val="clear"/>
        </w:rPr>
        <w:t xml:space="preserve">Table III. Integration defects identified during development and their resolutions.</w:t>
      </w:r>
    </w:p>
    <w:p>
      <w:pPr>
        <w:spacing w:before="360" w:after="14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1A3557"/>
          <w:spacing w:val="0"/>
          <w:position w:val="0"/>
          <w:sz w:val="24"/>
          <w:shd w:fill="auto" w:val="clear"/>
        </w:rPr>
        <w:t xml:space="preserve">V.  Discussion</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performance results demonstrate that the proposed architecture is capable of delivering measurable latency improvements alongside functional reliability. The 51% reduction in page load time and 50% reduction in database query latency are consistent with findings reported for React Server Component adoption in comparable SaaS platforms, where server-side rendering eliminates client-side hydration overhead for data-heavy views [5, 10].</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schema-first approach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where Drizzle ORM schemas serve as the authoritative source of truth for both database structure and TypeScript types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reduced the class of type-related runtime errors observed during the baseline phase. This finding supports the broader claim advanced in the software engineering literature that typed ORM abstractions improve maintainability and defect density in rapidly iterating codebases [9]. The Zod environment validation layer further demonstrated value by surfacing two misconfiguration defects during development that would otherwise have manifested as silent runtime failures in production.</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six-phase incremental methodology proved effective for managing feature complexity. Each phase introduced a bounded set of capabilities with independent testability, allowing the four integration defects documented in Table III to be isolated without cascading effects. This approach aligns with incremental and iterative models described in the software process literature [15], where bounded change sets reduce integration risk.</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feature comparison in Table II contextualizes ScribeFlow's position relative to established platforms. While ScribeFlow does not yet match the feature depth of Notion or Confluence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particularly in real-time collaboration and enterprise permission hierarchies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to the authors' knowledge, ScribeFlow is among the few platforms in the comparison that combine typed schema management, open-source self-hostability, and OAuth integration within a single deployable codebase. This combination addresses a gap identified in the related work: teams requiring custom deployment or schema-level extensibility currently have limited mature open-source options that satisfy all three requirements simultaneously.</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Several limitations constrain the generalizability of these results. First, performance measurements were conducted at a simulated concurrency of 10 users; behavior under higher loads (100+ concurrent users) remains uncharacterized. Second, the absence of WebSocket-based real-time collaboration means that concurrent editing conflicts were not evaluated. Third, the test hardware represents mid-range consumer-grade specifications; results on cloud VM instances with different memory and I/O profiles may differ. These limitations are acknowledged and motivate the future work described in Section VI.</w:t>
      </w:r>
    </w:p>
    <w:p>
      <w:pPr>
        <w:spacing w:before="360" w:after="14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1A3557"/>
          <w:spacing w:val="0"/>
          <w:position w:val="0"/>
          <w:sz w:val="24"/>
          <w:shd w:fill="auto" w:val="clear"/>
        </w:rPr>
        <w:t xml:space="preserve">VI.  Conclusion</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study presented ScribeFlow, a full-stack collaborative workspace platform demonstrating that a modular, type-safe architecture based on Next.js, TypeScript, Drizzle ORM, and PostgreSQL can systematically evolve from a prototype to a production-ready system. The platform addresses documented gaps in existing collaborative tools by combining hierarchical content organization, typed schema management, OAuth authentication, and open-source self-hostability within a single deployable codebase.</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principal contributions of this work are: (i) a five-layer architecture with formal workspace-scoped access control consistent with the RBAC model; (ii) a six-phase incremental development methodology providing a replicable blueprint for SaaS platform construction; (iii) quantitative evidence of 44</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58% latency improvements across critical operations under controlled test conditions; and (iv) a structured comparison of ScribeFlow against four leading collaborative platforms across eight architectural dimensions.</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Future research directions include: (i) real-time multi-user editing via WebSocket-based Operational Transformation or CRDT conflict resolution [6]; (ii) hierarchical RBAC with viewer, editor, and administrator roles [8]; (iii) workspace-level audit logging and activity feed APIs; (iv) offline-first synchronization using service workers and local-first data models [7]; and (v) load testing at enterprise-scale concurrency levels with comparative evaluation of serverless and containerized deployment profiles.</w:t>
      </w:r>
    </w:p>
    <w:p>
      <w:pPr>
        <w:spacing w:before="0" w:after="140" w:line="240"/>
        <w:ind w:right="0" w:left="0" w:firstLine="0"/>
        <w:jc w:val="left"/>
        <w:rPr>
          <w:rFonts w:ascii="Calibri" w:hAnsi="Calibri" w:cs="Calibri" w:eastAsia="Calibri"/>
          <w:color w:val="auto"/>
          <w:spacing w:val="0"/>
          <w:position w:val="0"/>
          <w:sz w:val="22"/>
          <w:shd w:fill="auto" w:val="clear"/>
        </w:rPr>
      </w:pPr>
    </w:p>
    <w:p>
      <w:pPr>
        <w:spacing w:before="200" w:after="8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1A3557"/>
          <w:spacing w:val="0"/>
          <w:position w:val="0"/>
          <w:sz w:val="24"/>
          <w:shd w:fill="auto" w:val="clear"/>
        </w:rPr>
        <w:t xml:space="preserve">Conflict of Interest</w:t>
      </w: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authors declare no conflict of interest.</w:t>
      </w:r>
    </w:p>
    <w:p>
      <w:pPr>
        <w:spacing w:before="160" w:after="8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1A3557"/>
          <w:spacing w:val="0"/>
          <w:position w:val="0"/>
          <w:sz w:val="24"/>
          <w:shd w:fill="auto" w:val="clear"/>
        </w:rPr>
        <w:t xml:space="preserve">Funding</w:t>
      </w: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research received no specific grant from any funding agency in the public, commercial, or not-for-profit sectors.</w:t>
      </w:r>
    </w:p>
    <w:p>
      <w:pPr>
        <w:spacing w:before="0" w:after="140" w:line="240"/>
        <w:ind w:right="0" w:left="0" w:firstLine="0"/>
        <w:jc w:val="left"/>
        <w:rPr>
          <w:rFonts w:ascii="Calibri" w:hAnsi="Calibri" w:cs="Calibri" w:eastAsia="Calibri"/>
          <w:color w:val="auto"/>
          <w:spacing w:val="0"/>
          <w:position w:val="0"/>
          <w:sz w:val="22"/>
          <w:shd w:fill="auto" w:val="clear"/>
        </w:rPr>
      </w:pPr>
    </w:p>
    <w:p>
      <w:pPr>
        <w:spacing w:before="360" w:after="14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1A3557"/>
          <w:spacing w:val="0"/>
          <w:position w:val="0"/>
          <w:sz w:val="24"/>
          <w:shd w:fill="auto" w:val="clear"/>
        </w:rPr>
        <w:t xml:space="preserve">References</w:t>
      </w:r>
    </w:p>
    <w:p>
      <w:pPr>
        <w:spacing w:before="0" w:after="60" w:line="360"/>
        <w:ind w:right="0" w:left="72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  </w:t>
      </w:r>
      <w:r>
        <w:rPr>
          <w:rFonts w:ascii="Times New Roman" w:hAnsi="Times New Roman" w:cs="Times New Roman" w:eastAsia="Times New Roman"/>
          <w:color w:val="auto"/>
          <w:spacing w:val="0"/>
          <w:position w:val="0"/>
          <w:sz w:val="24"/>
          <w:shd w:fill="auto" w:val="clear"/>
        </w:rPr>
        <w:t xml:space="preserve">Ousterhout, J. (2021). A philosophy of software design (2nd ed.). Yaknyam Press.</w:t>
      </w:r>
    </w:p>
    <w:p>
      <w:pPr>
        <w:spacing w:before="0" w:after="60" w:line="360"/>
        <w:ind w:right="0" w:left="72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[2]  </w:t>
      </w:r>
      <w:r>
        <w:rPr>
          <w:rFonts w:ascii="Times New Roman" w:hAnsi="Times New Roman" w:cs="Times New Roman" w:eastAsia="Times New Roman"/>
          <w:color w:val="auto"/>
          <w:spacing w:val="0"/>
          <w:position w:val="0"/>
          <w:sz w:val="24"/>
          <w:shd w:fill="auto" w:val="clear"/>
        </w:rPr>
        <w:t xml:space="preserve">Gamma, E., Helm, R., Johnson, R., &amp; Vlissides, J. (1994). Design patterns: Elements of reusable object-oriented software. Addison-Wesley.</w:t>
      </w:r>
    </w:p>
    <w:p>
      <w:pPr>
        <w:spacing w:before="0" w:after="60" w:line="360"/>
        <w:ind w:right="0" w:left="72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[3]  </w:t>
      </w:r>
      <w:r>
        <w:rPr>
          <w:rFonts w:ascii="Times New Roman" w:hAnsi="Times New Roman" w:cs="Times New Roman" w:eastAsia="Times New Roman"/>
          <w:color w:val="auto"/>
          <w:spacing w:val="0"/>
          <w:position w:val="0"/>
          <w:sz w:val="24"/>
          <w:shd w:fill="auto" w:val="clear"/>
        </w:rPr>
        <w:t xml:space="preserve">Notion Labs Inc. (2024). Notion: The all-in-one workspace. </w:t>
      </w:r>
      <w:hyperlink xmlns:r="http://schemas.openxmlformats.org/officeDocument/2006/relationships" r:id="docRId16">
        <w:r>
          <w:rPr>
            <w:rFonts w:ascii="Times New Roman" w:hAnsi="Times New Roman" w:cs="Times New Roman" w:eastAsia="Times New Roman"/>
            <w:color w:val="0000FF"/>
            <w:spacing w:val="0"/>
            <w:position w:val="0"/>
            <w:sz w:val="24"/>
            <w:u w:val="single"/>
            <w:shd w:fill="auto" w:val="clear"/>
          </w:rPr>
          <w:t xml:space="preserve">https://www.notion.so</w:t>
        </w:r>
      </w:hyperlink>
    </w:p>
    <w:p>
      <w:pPr>
        <w:spacing w:before="0" w:after="60" w:line="360"/>
        <w:ind w:right="0" w:left="72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[4]  </w:t>
      </w:r>
      <w:r>
        <w:rPr>
          <w:rFonts w:ascii="Times New Roman" w:hAnsi="Times New Roman" w:cs="Times New Roman" w:eastAsia="Times New Roman"/>
          <w:color w:val="auto"/>
          <w:spacing w:val="0"/>
          <w:position w:val="0"/>
          <w:sz w:val="24"/>
          <w:shd w:fill="auto" w:val="clear"/>
        </w:rPr>
        <w:t xml:space="preserve">Atlassian Corporation. (2024). Confluence: Team collaboration software. </w:t>
      </w:r>
      <w:hyperlink xmlns:r="http://schemas.openxmlformats.org/officeDocument/2006/relationships" r:id="docRId17">
        <w:r>
          <w:rPr>
            <w:rFonts w:ascii="Times New Roman" w:hAnsi="Times New Roman" w:cs="Times New Roman" w:eastAsia="Times New Roman"/>
            <w:color w:val="0000FF"/>
            <w:spacing w:val="0"/>
            <w:position w:val="0"/>
            <w:sz w:val="24"/>
            <w:u w:val="single"/>
            <w:shd w:fill="auto" w:val="clear"/>
          </w:rPr>
          <w:t xml:space="preserve">https://www.atlassian.com/software/confluence</w:t>
        </w:r>
      </w:hyperlink>
    </w:p>
    <w:p>
      <w:pPr>
        <w:spacing w:before="0" w:after="60" w:line="360"/>
        <w:ind w:right="0" w:left="72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[5]  </w:t>
      </w:r>
      <w:r>
        <w:rPr>
          <w:rFonts w:ascii="Times New Roman" w:hAnsi="Times New Roman" w:cs="Times New Roman" w:eastAsia="Times New Roman"/>
          <w:color w:val="auto"/>
          <w:spacing w:val="0"/>
          <w:position w:val="0"/>
          <w:sz w:val="24"/>
          <w:shd w:fill="auto" w:val="clear"/>
        </w:rPr>
        <w:t xml:space="preserve">Vercel Inc. (2024). Next.js documentation: React Server Components. </w:t>
      </w:r>
      <w:hyperlink xmlns:r="http://schemas.openxmlformats.org/officeDocument/2006/relationships" r:id="docRId18">
        <w:r>
          <w:rPr>
            <w:rFonts w:ascii="Times New Roman" w:hAnsi="Times New Roman" w:cs="Times New Roman" w:eastAsia="Times New Roman"/>
            <w:color w:val="0000FF"/>
            <w:spacing w:val="0"/>
            <w:position w:val="0"/>
            <w:sz w:val="24"/>
            <w:u w:val="single"/>
            <w:shd w:fill="auto" w:val="clear"/>
          </w:rPr>
          <w:t xml:space="preserve">https://nextjs.org/docs/app/building-your-application/rendering/server-components</w:t>
        </w:r>
      </w:hyperlink>
    </w:p>
    <w:p>
      <w:pPr>
        <w:spacing w:before="0" w:after="60" w:line="360"/>
        <w:ind w:right="0" w:left="72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[6]  </w:t>
      </w:r>
      <w:r>
        <w:rPr>
          <w:rFonts w:ascii="Times New Roman" w:hAnsi="Times New Roman" w:cs="Times New Roman" w:eastAsia="Times New Roman"/>
          <w:color w:val="auto"/>
          <w:spacing w:val="0"/>
          <w:position w:val="0"/>
          <w:sz w:val="24"/>
          <w:shd w:fill="auto" w:val="clear"/>
        </w:rPr>
        <w:t xml:space="preserve">Kleppmann, M., Wiggins, A., van Hardenberg, P., &amp; McGranaghan, M. (2019). Local-first software: You own your data, in spite of the cloud. Proceedings of the 2019 ACM SIGPLAN International Symposium on New Ideas, New Paradigms, and Reflections on Programming and Software (Onward!), 154</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178. </w:t>
      </w:r>
      <w:hyperlink xmlns:r="http://schemas.openxmlformats.org/officeDocument/2006/relationships" r:id="docRId19">
        <w:r>
          <w:rPr>
            <w:rFonts w:ascii="Times New Roman" w:hAnsi="Times New Roman" w:cs="Times New Roman" w:eastAsia="Times New Roman"/>
            <w:color w:val="0000FF"/>
            <w:spacing w:val="0"/>
            <w:position w:val="0"/>
            <w:sz w:val="24"/>
            <w:u w:val="single"/>
            <w:shd w:fill="auto" w:val="clear"/>
          </w:rPr>
          <w:t xml:space="preserve">https://doi.org/10.1145/3359591.3359737</w:t>
        </w:r>
      </w:hyperlink>
    </w:p>
    <w:p>
      <w:pPr>
        <w:spacing w:before="0" w:after="60" w:line="360"/>
        <w:ind w:right="0" w:left="72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[7]  </w:t>
      </w:r>
      <w:r>
        <w:rPr>
          <w:rFonts w:ascii="Times New Roman" w:hAnsi="Times New Roman" w:cs="Times New Roman" w:eastAsia="Times New Roman"/>
          <w:color w:val="auto"/>
          <w:spacing w:val="0"/>
          <w:position w:val="0"/>
          <w:sz w:val="24"/>
          <w:shd w:fill="auto" w:val="clear"/>
        </w:rPr>
        <w:t xml:space="preserve">Shapiro, M., Preguiça, N., Baquero, C., &amp; Zawirski, M. (2011). Conflict-free replicated data types. Proceedings of the 13th International Symposium on Stabilization, Safety, and Security of Distributed Systems (SSS 2011), Lecture Notes in Computer Science, 6976, 386</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400. </w:t>
      </w:r>
      <w:hyperlink xmlns:r="http://schemas.openxmlformats.org/officeDocument/2006/relationships" r:id="docRId20">
        <w:r>
          <w:rPr>
            <w:rFonts w:ascii="Times New Roman" w:hAnsi="Times New Roman" w:cs="Times New Roman" w:eastAsia="Times New Roman"/>
            <w:color w:val="0000FF"/>
            <w:spacing w:val="0"/>
            <w:position w:val="0"/>
            <w:sz w:val="24"/>
            <w:u w:val="single"/>
            <w:shd w:fill="auto" w:val="clear"/>
          </w:rPr>
          <w:t xml:space="preserve">https://doi.org/10.1007/978-3-642-24550-3_29</w:t>
        </w:r>
      </w:hyperlink>
    </w:p>
    <w:p>
      <w:pPr>
        <w:spacing w:before="0" w:after="60" w:line="360"/>
        <w:ind w:right="0" w:left="72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[8]  </w:t>
      </w:r>
      <w:r>
        <w:rPr>
          <w:rFonts w:ascii="Times New Roman" w:hAnsi="Times New Roman" w:cs="Times New Roman" w:eastAsia="Times New Roman"/>
          <w:color w:val="auto"/>
          <w:spacing w:val="0"/>
          <w:position w:val="0"/>
          <w:sz w:val="24"/>
          <w:shd w:fill="auto" w:val="clear"/>
        </w:rPr>
        <w:t xml:space="preserve">Sandhu, R. S., Coyne, E. J., Feinstein, H. L., &amp; Youman, C. E. (1996). Role-based access control models. IEEE Computer, 29(2), 38</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47. </w:t>
      </w:r>
      <w:hyperlink xmlns:r="http://schemas.openxmlformats.org/officeDocument/2006/relationships" r:id="docRId21">
        <w:r>
          <w:rPr>
            <w:rFonts w:ascii="Times New Roman" w:hAnsi="Times New Roman" w:cs="Times New Roman" w:eastAsia="Times New Roman"/>
            <w:color w:val="0000FF"/>
            <w:spacing w:val="0"/>
            <w:position w:val="0"/>
            <w:sz w:val="24"/>
            <w:u w:val="single"/>
            <w:shd w:fill="auto" w:val="clear"/>
          </w:rPr>
          <w:t xml:space="preserve">https://doi.org/10.1109/2.485845</w:t>
        </w:r>
      </w:hyperlink>
    </w:p>
    <w:p>
      <w:pPr>
        <w:spacing w:before="0" w:after="60" w:line="360"/>
        <w:ind w:right="0" w:left="72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[9]  </w:t>
      </w:r>
      <w:r>
        <w:rPr>
          <w:rFonts w:ascii="Times New Roman" w:hAnsi="Times New Roman" w:cs="Times New Roman" w:eastAsia="Times New Roman"/>
          <w:color w:val="auto"/>
          <w:spacing w:val="0"/>
          <w:position w:val="0"/>
          <w:sz w:val="24"/>
          <w:shd w:fill="auto" w:val="clear"/>
        </w:rPr>
        <w:t xml:space="preserve">Bierman, G., Abadi, M., &amp; Torgersen, M. (2014). Understanding TypeScript. Proceedings of the 28th European Conference on Object-Oriented Programming (ECOOP 2014), Lecture Notes in Computer Science, 8586, 257</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281. </w:t>
      </w:r>
      <w:hyperlink xmlns:r="http://schemas.openxmlformats.org/officeDocument/2006/relationships" r:id="docRId22">
        <w:r>
          <w:rPr>
            <w:rFonts w:ascii="Times New Roman" w:hAnsi="Times New Roman" w:cs="Times New Roman" w:eastAsia="Times New Roman"/>
            <w:color w:val="0000FF"/>
            <w:spacing w:val="0"/>
            <w:position w:val="0"/>
            <w:sz w:val="24"/>
            <w:u w:val="single"/>
            <w:shd w:fill="auto" w:val="clear"/>
          </w:rPr>
          <w:t xml:space="preserve">https://doi.org/10.1007/978-3-662-44202-9_11</w:t>
        </w:r>
      </w:hyperlink>
    </w:p>
    <w:p>
      <w:pPr>
        <w:spacing w:before="0" w:after="60" w:line="360"/>
        <w:ind w:right="0" w:left="72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[10]  </w:t>
      </w:r>
      <w:r>
        <w:rPr>
          <w:rFonts w:ascii="Times New Roman" w:hAnsi="Times New Roman" w:cs="Times New Roman" w:eastAsia="Times New Roman"/>
          <w:color w:val="auto"/>
          <w:spacing w:val="0"/>
          <w:position w:val="0"/>
          <w:sz w:val="24"/>
          <w:shd w:fill="auto" w:val="clear"/>
        </w:rPr>
        <w:t xml:space="preserve">Dragoni, N., Giallorenzo, S., Lafuente, A. L., Mazzara, M., Montesi, F., Mustafin, R., &amp; Safina, L. (2017). Microservices: Yesterday, today, and tomorrow. Present and Ulterior Software Engineering, 195</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216. </w:t>
      </w:r>
      <w:hyperlink xmlns:r="http://schemas.openxmlformats.org/officeDocument/2006/relationships" r:id="docRId23">
        <w:r>
          <w:rPr>
            <w:rFonts w:ascii="Times New Roman" w:hAnsi="Times New Roman" w:cs="Times New Roman" w:eastAsia="Times New Roman"/>
            <w:color w:val="0000FF"/>
            <w:spacing w:val="0"/>
            <w:position w:val="0"/>
            <w:sz w:val="24"/>
            <w:u w:val="single"/>
            <w:shd w:fill="auto" w:val="clear"/>
          </w:rPr>
          <w:t xml:space="preserve">https://doi.org/10.1007/978-3-319-67425-4_12</w:t>
        </w:r>
      </w:hyperlink>
    </w:p>
    <w:p>
      <w:pPr>
        <w:spacing w:before="0" w:after="60" w:line="360"/>
        <w:ind w:right="0" w:left="72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[11]  </w:t>
      </w:r>
      <w:r>
        <w:rPr>
          <w:rFonts w:ascii="Times New Roman" w:hAnsi="Times New Roman" w:cs="Times New Roman" w:eastAsia="Times New Roman"/>
          <w:color w:val="auto"/>
          <w:spacing w:val="0"/>
          <w:position w:val="0"/>
          <w:sz w:val="24"/>
          <w:shd w:fill="auto" w:val="clear"/>
        </w:rPr>
        <w:t xml:space="preserve">Bauer, C., &amp; King, G. (2015). Java persistence with Hibernate (2nd ed.). Manning Publications.</w:t>
      </w:r>
    </w:p>
    <w:p>
      <w:pPr>
        <w:spacing w:before="0" w:after="60" w:line="360"/>
        <w:ind w:right="0" w:left="72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[12]  </w:t>
      </w:r>
      <w:r>
        <w:rPr>
          <w:rFonts w:ascii="Times New Roman" w:hAnsi="Times New Roman" w:cs="Times New Roman" w:eastAsia="Times New Roman"/>
          <w:color w:val="auto"/>
          <w:spacing w:val="0"/>
          <w:position w:val="0"/>
          <w:sz w:val="24"/>
          <w:shd w:fill="auto" w:val="clear"/>
        </w:rPr>
        <w:t xml:space="preserve">Fielding, R. T. (2000). Architectural styles and the design of network-based software architectures [Doctoral dissertation, University of California, Irvine]. </w:t>
      </w:r>
      <w:hyperlink xmlns:r="http://schemas.openxmlformats.org/officeDocument/2006/relationships" r:id="docRId24">
        <w:r>
          <w:rPr>
            <w:rFonts w:ascii="Times New Roman" w:hAnsi="Times New Roman" w:cs="Times New Roman" w:eastAsia="Times New Roman"/>
            <w:color w:val="0000FF"/>
            <w:spacing w:val="0"/>
            <w:position w:val="0"/>
            <w:sz w:val="24"/>
            <w:u w:val="single"/>
            <w:shd w:fill="auto" w:val="clear"/>
          </w:rPr>
          <w:t xml:space="preserve">https://ics.uci.edu/~fielding/pubs/dissertation/top.htm</w:t>
        </w:r>
      </w:hyperlink>
    </w:p>
    <w:p>
      <w:pPr>
        <w:spacing w:before="0" w:after="60" w:line="360"/>
        <w:ind w:right="0" w:left="72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[13]  </w:t>
      </w:r>
      <w:r>
        <w:rPr>
          <w:rFonts w:ascii="Times New Roman" w:hAnsi="Times New Roman" w:cs="Times New Roman" w:eastAsia="Times New Roman"/>
          <w:color w:val="auto"/>
          <w:spacing w:val="0"/>
          <w:position w:val="0"/>
          <w:sz w:val="24"/>
          <w:shd w:fill="auto" w:val="clear"/>
        </w:rPr>
        <w:t xml:space="preserve">Google LLC. (2024). Google Docs: Online document editor. </w:t>
      </w:r>
      <w:hyperlink xmlns:r="http://schemas.openxmlformats.org/officeDocument/2006/relationships" r:id="docRId25">
        <w:r>
          <w:rPr>
            <w:rFonts w:ascii="Times New Roman" w:hAnsi="Times New Roman" w:cs="Times New Roman" w:eastAsia="Times New Roman"/>
            <w:color w:val="0000FF"/>
            <w:spacing w:val="0"/>
            <w:position w:val="0"/>
            <w:sz w:val="24"/>
            <w:u w:val="single"/>
            <w:shd w:fill="auto" w:val="clear"/>
          </w:rPr>
          <w:t xml:space="preserve">https://docs.google.com</w:t>
        </w:r>
      </w:hyperlink>
    </w:p>
    <w:p>
      <w:pPr>
        <w:spacing w:before="0" w:after="60" w:line="360"/>
        <w:ind w:right="0" w:left="72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[14]  </w:t>
      </w:r>
      <w:r>
        <w:rPr>
          <w:rFonts w:ascii="Times New Roman" w:hAnsi="Times New Roman" w:cs="Times New Roman" w:eastAsia="Times New Roman"/>
          <w:color w:val="auto"/>
          <w:spacing w:val="0"/>
          <w:position w:val="0"/>
          <w:sz w:val="24"/>
          <w:shd w:fill="auto" w:val="clear"/>
        </w:rPr>
        <w:t xml:space="preserve">Obsidian. (2024). Obsidian: A second brain for you, forever. </w:t>
      </w:r>
      <w:hyperlink xmlns:r="http://schemas.openxmlformats.org/officeDocument/2006/relationships" r:id="docRId26">
        <w:r>
          <w:rPr>
            <w:rFonts w:ascii="Times New Roman" w:hAnsi="Times New Roman" w:cs="Times New Roman" w:eastAsia="Times New Roman"/>
            <w:color w:val="0000FF"/>
            <w:spacing w:val="0"/>
            <w:position w:val="0"/>
            <w:sz w:val="24"/>
            <w:u w:val="single"/>
            <w:shd w:fill="auto" w:val="clear"/>
          </w:rPr>
          <w:t xml:space="preserve">https://obsidian.md</w:t>
        </w:r>
      </w:hyperlink>
    </w:p>
    <w:p>
      <w:pPr>
        <w:spacing w:before="0" w:after="60" w:line="360"/>
        <w:ind w:right="0" w:left="720" w:hanging="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[15]  </w:t>
      </w:r>
      <w:r>
        <w:rPr>
          <w:rFonts w:ascii="Times New Roman" w:hAnsi="Times New Roman" w:cs="Times New Roman" w:eastAsia="Times New Roman"/>
          <w:color w:val="auto"/>
          <w:spacing w:val="0"/>
          <w:position w:val="0"/>
          <w:sz w:val="24"/>
          <w:shd w:fill="auto" w:val="clear"/>
        </w:rPr>
        <w:t xml:space="preserve">Wohlin, C., Runeson, P., Höst, M., Ohlsson, M. C., Regnell, B., &amp; Wesslén, A. (2012). Experimentation in software engineering. Springer. </w:t>
      </w:r>
      <w:hyperlink xmlns:r="http://schemas.openxmlformats.org/officeDocument/2006/relationships" r:id="docRId27">
        <w:r>
          <w:rPr>
            <w:rFonts w:ascii="Times New Roman" w:hAnsi="Times New Roman" w:cs="Times New Roman" w:eastAsia="Times New Roman"/>
            <w:color w:val="0000FF"/>
            <w:spacing w:val="0"/>
            <w:position w:val="0"/>
            <w:sz w:val="24"/>
            <w:u w:val="single"/>
            <w:shd w:fill="auto" w:val="clear"/>
          </w:rPr>
          <w:t xml:space="preserve">https://doi.org/10.1007/978-3-642-29044-2</w:t>
        </w:r>
      </w:hyperlink>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num w:numId="68">
    <w:abstractNumId w:val="18"/>
  </w:num>
  <w:num w:numId="83">
    <w:abstractNumId w:val="12"/>
  </w:num>
  <w:num w:numId="91">
    <w:abstractNumId w:val="6"/>
  </w:num>
  <w:num w:numId="13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www.atlassian.com/software/confluence" Id="docRId17" Type="http://schemas.openxmlformats.org/officeDocument/2006/relationships/hyperlink" /><Relationship TargetMode="External" Target="https://ics.uci.edu/~fielding/pubs/dissertation/top.htm" Id="docRId24" Type="http://schemas.openxmlformats.org/officeDocument/2006/relationships/hyperlink" /><Relationship Target="media/image3.wmf" Id="docRId7" Type="http://schemas.openxmlformats.org/officeDocument/2006/relationships/image" /><Relationship Target="embeddings/oleObject7.bin" Id="docRId14" Type="http://schemas.openxmlformats.org/officeDocument/2006/relationships/oleObject" /><Relationship TargetMode="External" Target="https://doi.org/10.1007/978-3-319-67425-4_12" Id="docRId23" Type="http://schemas.openxmlformats.org/officeDocument/2006/relationships/hyperlink" /><Relationship Target="embeddings/oleObject3.bin" Id="docRId6" Type="http://schemas.openxmlformats.org/officeDocument/2006/relationships/oleObject" /><Relationship Target="media/image0.wmf" Id="docRId1" Type="http://schemas.openxmlformats.org/officeDocument/2006/relationships/image" /><Relationship Target="media/image7.wmf" Id="docRId15" Type="http://schemas.openxmlformats.org/officeDocument/2006/relationships/image" /><Relationship TargetMode="External" Target="https://doi.org/10.1007/978-3-662-44202-9_11" Id="docRId22" Type="http://schemas.openxmlformats.org/officeDocument/2006/relationships/hyperlink"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Mode="External" Target="https://doi.org/10.1109/2.485845" Id="docRId21" Type="http://schemas.openxmlformats.org/officeDocument/2006/relationships/hyperlink" /><Relationship Target="styles.xml" Id="docRId29" Type="http://schemas.openxmlformats.org/officeDocument/2006/relationships/styles" /><Relationship Target="embeddings/oleObject4.bin" Id="docRId8" Type="http://schemas.openxmlformats.org/officeDocument/2006/relationships/oleObject" /><Relationship Target="media/image6.wmf" Id="docRId13" Type="http://schemas.openxmlformats.org/officeDocument/2006/relationships/image" /><Relationship TargetMode="External" Target="https://doi.org/10.1007/978-3-642-24550-3_29" Id="docRId20" Type="http://schemas.openxmlformats.org/officeDocument/2006/relationships/hyperlink" /><Relationship Target="numbering.xml" Id="docRId28" Type="http://schemas.openxmlformats.org/officeDocument/2006/relationships/numbering" /><Relationship Target="media/image1.wmf" Id="docRId3" Type="http://schemas.openxmlformats.org/officeDocument/2006/relationships/image" /><Relationship Target="embeddings/oleObject5.bin" Id="docRId10" Type="http://schemas.openxmlformats.org/officeDocument/2006/relationships/oleObject" /><Relationship TargetMode="External" Target="https://nextjs.org/docs/app/building-your-application/rendering/server-components" Id="docRId18" Type="http://schemas.openxmlformats.org/officeDocument/2006/relationships/hyperlink" /><Relationship Target="embeddings/oleObject1.bin" Id="docRId2" Type="http://schemas.openxmlformats.org/officeDocument/2006/relationships/oleObject" /><Relationship TargetMode="External" Target="https://doi.org/10.1007/978-3-642-29044-2" Id="docRId27" Type="http://schemas.openxmlformats.org/officeDocument/2006/relationships/hyperlink" /><Relationship Target="media/image5.wmf" Id="docRId11" Type="http://schemas.openxmlformats.org/officeDocument/2006/relationships/image" /><Relationship TargetMode="External" Target="https://doi.org/10.1145/3359591.3359737" Id="docRId19" Type="http://schemas.openxmlformats.org/officeDocument/2006/relationships/hyperlink" /><Relationship TargetMode="External" Target="https://obsidian.md/" Id="docRId26" Type="http://schemas.openxmlformats.org/officeDocument/2006/relationships/hyperlink" /><Relationship Target="media/image2.wmf" Id="docRId5" Type="http://schemas.openxmlformats.org/officeDocument/2006/relationships/image" /><Relationship TargetMode="External" Target="https://www.notion.so/" Id="docRId16" Type="http://schemas.openxmlformats.org/officeDocument/2006/relationships/hyperlink" /><Relationship TargetMode="External" Target="https://docs.google.com/" Id="docRId25" Type="http://schemas.openxmlformats.org/officeDocument/2006/relationships/hyperlink" /><Relationship Target="embeddings/oleObject2.bin" Id="docRId4" Type="http://schemas.openxmlformats.org/officeDocument/2006/relationships/oleObject" /></Relationships>
</file>