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UC-32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Export or Erase My Data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1  ·  Email Agent  ·  Use Case Template v2  ·  v2.0  ·  8 September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8"/>
              <w:bottom w:val="none" w:color="FFFFFF" w:sz="0"/>
              <w:right w:val="none" w:color="FFFFFF" w:sz="0"/>
            </w:tcBorders>
            <w:shd w:fill="F1F3F7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4A8C"/>
                <w:sz w:val="16"/>
                <w:szCs w:val="16"/>
              </w:rPr>
              <w:t xml:space="preserve">NOT OPTIONAL IN OUR MARKET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8"/>
                <w:szCs w:val="18"/>
              </w:rPr>
              <w:t xml:space="preserve">This use case appears in no feature list, and selling in Europe without it is not a choice we have. It is also cheap for us precisely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8"/>
                <w:szCs w:val="18"/>
              </w:rPr>
              <w:t xml:space="preserve">because</w:t>
            </w:r>
            <w:r>
              <w:rPr>
                <w:rFonts w:ascii="Calibri" w:cs="Calibri" w:eastAsia="Calibri" w:hAnsi="Calibri"/>
                <w:color w:val="4A505C"/>
                <w:sz w:val="18"/>
                <w:szCs w:val="18"/>
              </w:rPr>
              <w:t xml:space="preserve"> we hold so little — the storage policy and this use case are the same decision seen from two sides.</w:t>
            </w:r>
          </w:p>
        </w:tc>
      </w:tr>
    </w:tbl>
    <w:p>
      <w:pPr>
        <w:spacing w:after="14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asks for a copy of their data, or asks for it to be erased.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Take everything we hold, or make us hold nothing.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Everything on our side — index, decisions, tone recipe, rules, audit log, cache.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customer's mail itself.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We never held it, so there is nothing to export or erase there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— and their labels and cleared mail stay in their mailbox regardless.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Signed in and identity confirmed.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Export: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a complete file is delivered.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Erasure: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nothing about the customer remains beyond what law requires, and that remainder is named.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request; confirmation of identity.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An export file, or an erasure confirmation listing what was removed and what was kept.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BR-114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export contains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everything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we hold about the customer, in a form they can actually read.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BR-115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Erasure removes the index, decisions, tone recipe, rules, cache and credentials.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Anything retained for legal reasons is named explicitly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with its reason and its expiry.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BR-116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Erasure changes nothing in the customer's mailbox.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Their labels, their cleared mail and their drafts are theirs and remain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(BR-46)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BR-117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Sender reputation learned from a customer's mail is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aggregate and holds no personal content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so it survives erasure — and the export states this plainly rather than hiding it.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requests an export or an erasure.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confirms their identity before proceeding.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states exactly what it holds.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Index, decisions, tone recipe, rules, audit log, and any cached message bodies.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states plainly that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it never held their mail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so there is none to return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(BR-116)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For an export — System assembles the file and notifies the Owner when ready.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For an erasure — System explains the consequences before acting.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Every mailbox will be disconnected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(UC-13)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All learning about their preferences is lost and cannot be rebuilt.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5.3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Their mailbox is untouched.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Every label and every cleared message stays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(BR-116)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confirms.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7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erases, and confirms what was removed and what was kept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(BR-115, BR-117)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Export before erasing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offers the export first and waits for it to be collected before erasing.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One mailbox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Scoped to that mailbox; the account and the others are untouched.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Identity cannot be confirmed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refuses.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An erasure request is exactly what an attacker would send.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Erasure fails partway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retries until complete and reports the true state, never a premature confirmation.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AC-32.1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export contains every category of data listed in the storage policy.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AC-32.2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After erasure, no query by that customer's identifier returns anything except the named legal remainder.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AC-32.3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Erasure leaves the customer's mailbox completely unchanged.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AC-32.4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An unauthenticated erasure request is refused.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23 (data region) — and the storage policy in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What We Keep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UC-02 · UC-03 · UC-13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2026-09-08T09:35:30.263Z</dcterms:created>
  <dcterms:modified xsi:type="dcterms:W3CDTF">2026-09-08T09:35:30.263Z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