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二、創新科技內容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五、社會效益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六、財務因素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