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B2 与竞品毫米波雷达阵列对比分析</w:t>
      </w:r>
    </w:p>
    <w:p>
      <w:r>
        <w:rPr>
          <w:b w:val="0"/>
          <w:sz w:val="20"/>
        </w:rPr>
        <w:t>对比对象：我方 B2 样件与竞品样件，均为 8 发 8 收（8T8R）MIMO 阵列。双方阵列坐标均折算到半波长栅格（1 格 = 1.865 mm，77 GHz 半波长），虚拟阵列按"发射 + 接收"坐标和构成（64 通道）。文中所有方向图均为幅度归一化结果：均匀权、无锥削、峰值对齐 0 dB。</w:t>
      </w:r>
    </w:p>
    <w:p>
      <w:pPr>
        <w:pStyle w:val="Heading1"/>
      </w:pPr>
      <w:r>
        <w:t>1  物理阵列与尺寸对比</w:t>
      </w:r>
    </w:p>
    <w:p>
      <w:r>
        <w:drawing>
          <wp:inline xmlns:a="http://schemas.openxmlformats.org/drawingml/2006/main" xmlns:pic="http://schemas.openxmlformats.org/drawingml/2006/picture">
            <wp:extent cx="5580000" cy="3468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a_phy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8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580000" cy="3468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b_phy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8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>表 1  物理尺寸与收发布局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B2（我方）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竞品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外形尺寸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67.1 × 39.2 mm（36 × 21 格）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65.3 × 33.6 mm（35 × 18 格）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发射方位最近间隔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 × 半波长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 × 半波长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接收方位最近间隔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 × 半波长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 × 半波长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最近收发天线间距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13.6 mm（T7–R7，7.3 格）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7.9 mm（T5–R4，4.2 格）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收发布局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TX 主行与 RX 区整体错开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T5 嵌入 RX 行间（距 RX 主行仅 3 格）</w:t>
            </w:r>
          </w:p>
        </w:tc>
      </w:tr>
    </w:tbl>
    <w:p>
      <w:r>
        <w:rPr>
          <w:b w:val="0"/>
          <w:sz w:val="20"/>
        </w:rPr>
        <w:t>两阵列外形尺寸接近（竞品略小 3%×14%），核心差异在收发布局：竞品最近收发间距仅 7.9 mm，为我方（13.6 mm）的 58%，且其 T5 发射天线直接嵌入接收行之间（距 RX 主行仅 3 格，与最近接收天线 R4 斜距仅 4.2 格）。收发天线间隔太近直接恶化收发隔离度：竞品射频测试数据收发隔离度仅 &lt; −30 dB，我方 &lt; −50 dB，相差 20 dB——竞品的收发泄漏会抬高接收底噪，压缩小目标检测动态范围。</w:t>
      </w:r>
    </w:p>
    <w:p>
      <w:pPr>
        <w:pStyle w:val="Heading1"/>
      </w:pPr>
      <w:r>
        <w:t>2  虚拟阵列对比</w:t>
      </w:r>
    </w:p>
    <w:p>
      <w:r>
        <w:drawing>
          <wp:inline xmlns:a="http://schemas.openxmlformats.org/drawingml/2006/main" xmlns:pic="http://schemas.openxmlformats.org/drawingml/2006/picture">
            <wp:extent cx="5580000" cy="34465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a_vi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4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580000" cy="34465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vi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4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>表 2  虚拟阵列预留结构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B2（我方）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竞品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斜阵（45°）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9 元（{T1,T4,T5}×{R1,R2,R7}，x−z=−2 严格共线）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无同类结构（任意斜率穷举，最多 5 通道共线且不成阵）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方位最长线阵列内均匀子阵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两个：间隔 1 × 11 元；间隔 7 × 10 元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一个：间隔 5 × 13 元</w:t>
            </w:r>
          </w:p>
        </w:tc>
      </w:tr>
    </w:tbl>
    <w:p>
      <w:r>
        <w:rPr>
          <w:b w:val="0"/>
          <w:sz w:val="20"/>
        </w:rPr>
        <w:t>两阵列的虚拟阵列结构差异明显：B2 的发射奇元 {T1,T4,T5} 与接收奇元 {R1,R2,R7} 坐标差互补，3×3 外积的 9 个虚拟元全部落在同一条精确 45° 线上；竞品经任意斜率穷举不存在同类斜阵。方位向上，B2 在最长线阵列内预留了间隔 1 与间隔 7 两个均匀子阵，竞品只预留了间隔 5 一个均匀子阵。</w:t>
      </w:r>
    </w:p>
    <w:p>
      <w:pPr>
        <w:pStyle w:val="Heading1"/>
      </w:pPr>
      <w:r>
        <w:t>3  方位最长线阵方向图对比</w:t>
      </w:r>
    </w:p>
    <w:p>
      <w:r>
        <w:drawing>
          <wp:inline xmlns:a="http://schemas.openxmlformats.org/drawingml/2006/main" xmlns:pic="http://schemas.openxmlformats.org/drawingml/2006/picture">
            <wp:extent cx="5580000" cy="29612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zma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1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9"/>
        </w:rPr>
        <w:t>方位最长线阵 = 虚拟阵列中元素最多的俯仰行（即方位 DBF 测角所用子阵）：B2 = 发射主行 × 接收主行 6×6 = 36 元；竞品因一对俯仰重复阵元（T5+R3 落入主行）为 37 元。</w:t>
      </w:r>
    </w:p>
    <w:p>
      <w:r>
        <w:rPr>
          <w:b/>
          <w:sz w:val="19"/>
        </w:rPr>
        <w:t>表 3  方位最长线阵方向图指标（幅度归一化）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阵列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元数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3 dB 波束宽度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最高旁瓣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B2（我方）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1.84°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−12.6 dB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竞品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1.76°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−10.8 dB</w:t>
            </w:r>
          </w:p>
        </w:tc>
      </w:tr>
    </w:tbl>
    <w:p>
      <w:r>
        <w:rPr>
          <w:b w:val="0"/>
          <w:sz w:val="20"/>
        </w:rPr>
        <w:t>竞品主行跨度（68 格）比 B2（63 格）宽 5 格，主瓣略窄（1.76° 对 1.84°）；但 B2 最高旁瓣低约 1.7 dB（−12.6 dB 对 −10.8 dB），方位测角的抗干扰/防虚假目标能力更强。</w:t>
      </w:r>
    </w:p>
    <w:p>
      <w:pPr>
        <w:pStyle w:val="Heading1"/>
      </w:pPr>
      <w:r>
        <w:t>4  全阵方向图对比（64 通道按一条线，不考虑俯仰）</w:t>
      </w:r>
    </w:p>
    <w:p>
      <w:r>
        <w:drawing>
          <wp:inline xmlns:a="http://schemas.openxmlformats.org/drawingml/2006/main" xmlns:pic="http://schemas.openxmlformats.org/drawingml/2006/picture">
            <wp:extent cx="5580000" cy="29612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fu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1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9"/>
        </w:rPr>
        <w:t>全阵口径 = 全部 64 个虚拟通道按方位一条线相干叠加（同一 x 位置的多个通道相干合成，不考虑俯仰），与 TXRX 相参积累所用阵列一致。</w:t>
      </w:r>
    </w:p>
    <w:p>
      <w:r>
        <w:rPr>
          <w:b/>
          <w:sz w:val="19"/>
        </w:rPr>
        <w:t>表 4  全阵 64 通道方位方向图指标（幅度归一化）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阵列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3 dB 波束宽度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最高旁瓣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B2（我方）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1.88°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−12.5 dB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竞品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1.88°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−11.9 dB</w:t>
            </w:r>
          </w:p>
        </w:tc>
      </w:tr>
    </w:tbl>
    <w:p>
      <w:r>
        <w:rPr>
          <w:b w:val="0"/>
          <w:sz w:val="20"/>
        </w:rPr>
        <w:t>全阵口径下两阵列主瓣宽度相同（1.88°），B2 最高旁瓣低约 0.5 dB，多目标/杂波环境下虚假点更少。</w:t>
      </w:r>
    </w:p>
    <w:p>
      <w:pPr>
        <w:pStyle w:val="Heading1"/>
      </w:pPr>
      <w:r>
        <w:t>5  俯仰阵列方向图对比（±20° 以内）</w:t>
      </w:r>
    </w:p>
    <w:p>
      <w:r>
        <w:drawing>
          <wp:inline xmlns:a="http://schemas.openxmlformats.org/drawingml/2006/main" xmlns:pic="http://schemas.openxmlformats.org/drawingml/2006/picture">
            <wp:extent cx="5580000" cy="29361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e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36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9"/>
        </w:rPr>
        <w:t>俯仰阵列 = 俯仰行稀疏阵：俯仰基线为 3 × 半波长，每 3 格为一行，有阵元的行为 1、无阵元的行为 0（与俯仰测角所用子阵划分一致）。B2 阵型为 [1 1 1 1 1 1 0 1 0 1 0 1]（9 元），竞品为 [1 0 1 0 1 1 1 1 0 1 1]（8 元）。俯仰无模糊范围 ±20°，本节仅在无模糊区内对比（栅瓣位于 ±41.8°，超出无模糊区）。</w:t>
      </w:r>
    </w:p>
    <w:p>
      <w:r>
        <w:rPr>
          <w:b/>
          <w:sz w:val="19"/>
        </w:rPr>
        <w:t>表 5  俯仰行稀疏阵方向图指标（±20° 内，幅度归一化）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阵列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元数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3 dB 波束宽度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最高旁瓣（±20° 内）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B2（我方）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2.84°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−8.4 dB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竞品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3.12°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−8.8 dB</w:t>
            </w:r>
          </w:p>
        </w:tc>
      </w:tr>
    </w:tbl>
    <w:p>
      <w:r>
        <w:rPr>
          <w:b w:val="0"/>
          <w:sz w:val="20"/>
        </w:rPr>
        <w:t>B2 俯仰行数比竞品多一行（9 对 8）、俯仰孔径大 3 格，3 dB 波束宽度窄 0.28°（2.84° 对 3.12°），最高旁瓣两者相当。</w:t>
      </w:r>
    </w:p>
    <w:p>
      <w:r>
        <w:rPr>
          <w:b w:val="0"/>
          <w:sz w:val="18"/>
        </w:rPr>
        <w:t>备注：上述三种阵列（方位最长线阵、全阵、俯仰阵）的方向图计算均做了幅度归一化（每个通道单位幅度、无锥削加权，峰值归零 dB），不含通道幅相误差。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F3864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