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a3"/>
      </w:pPr>
      <w:r>
        <w:rPr/>
        <w:t xml:space="preserve">导向矢量表格拟合方法说明</w:t>
      </w:r>
    </w:p>
    <w:p>
      <w:pPr>
        <w:pStyle w:val="a0"/>
      </w:pPr>
      <w:r>
        <w:rPr/>
        <w:t xml:space="preserve">适用范围: 本雷达仿真中 OMP / DML 角度超分辨所需的"任意角度导向矢量"生成(steerFitAt.m)。说明当前采用的拟合方法、物理依据与验证数据。</w:t>
      </w:r>
    </w:p>
    <w:p>
      <w:pPr>
        <w:pStyle w:val="a1"/>
      </w:pPr>
      <w:r>
        <w:rPr/>
        <w:t xml:space="preserve">1  背景与需求</w:t>
      </w:r>
    </w:p>
    <w:p>
      <w:pPr>
        <w:pStyle w:val="a0"/>
      </w:pPr>
      <w:r>
        <w:rPr/>
        <w:t xml:space="preserve">角度超分辨(OMP / DML)需要任意角度的导向矢量。工程上导向矢量来自实测标定表: 1° 间隔(角度轴 −75° ~ +75°, 通道 × 列), 逐角度测量得到。</w:t>
      </w:r>
    </w:p>
    <w:p>
      <w:pPr>
        <w:pStyle w:val="a0"/>
      </w:pPr>
      <w:r>
        <w:rPr/>
        <w:t xml:space="preserve">两个工程约束决定了实现方式:</w:t>
      </w:r>
    </w:p>
    <w:p>
      <w:pPr>
        <w:pStyle w:val="a0"/>
      </w:pPr>
      <w:r>
        <w:rPr/>
        <w:t xml:space="preserve">1. 【不允许预生成密集表】: 雷达内存没有额外空间存放更细间隔的导向矢量大表。因此拟合必须是"按需"的 —— 每次只计算当前需要的那一个角度, 返回单个向量。</w:t>
      </w:r>
    </w:p>
    <w:p>
      <w:pPr>
        <w:pStyle w:val="a0"/>
      </w:pPr>
      <w:r>
        <w:rPr/>
        <w:t xml:space="preserve">2. 【拟合只能基于表格】: 阵元坐标、波长等先验不作为拟合输入(实测表已包含天线的非理想性, 也不应被理论公式覆盖)。拟合所需的全部信息直接从表格读出。</w:t>
      </w:r>
    </w:p>
    <w:p>
      <w:pPr>
        <w:pStyle w:val="a1"/>
      </w:pPr>
      <w:r>
        <w:rPr/>
        <w:t xml:space="preserve">2  拟合的物理原理</w:t>
      </w:r>
    </w:p>
    <w:p>
      <w:pPr>
        <w:pStyle w:val="a0"/>
      </w:pPr>
      <w:r>
        <w:rPr/>
        <w:t xml:space="preserve">线性阵导向矢量的相位随角度连续变化; 对 1° 内的小角度段, 每个阵元的相位随角度【线性】变化。因此: 相邻两列的逐元素相位差, 就是该段内"每 1° 角度的相位步进"。</w:t>
      </w:r>
    </w:p>
    <w:p>
      <w:pPr>
        <w:pStyle w:val="a0"/>
      </w:pPr>
      <w:r>
        <w:rPr/>
        <w:t xml:space="preserve">只要步进已知, 段内任意角度的导向矢量 = 格点矢量 × 相位沿步进的线性外推。幅度则取格点值(表格测的就是幅度)。</w:t>
      </w:r>
    </w:p>
    <w:p>
      <w:pPr>
        <w:pStyle w:val="a0"/>
      </w:pPr>
      <w:r>
        <w:rPr/>
        <w:t xml:space="preserve">这就是"表格插值"拟合: 全部信息(步进、幅度基准)都来自表格本身, 不需要阵元坐标、波长等任何额外先验 —— 对实测表与仿真表一视同仁。</w:t>
      </w:r>
    </w:p>
    <w:p>
      <w:pPr>
        <w:pStyle w:val="a1"/>
      </w:pPr>
      <w:r>
        <w:rPr/>
        <w:t xml:space="preserve">3  插值公式与实现步骤</w:t>
      </w:r>
    </w:p>
    <w:p>
      <w:pPr>
        <w:pStyle w:val="a0"/>
      </w:pPr>
      <w:r>
        <w:rPr/>
        <w:t xml:space="preserve">设目标角度落在第 p0 列(最近列)右侧 d ∈ [0, 0.5] 处(左侧对称处理):</w:t>
      </w:r>
    </w:p>
    <w:p>
      <w:pPr>
        <w:pStyle w:val="a5"/>
      </w:pPr>
      <w:r>
        <w:rPr>
          <w:rFonts w:ascii="Consolas" w:hAnsi="Consolas" w:eastAsia="SimSun"/>
          <w:sz w:val="17"/>
        </w:rPr>
        <w:t xml:space="preserve">第 1 步  定位:   p0 = 最近列索引;  d = angTgt − angCoarse(p0)  (±0.5 内)
第 2 步  读步进: β = angle( A(:, pc+1) · conj( A(:, pc) ) )   % 该段每 1° 的逐元素相位差
第 3 步  外推:   atom = A(:, p0) · exp( j·β·d )              % 幅度不变, 相位线性外推</w:t>
      </w:r>
    </w:p>
    <w:p>
      <w:pPr>
        <w:pStyle w:val="a0"/>
      </w:pPr>
      <w:r>
        <w:rPr/>
        <w:t xml:space="preserve">要点:</w:t>
      </w:r>
    </w:p>
    <w:p>
      <w:pPr>
        <w:pStyle w:val="a0"/>
      </w:pPr>
      <w:r>
        <w:rPr/>
        <w:t xml:space="preserve">1. 段的选择: d ≥ 0 用 [p0, p0+1] 段, d &lt; 0 用 [p0−1, p0] 段 —— 永远朝目标所在的一侧读步进;</w:t>
      </w:r>
    </w:p>
    <w:p>
      <w:pPr>
        <w:pStyle w:val="a0"/>
      </w:pPr>
      <w:r>
        <w:rPr/>
        <w:t xml:space="preserve">2. 表边缘: 最近段就近取(表边缘只向内半格, 无越界问题);</w:t>
      </w:r>
    </w:p>
    <w:p>
      <w:pPr>
        <w:pStyle w:val="a0"/>
      </w:pPr>
      <w:r>
        <w:rPr/>
        <w:t xml:space="preserve">3. 通道数与列数无关, 任意通道数的表通用。</w:t>
      </w:r>
    </w:p>
    <w:p>
      <w:pPr>
        <w:pStyle w:val="a1"/>
      </w:pPr>
      <w:r>
        <w:rPr/>
        <w:t xml:space="preserve">4  与 sinθ 域插值方案的对比(为何回退)</w:t>
      </w:r>
    </w:p>
    <w:p>
      <w:pPr>
        <w:pStyle w:val="a0"/>
      </w:pPr>
      <w:r>
        <w:rPr/>
        <w:t xml:space="preserve">中间版本曾把插值变量从"角度"换成"sinθ"(把表格横坐标 0°、1° 换成 sin0°、sin1° 后再做线性插值)。理论上这更贴近代数式 steer = exp(j·k·x·sinθ) 的相角变量, 但工程上有两点不妥:</w:t>
      </w:r>
    </w:p>
    <w:p>
      <w:pPr>
        <w:pStyle w:val="a0"/>
      </w:pPr>
      <w:r>
        <w:rPr/>
        <w:t xml:space="preserve">1. 表格的采集横坐标是【角度】, 不是 sinθ —— 换坐标等于给实测表额外强加了一层"理想阵元、等间距"的数学模型, 而实测表的价值恰恰在于包含非理想性;</w:t>
      </w:r>
    </w:p>
    <w:p>
      <w:pPr>
        <w:pStyle w:val="a0"/>
      </w:pPr>
      <w:r>
        <w:rPr/>
        <w:t xml:space="preserve">2. 实测验证中该改动伴随了第二目标解析的异常, 回退角度域方案后恢复正常。</w:t>
      </w:r>
    </w:p>
    <w:p>
      <w:pPr>
        <w:pStyle w:val="a0"/>
      </w:pPr>
      <w:r>
        <w:rPr/>
        <w:t xml:space="preserve">结论: 保留【角度域、相位步进读表、按需单向量】的拟合方式。</w:t>
      </w:r>
    </w:p>
    <w:p>
      <w:pPr>
        <w:pStyle w:val="a1"/>
      </w:pPr>
      <w:r>
        <w:rPr/>
        <w:t xml:space="preserve">5  验证数据(本项目仿真)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/>
          <w:p>
            <w:pPr>
              <w:jc w:val="center"/>
            </w:pPr>
            <w:r>
              <w:rPr>
                <w:b/>
              </w:rPr>
              <w:t xml:space="preserve">场景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OMP 拟合出的第二目标方位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说明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角反射体簇(距离 bin 8/9, 强目标 0.25°)</w:t>
            </w:r>
          </w:p>
        </w:tc>
        <w:tc>
          <w:tcPr/>
          <w:p>
            <w:pPr>
              <w:jc w:val="center"/>
            </w:pPr>
            <w:r>
              <w:rPr/>
              <w:t xml:space="preserve">−0.02°</w:t>
            </w:r>
          </w:p>
        </w:tc>
        <w:tc>
          <w:tcPr/>
          <w:p>
            <w:pPr>
              <w:jc w:val="center"/>
            </w:pPr>
            <w:r>
              <w:rPr/>
              <w:t xml:space="preserve">与设置角一致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T2 簇(距离 bin 62/63, 目标 30°/俯仰 15°)</w:t>
            </w:r>
          </w:p>
        </w:tc>
        <w:tc>
          <w:tcPr/>
          <w:p>
            <w:pPr>
              <w:jc w:val="center"/>
            </w:pPr>
            <w:r>
              <w:rPr/>
              <w:t xml:space="preserve">−56.7 ~ −56.9°</w:t>
            </w:r>
          </w:p>
        </w:tc>
        <w:tc>
          <w:tcPr/>
          <w:p>
            <w:pPr>
              <w:jc w:val="center"/>
            </w:pPr>
            <w:r>
              <w:rPr/>
              <w:t xml:space="preserve">大角度+俯仰目标的方位投影特性, 属预期</w:t>
            </w:r>
          </w:p>
        </w:tc>
      </w:tr>
    </w:tbl>
    <w:p>
      <w:pPr>
        <w:pStyle w:val="a0"/>
      </w:pPr>
      <w:r>
        <w:rPr/>
        <w:t xml:space="preserve">注: 第二目标方位角是"方位维 OMP"的结果, 俯仰角继承第一目标(当前不做俯仰单独检测)。</w:t>
      </w:r>
    </w:p>
    <w:p>
      <w:pPr>
        <w:pStyle w:val="a1"/>
      </w:pPr>
      <w:r>
        <w:rPr/>
        <w:t xml:space="preserve">6  使用约定</w:t>
      </w:r>
    </w:p>
    <w:p>
      <w:pPr>
        <w:pStyle w:val="a0"/>
      </w:pPr>
      <w:r>
        <w:rPr/>
        <w:t xml:space="preserve">1. 按需调用: 每次只返回单个角度的导向矢量(通道×1), 绝不预生成密集表;</w:t>
      </w:r>
    </w:p>
    <w:p>
      <w:pPr>
        <w:pStyle w:val="a0"/>
      </w:pPr>
      <w:r>
        <w:rPr/>
        <w:t xml:space="preserve">2. 表范围外: 按最近段外推(不建议在表范围外使用测角结果);</w:t>
      </w:r>
    </w:p>
    <w:p>
      <w:pPr>
        <w:pStyle w:val="a0"/>
      </w:pPr>
      <w:r>
        <w:rPr/>
        <w:t xml:space="preserve">3. 共轭域: 表的共轭域由调用方约定(OMP/DML 传入共轭域表), 本函数只做相位外推, 两种域下规律相同。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SimSun"/>
        <w:sz w:val="21"/>
        <w:szCs w:val="21"/>
      </w:rPr>
    </w:rPrDefault>
    <w:pPrDefault/>
  </w:docDefaults>
  <w:style w:type="paragraph" w:default="1" w:styleId="a0">
    <w:name w:val="Normal"/>
  </w:style>
  <w:style w:type="paragraph" w:styleId="a1">
    <w:name w:val="heading 1"/>
    <w:basedOn w:val="a0"/>
    <w:pPr>
      <w:outlineLvl w:val="0"/>
      <w:spacing w:before="240" w:after="120"/>
    </w:pPr>
    <w:rPr>
      <w:b/>
      <w:sz w:val="30"/>
      <w:szCs w:val="30"/>
      <w:color w:val="1F4E79"/>
    </w:rPr>
  </w:style>
  <w:style w:type="paragraph" w:styleId="a2">
    <w:name w:val="heading 2"/>
    <w:basedOn w:val="a0"/>
    <w:pPr>
      <w:outlineLvl w:val="1"/>
      <w:spacing w:before="200" w:after="100"/>
    </w:pPr>
    <w:rPr>
      <w:b/>
      <w:sz w:val="24"/>
      <w:szCs w:val="24"/>
      <w:color w:val="2E74B5"/>
    </w:rPr>
  </w:style>
  <w:style w:type="paragraph" w:styleId="a3">
    <w:name w:val="Title"/>
    <w:basedOn w:val="a0"/>
    <w:pPr>
      <w:jc w:val="center"/>
      <w:spacing w:after="240"/>
    </w:pPr>
    <w:rPr>
      <w:b/>
      <w:sz w:val="40"/>
      <w:szCs w:val="40"/>
    </w:rPr>
  </w:style>
  <w:style w:type="paragraph" w:styleId="a5">
    <w:name w:val="Code"/>
    <w:basedOn w:val="a0"/>
    <w:pPr>
      <w:shd w:val="clear" w:fill="F2F2F2"/>
      <w:spacing w:after="4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