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right="16.06299212598571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8">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Yan Marcos Teixeira</w:t>
      </w: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São Paulo</w:t>
      </w: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2022</w:t>
      </w: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1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é a análise do Tênis Kappa Wave Masculino. O produto será analisado em sua totalidade como usabilidade, resistência, conforto, etc.</w:t>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2">
          <w:pPr>
            <w:pStyle w:val="Heading1"/>
            <w:numPr>
              <w:ilvl w:val="0"/>
              <w:numId w:val="1"/>
            </w:numPr>
            <w:ind w:left="720" w:hanging="360"/>
            <w:rPr/>
          </w:pPr>
          <w:bookmarkStart w:colFirst="0" w:colLast="0" w:name="_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projeto será feito uma análise completa de todos os aspectos  do tênis KAPPA Wave, junto com imagens do produto e por fim um relatório completo descrevendo a experiência de uso e demais observações. O objetivo é ajudar o leitor a verificar se o um produto atende as necessidades de um usuário que esteja procurando por um tênis confortável sem precisar investir muito. </w:t>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pStyle w:val="Heading1"/>
        <w:numPr>
          <w:ilvl w:val="0"/>
          <w:numId w:val="1"/>
        </w:numPr>
        <w:ind w:left="720" w:hanging="360"/>
        <w:rPr/>
      </w:pPr>
      <w:bookmarkStart w:colFirst="0" w:colLast="0" w:name="_3znysh7" w:id="3"/>
      <w:bookmarkEnd w:id="3"/>
      <w:r w:rsidDel="00000000" w:rsidR="00000000" w:rsidRPr="00000000">
        <w:rPr>
          <w:rtl w:val="0"/>
        </w:rPr>
        <w:t xml:space="preserve">O PROJETO</w:t>
      </w: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6">
      <w:pPr>
        <w:pStyle w:val="Heading2"/>
        <w:numPr>
          <w:ilvl w:val="1"/>
          <w:numId w:val="1"/>
        </w:numPr>
        <w:ind w:left="1080" w:hanging="360"/>
        <w:rPr/>
      </w:pPr>
      <w:bookmarkStart w:colFirst="0" w:colLast="0" w:name="_2et92p0" w:id="4"/>
      <w:bookmarkEnd w:id="4"/>
      <w:r w:rsidDel="00000000" w:rsidR="00000000" w:rsidRPr="00000000">
        <w:rPr>
          <w:rtl w:val="0"/>
        </w:rPr>
        <w:t xml:space="preserve">Detalhes do produto ou serviço</w:t>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Tênis WAVE</w:t>
            </w:r>
            <w:r w:rsidDel="00000000" w:rsidR="00000000" w:rsidRPr="00000000">
              <w:rPr>
                <w:rtl w:val="0"/>
              </w:rPr>
            </w:r>
          </w:p>
        </w:tc>
      </w:tr>
      <w:tr>
        <w:trPr>
          <w:cantSplit w:val="0"/>
          <w:tblHeader w:val="0"/>
        </w:trPr>
        <w:tc>
          <w:tcPr/>
          <w:p w:rsidR="00000000" w:rsidDel="00000000" w:rsidP="00000000" w:rsidRDefault="00000000" w:rsidRPr="00000000" w14:paraId="0000005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KAPPA</w:t>
            </w:r>
            <w:r w:rsidDel="00000000" w:rsidR="00000000" w:rsidRPr="00000000">
              <w:rPr>
                <w:rtl w:val="0"/>
              </w:rPr>
            </w:r>
          </w:p>
        </w:tc>
      </w:tr>
      <w:tr>
        <w:trPr>
          <w:cantSplit w:val="0"/>
          <w:tblHeader w:val="0"/>
        </w:trPr>
        <w:tc>
          <w:tcPr/>
          <w:p w:rsidR="00000000" w:rsidDel="00000000" w:rsidP="00000000" w:rsidRDefault="00000000" w:rsidRPr="00000000" w14:paraId="0000005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D">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Meses</w:t>
            </w:r>
            <w:r w:rsidDel="00000000" w:rsidR="00000000" w:rsidRPr="00000000">
              <w:rPr>
                <w:rtl w:val="0"/>
              </w:rPr>
            </w:r>
          </w:p>
        </w:tc>
      </w:tr>
      <w:tr>
        <w:trPr>
          <w:cantSplit w:val="0"/>
          <w:tblHeader w:val="0"/>
        </w:trPr>
        <w:tc>
          <w:tcPr/>
          <w:p w:rsidR="00000000" w:rsidDel="00000000" w:rsidP="00000000" w:rsidRDefault="00000000" w:rsidRPr="00000000" w14:paraId="0000005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Preço</w:t>
            </w:r>
            <w:r w:rsidDel="00000000" w:rsidR="00000000" w:rsidRPr="00000000">
              <w:rPr>
                <w:rtl w:val="0"/>
              </w:rPr>
            </w:r>
          </w:p>
        </w:tc>
        <w:tc>
          <w:tcPr/>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R$59,99</w:t>
            </w:r>
          </w:p>
          <w:p w:rsidR="00000000" w:rsidDel="00000000" w:rsidP="00000000" w:rsidRDefault="00000000" w:rsidRPr="00000000" w14:paraId="00000060">
            <w:pPr>
              <w:spacing w:line="360" w:lineRule="auto"/>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Style w:val="Heading2"/>
        <w:numPr>
          <w:ilvl w:val="1"/>
          <w:numId w:val="1"/>
        </w:numPr>
        <w:ind w:left="1080" w:hanging="360"/>
        <w:rPr/>
      </w:pPr>
      <w:bookmarkStart w:colFirst="0" w:colLast="0" w:name="_tyjcwt" w:id="5"/>
      <w:bookmarkEnd w:id="5"/>
      <w:r w:rsidDel="00000000" w:rsidR="00000000" w:rsidRPr="00000000">
        <w:rPr>
          <w:rtl w:val="0"/>
        </w:rPr>
        <w:t xml:space="preserve">Tabela de Análise</w:t>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6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7">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Usabilidade padrão, não há nenhum jeito ou ocasião específica para usar o tênis. O cadarço pode ser colocado da forma tradicional.</w:t>
            </w:r>
            <w:r w:rsidDel="00000000" w:rsidR="00000000" w:rsidRPr="00000000">
              <w:rPr>
                <w:rtl w:val="0"/>
              </w:rPr>
            </w:r>
          </w:p>
        </w:tc>
        <w:tc>
          <w:tcPr/>
          <w:p w:rsidR="00000000" w:rsidDel="00000000" w:rsidP="00000000" w:rsidRDefault="00000000" w:rsidRPr="00000000" w14:paraId="00000069">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A">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tênis é revestido por algum tipo de tecido. A Palmilha é de EVA e o Solado de borracha</w:t>
            </w:r>
          </w:p>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Print 1 e 2</w:t>
            </w: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F">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Performance dentro do esperado para um tênis dessa categoria, porém a partir do terceiro mês, começou a apresentar um desgaste no solado deixando o mesmo liso em algumas partes, diminuindo portanto sua aderência geral. </w:t>
            </w:r>
            <w:r w:rsidDel="00000000" w:rsidR="00000000" w:rsidRPr="00000000">
              <w:rPr>
                <w:rtl w:val="0"/>
              </w:rPr>
            </w:r>
          </w:p>
        </w:tc>
        <w:tc>
          <w:tcPr/>
          <w:p w:rsidR="00000000" w:rsidDel="00000000" w:rsidP="00000000" w:rsidRDefault="00000000" w:rsidRPr="00000000" w14:paraId="00000070">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71">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72">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Design ergonômico e elegante dentro do padrão para um tênis esportivo.</w:t>
            </w:r>
            <w:r w:rsidDel="00000000" w:rsidR="00000000" w:rsidRPr="00000000">
              <w:rPr>
                <w:rtl w:val="0"/>
              </w:rPr>
            </w:r>
          </w:p>
        </w:tc>
        <w:tc>
          <w:tcPr/>
          <w:p w:rsidR="00000000" w:rsidDel="00000000" w:rsidP="00000000" w:rsidRDefault="00000000" w:rsidRPr="00000000" w14:paraId="0000007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Print 1</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74">
            <w:pPr>
              <w:spacing w:line="360" w:lineRule="auto"/>
              <w:rPr>
                <w:rFonts w:ascii="Arial" w:cs="Arial" w:eastAsia="Arial" w:hAnsi="Arial"/>
                <w:b w:val="1"/>
                <w:color w:val="000000"/>
                <w:sz w:val="24"/>
                <w:szCs w:val="24"/>
                <w:highlight w:val="white"/>
              </w:rPr>
            </w:pPr>
            <w:r w:rsidDel="00000000" w:rsidR="00000000" w:rsidRPr="00000000">
              <w:rPr>
                <w:rFonts w:ascii="Arial" w:cs="Arial" w:eastAsia="Arial" w:hAnsi="Arial"/>
                <w:b w:val="1"/>
                <w:sz w:val="24"/>
                <w:szCs w:val="24"/>
                <w:highlight w:val="white"/>
                <w:rtl w:val="0"/>
              </w:rPr>
              <w:t xml:space="preserve">Conforto</w:t>
            </w:r>
            <w:r w:rsidDel="00000000" w:rsidR="00000000" w:rsidRPr="00000000">
              <w:rPr>
                <w:rtl w:val="0"/>
              </w:rPr>
            </w:r>
          </w:p>
        </w:tc>
        <w:tc>
          <w:tcPr/>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Conforto acima do esperado para um tênis nessa faixa de preço. Seu formato não machuca os pés e alivia a pressão na coluna e joelhos, o tornando uma boa opção para caminhar por longos períodos.</w:t>
            </w:r>
          </w:p>
          <w:p w:rsidR="00000000" w:rsidDel="00000000" w:rsidP="00000000" w:rsidRDefault="00000000" w:rsidRPr="00000000" w14:paraId="00000076">
            <w:pPr>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7">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7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Style w:val="Heading2"/>
        <w:numPr>
          <w:ilvl w:val="1"/>
          <w:numId w:val="1"/>
        </w:numPr>
        <w:ind w:left="1080" w:hanging="360"/>
        <w:rPr/>
      </w:pPr>
      <w:bookmarkStart w:colFirst="0" w:colLast="0" w:name="_3dy6vkm" w:id="6"/>
      <w:bookmarkEnd w:id="6"/>
      <w:r w:rsidDel="00000000" w:rsidR="00000000" w:rsidRPr="00000000">
        <w:rPr>
          <w:rtl w:val="0"/>
        </w:rPr>
        <w:t xml:space="preserve"> Relatório </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um modo geral pode-se dizer que o produto atende o esperado para um modelo de entrada e faixa de preço. Seu acabamento não é dos melhores, deixando a desejar em alguns aspectos. Não é recomendado para quem deseja praticar atividades de alta intensidade como corrida, pois ele iria apresentar um nível de desgaste elevado, sendo recomendado somente para quem vai fazer uma atividade leve ou que pretende apenas ter um tênis barato e confortável para usar no dia a dia, além de ser uma boa opção para quem deseja um tênis esportivo mas não quer ou não pode investir em um mais caro. </w:t>
      </w:r>
    </w:p>
    <w:p w:rsidR="00000000" w:rsidDel="00000000" w:rsidP="00000000" w:rsidRDefault="00000000" w:rsidRPr="00000000" w14:paraId="0000007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1"/>
        </w:numPr>
        <w:ind w:left="1080" w:hanging="360"/>
        <w:rPr/>
      </w:pPr>
      <w:bookmarkStart w:colFirst="0" w:colLast="0" w:name="_1t3h5sf" w:id="7"/>
      <w:bookmarkEnd w:id="7"/>
      <w:r w:rsidDel="00000000" w:rsidR="00000000" w:rsidRPr="00000000">
        <w:rPr>
          <w:rtl w:val="0"/>
        </w:rPr>
        <w:t xml:space="preserve"> Evidências </w:t>
      </w:r>
    </w:p>
    <w:p w:rsidR="00000000" w:rsidDel="00000000" w:rsidP="00000000" w:rsidRDefault="00000000" w:rsidRPr="00000000" w14:paraId="0000007E">
      <w:pPr>
        <w:spacing w:line="360" w:lineRule="auto"/>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Segue o print mostrando o tênis como um todo e outro mostrando seu solado.</w:t>
      </w:r>
      <w:r w:rsidDel="00000000" w:rsidR="00000000" w:rsidRPr="00000000">
        <w:rPr>
          <w:rFonts w:ascii="Arial" w:cs="Arial" w:eastAsia="Arial" w:hAnsi="Arial"/>
          <w:color w:val="000000"/>
          <w:sz w:val="24"/>
          <w:szCs w:val="24"/>
          <w:highlight w:val="white"/>
          <w:rtl w:val="0"/>
        </w:rPr>
        <w:br w:type="textWrapping"/>
      </w:r>
    </w:p>
    <w:p w:rsidR="00000000" w:rsidDel="00000000" w:rsidP="00000000" w:rsidRDefault="00000000" w:rsidRPr="00000000" w14:paraId="0000007F">
      <w:pPr>
        <w:spacing w:line="360" w:lineRule="auto"/>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80">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Print 1:</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81">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2099466" cy="4544896"/>
            <wp:effectExtent b="0" l="0" r="0" t="0"/>
            <wp:docPr descr="Interface gráfica do usuário, Site&#10;&#10;Descrição gerada automaticamente" id="2" name="image1.jpg"/>
            <a:graphic>
              <a:graphicData uri="http://schemas.openxmlformats.org/drawingml/2006/picture">
                <pic:pic>
                  <pic:nvPicPr>
                    <pic:cNvPr descr="Interface gráfica do usuário, Site&#10;&#10;Descrição gerada automaticamente" id="0" name="image1.jpg"/>
                    <pic:cNvPicPr preferRelativeResize="0"/>
                  </pic:nvPicPr>
                  <pic:blipFill>
                    <a:blip r:embed="rId6"/>
                    <a:srcRect b="1271" l="0" r="0" t="1271"/>
                    <a:stretch>
                      <a:fillRect/>
                    </a:stretch>
                  </pic:blipFill>
                  <pic:spPr>
                    <a:xfrm>
                      <a:off x="0" y="0"/>
                      <a:ext cx="2099466" cy="4544896"/>
                    </a:xfrm>
                    <a:prstGeom prst="rect"/>
                    <a:ln/>
                  </pic:spPr>
                </pic:pic>
              </a:graphicData>
            </a:graphic>
          </wp:inline>
        </w:drawing>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rtl w:val="0"/>
        </w:rPr>
        <w:t xml:space="preserve">Imagem 1: Print do </w:t>
      </w:r>
      <w:r w:rsidDel="00000000" w:rsidR="00000000" w:rsidRPr="00000000">
        <w:rPr>
          <w:rFonts w:ascii="Arial" w:cs="Arial" w:eastAsia="Arial" w:hAnsi="Arial"/>
          <w:rtl w:val="0"/>
        </w:rPr>
        <w:t xml:space="preserve">tênis em perspectiva</w:t>
      </w: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highlight w:val="yellow"/>
          <w:rtl w:val="0"/>
        </w:rPr>
        <w:t xml:space="preserve">Print2</w:t>
      </w:r>
      <w:r w:rsidDel="00000000" w:rsidR="00000000" w:rsidRPr="00000000">
        <w:rPr>
          <w:rFonts w:ascii="Arial" w:cs="Arial" w:eastAsia="Arial" w:hAnsi="Arial"/>
          <w:color w:val="000000"/>
          <w:sz w:val="24"/>
          <w:szCs w:val="24"/>
          <w:highlight w:val="yellow"/>
          <w:rtl w:val="0"/>
        </w:rPr>
        <w:t xml:space="preserve">:</w:t>
      </w: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00"/>
          <w:sz w:val="24"/>
          <w:szCs w:val="24"/>
        </w:rPr>
        <w:drawing>
          <wp:inline distB="0" distT="0" distL="0" distR="0">
            <wp:extent cx="2440983" cy="2402434"/>
            <wp:effectExtent b="0" l="0" r="0" t="0"/>
            <wp:docPr descr="Mouse em cima da mesa&#10;&#10;Descrição gerada automaticamente com confiança média" id="1" name="image2.jpg"/>
            <a:graphic>
              <a:graphicData uri="http://schemas.openxmlformats.org/drawingml/2006/picture">
                <pic:pic>
                  <pic:nvPicPr>
                    <pic:cNvPr descr="Mouse em cima da mesa&#10;&#10;Descrição gerada automaticamente com confiança média" id="0" name="image2.jpg"/>
                    <pic:cNvPicPr preferRelativeResize="0"/>
                  </pic:nvPicPr>
                  <pic:blipFill>
                    <a:blip r:embed="rId7"/>
                    <a:srcRect b="27845" l="0" r="0" t="27845"/>
                    <a:stretch>
                      <a:fillRect/>
                    </a:stretch>
                  </pic:blipFill>
                  <pic:spPr>
                    <a:xfrm>
                      <a:off x="0" y="0"/>
                      <a:ext cx="2440983" cy="240243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Imagem 2: </w:t>
      </w:r>
      <w:r w:rsidDel="00000000" w:rsidR="00000000" w:rsidRPr="00000000">
        <w:rPr>
          <w:rFonts w:ascii="Arial" w:cs="Arial" w:eastAsia="Arial" w:hAnsi="Arial"/>
          <w:rtl w:val="0"/>
        </w:rPr>
        <w:t xml:space="preserve">Print do solado</w:t>
      </w: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7">
      <w:pPr>
        <w:pStyle w:val="Heading2"/>
        <w:numPr>
          <w:ilvl w:val="1"/>
          <w:numId w:val="1"/>
        </w:numPr>
        <w:ind w:left="1080" w:hanging="360"/>
        <w:rPr/>
      </w:pPr>
      <w:bookmarkStart w:colFirst="0" w:colLast="0" w:name="_4d34og8" w:id="8"/>
      <w:bookmarkEnd w:id="8"/>
      <w:r w:rsidDel="00000000" w:rsidR="00000000" w:rsidRPr="00000000">
        <w:rPr>
          <w:rtl w:val="0"/>
        </w:rPr>
        <w:t xml:space="preserve">Onde encontrar</w:t>
      </w:r>
    </w:p>
    <w:p w:rsidR="00000000" w:rsidDel="00000000" w:rsidP="00000000" w:rsidRDefault="00000000" w:rsidRPr="00000000" w14:paraId="0000008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https://www.netshoes.com.br/tenis-kappa-wave-masculino-preto+cinza-D24-4012-172</w:t>
      </w:r>
      <w:r w:rsidDel="00000000" w:rsidR="00000000" w:rsidRPr="00000000">
        <w:rPr>
          <w:rFonts w:ascii="Arial" w:cs="Arial" w:eastAsia="Arial" w:hAnsi="Arial"/>
          <w:i w:val="1"/>
          <w:color w:val="000000"/>
          <w:sz w:val="24"/>
          <w:szCs w:val="24"/>
          <w:rtl w:val="0"/>
        </w:rPr>
        <w:t xml:space="preserve">y</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8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Style w:val="Heading1"/>
        <w:numPr>
          <w:ilvl w:val="0"/>
          <w:numId w:val="1"/>
        </w:numPr>
        <w:ind w:left="720" w:hanging="360"/>
        <w:rPr/>
      </w:pPr>
      <w:bookmarkStart w:colFirst="0" w:colLast="0" w:name="_2s8eyo1" w:id="9"/>
      <w:bookmarkEnd w:id="9"/>
      <w:r w:rsidDel="00000000" w:rsidR="00000000" w:rsidRPr="00000000">
        <w:rPr>
          <w:rtl w:val="0"/>
        </w:rPr>
        <w:t xml:space="preserve">CONCLUSÃO</w:t>
      </w:r>
    </w:p>
    <w:p w:rsidR="00000000" w:rsidDel="00000000" w:rsidP="00000000" w:rsidRDefault="00000000" w:rsidRPr="00000000" w14:paraId="0000008B">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É só o começo, mas aprendi os fundamentos de fazer uma análise mais crítica de um produto. Continuarei exercitando o olhar analítico para poder fazer melhores e mais completas análises no futuro. </w:t>
      </w:r>
      <w:r w:rsidDel="00000000" w:rsidR="00000000" w:rsidRPr="00000000">
        <w:rPr>
          <w:rtl w:val="0"/>
        </w:rPr>
      </w:r>
    </w:p>
    <w:p w:rsidR="00000000" w:rsidDel="00000000" w:rsidP="00000000" w:rsidRDefault="00000000" w:rsidRPr="00000000" w14:paraId="0000008C">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D">
      <w:pPr>
        <w:pStyle w:val="Heading1"/>
        <w:numPr>
          <w:ilvl w:val="0"/>
          <w:numId w:val="1"/>
        </w:numPr>
        <w:ind w:left="720" w:hanging="360"/>
        <w:rPr/>
      </w:pPr>
      <w:bookmarkStart w:colFirst="0" w:colLast="0" w:name="_17dp8vu" w:id="10"/>
      <w:bookmarkEnd w:id="10"/>
      <w:r w:rsidDel="00000000" w:rsidR="00000000" w:rsidRPr="00000000">
        <w:rPr>
          <w:rtl w:val="0"/>
        </w:rPr>
        <w:t xml:space="preserve">REFERÊNCIAS BIBLIOGRÁFICAS </w:t>
      </w:r>
    </w:p>
    <w:p w:rsidR="00000000" w:rsidDel="00000000" w:rsidP="00000000" w:rsidRDefault="00000000" w:rsidRPr="00000000" w14:paraId="0000008E">
      <w:pPr>
        <w:spacing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Foi usado como referência os dados encontrados no site: https://www.netshoes.com.br/</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