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ebp3td630lk" w:id="0"/>
      <w:bookmarkEnd w:id="0"/>
      <w:r w:rsidDel="00000000" w:rsidR="00000000" w:rsidRPr="00000000">
        <w:rPr>
          <w:rtl w:val="0"/>
        </w:rPr>
        <w:t xml:space="preserve">Research Prompt — FASTag Business Head at a Leading Indian Issuer Bank</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Produce a single research dossier that will feed a downstream multi-pass prompt chain. The chain will (a) carve out the personas who use a Fluid CX–style interaction intelligence platform inside the FASTag business of a leading Indian issuer bank, (b) map their pain points, (c) map their mental models, and (d) drill down to an MVP spec. This prompt does </w:t>
      </w:r>
      <w:r w:rsidDel="00000000" w:rsidR="00000000" w:rsidRPr="00000000">
        <w:rPr>
          <w:i w:val="1"/>
          <w:iCs w:val="1"/>
          <w:rtl w:val="0"/>
        </w:rPr>
        <w:t xml:space="preserve">not</w:t>
      </w:r>
      <w:r w:rsidDel="00000000" w:rsidR="00000000" w:rsidRPr="00000000">
        <w:rPr>
          <w:rtl w:val="0"/>
        </w:rPr>
        <w:t xml:space="preserve"> design the MVP. It builds the evidence base.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Audience for the prompt:</w:t>
      </w:r>
      <w:r w:rsidDel="00000000" w:rsidR="00000000" w:rsidRPr="00000000">
        <w:rPr>
          <w:rtl w:val="0"/>
        </w:rPr>
        <w:t xml:space="preserve"> A research model with web access (deep-research-grade). The model should triangulate across NPCI publications, NHAI/IHMCL releases, RBI circulars, bank annual reports and investor presentations, FASTag-related consumer complaint forums, news coverage, fintech analyst commentary, vendor case studies, job postings, and LinkedIn signals.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Operating constraint:</w:t>
      </w:r>
      <w:r w:rsidDel="00000000" w:rsidR="00000000" w:rsidRPr="00000000">
        <w:rPr>
          <w:rtl w:val="0"/>
        </w:rPr>
        <w:t xml:space="preserve"> Do not name a specific bank as "the prospect" in the research itself. Identify the current top 3–4 issuer banks by tag-issuance volume and tag-in-force, and characterize the business head role and pain points in a way that applies to any of them. The prospect's identity is held off-stage on purpose, so the same dossier can be reused across conversations with multiple bank leaders.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99efj9zf0iuw" w:id="1"/>
      <w:bookmarkEnd w:id="1"/>
      <w:r w:rsidDel="00000000" w:rsidR="00000000" w:rsidRPr="00000000">
        <w:rPr>
          <w:rtl w:val="0"/>
        </w:rPr>
        <w:t xml:space="preserve">1. Context the research model needs before starting</w:t>
      </w:r>
    </w:p>
    <w:p w:rsidR="00000000" w:rsidDel="00000000" w:rsidP="00000000" w:rsidRDefault="00000000" w:rsidRPr="00000000" w14:paraId="0000000A">
      <w:pPr>
        <w:rPr/>
      </w:pPr>
      <w:r w:rsidDel="00000000" w:rsidR="00000000" w:rsidRPr="00000000">
        <w:rPr>
          <w:b w:val="1"/>
          <w:bCs w:val="1"/>
          <w:rtl w:val="0"/>
        </w:rPr>
        <w:t xml:space="preserve">Who is commissioning this research:</w:t>
      </w:r>
      <w:r w:rsidDel="00000000" w:rsidR="00000000" w:rsidRPr="00000000">
        <w:rPr>
          <w:rtl w:val="0"/>
        </w:rPr>
        <w:t xml:space="preserve"> YaaraLabs.ai, builder of </w:t>
      </w:r>
      <w:r w:rsidDel="00000000" w:rsidR="00000000" w:rsidRPr="00000000">
        <w:rPr>
          <w:i w:val="1"/>
          <w:iCs w:val="1"/>
          <w:rtl w:val="0"/>
        </w:rPr>
        <w:t xml:space="preserve">Fluid Intelligence / Fluid CX</w:t>
      </w:r>
      <w:r w:rsidDel="00000000" w:rsidR="00000000" w:rsidRPr="00000000">
        <w:rPr>
          <w:rtl w:val="0"/>
        </w:rPr>
        <w:t xml:space="preserve"> — an AI-powered customer interaction intelligence platform that ingests 100% of voice, chat, email, complaints, and social interactions across an enterprise contact center and delivers operational, CX, and compliance intelligence in under 30 minutes. Fluid CX sits as an intelligence layer </w:t>
      </w:r>
      <w:r w:rsidDel="00000000" w:rsidR="00000000" w:rsidRPr="00000000">
        <w:rPr>
          <w:i w:val="1"/>
          <w:iCs w:val="1"/>
          <w:rtl w:val="0"/>
        </w:rPr>
        <w:t xml:space="preserve">above</w:t>
      </w:r>
      <w:r w:rsidDel="00000000" w:rsidR="00000000" w:rsidRPr="00000000">
        <w:rPr>
          <w:rtl w:val="0"/>
        </w:rPr>
        <w:t xml:space="preserve"> existing channels; it does not replace CMS, IVR, core banking, fraud auth, or CRM systems.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Who the dossier is for:</w:t>
      </w:r>
      <w:r w:rsidDel="00000000" w:rsidR="00000000" w:rsidRPr="00000000">
        <w:rPr>
          <w:rtl w:val="0"/>
        </w:rPr>
        <w:t xml:space="preserve"> A business head running the FASTag P&amp;L inside a major Indian private bank. This person is typically a Senior Vice President or above, sits within Cards / Payments / Transaction Banking, owns tag issuance volume, tag-in-force base, transaction processing revenue, MDR/commercial economics, customer service operations, and the regulatory relationship with NPCI and IHMCL on toll matters. They report into a Group Head (Retail Liabilities, Payments, or Cards depending on the bank's org structure).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Why the dossier matters:</w:t>
      </w:r>
      <w:r w:rsidDel="00000000" w:rsidR="00000000" w:rsidRPr="00000000">
        <w:rPr>
          <w:rtl w:val="0"/>
        </w:rPr>
        <w:t xml:space="preserve"> The next prompt in this chain will use the research to construct (i) a primary persona for the business head, (ii) supporting personas for their direct reports and adjacent stakeholders, (iii) the mental model each persona operates in, (iv) the interaction-data pain points each persona has today, and (v) an MVP scope for what Fluid CX would deliver to this business unit in the first 8–12 weeks of a pilot.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lce03xvbduru" w:id="2"/>
      <w:bookmarkEnd w:id="2"/>
      <w:r w:rsidDel="00000000" w:rsidR="00000000" w:rsidRPr="00000000">
        <w:rPr>
          <w:rtl w:val="0"/>
        </w:rPr>
        <w:t xml:space="preserve">2. Research objectives — what the dossier must contain</w:t>
      </w:r>
    </w:p>
    <w:p w:rsidR="00000000" w:rsidDel="00000000" w:rsidP="00000000" w:rsidRDefault="00000000" w:rsidRPr="00000000" w14:paraId="00000012">
      <w:pPr>
        <w:rPr/>
      </w:pPr>
      <w:r w:rsidDel="00000000" w:rsidR="00000000" w:rsidRPr="00000000">
        <w:rPr>
          <w:rtl w:val="0"/>
        </w:rPr>
        <w:t xml:space="preserve">The dossier must answer eight clusters of questions, in this order, with citations.</w:t>
      </w:r>
    </w:p>
    <w:p w:rsidR="00000000" w:rsidDel="00000000" w:rsidP="00000000" w:rsidRDefault="00000000" w:rsidRPr="00000000" w14:paraId="00000013">
      <w:pPr>
        <w:pStyle w:val="Heading3"/>
        <w:rPr/>
      </w:pPr>
      <w:bookmarkStart w:colFirst="0" w:colLast="0" w:name="_41z8jpux3b4a" w:id="3"/>
      <w:bookmarkEnd w:id="3"/>
      <w:r w:rsidDel="00000000" w:rsidR="00000000" w:rsidRPr="00000000">
        <w:rPr>
          <w:rtl w:val="0"/>
        </w:rPr>
        <w:t xml:space="preserve">Cluster A — The FASTag industry in India today</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The mechanics of the NETC FASTag ecosystem. What is the role of NPCI, NHAI, IHMCL (Indian Highways Management Company Limited), issuer banks, acquirer banks, toll plaza operators, and OEM/dealer tag-fitment channels? Trace one tag transaction end-to-end including settlement, dispute, and chargeback flows.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Market structure today. Who are the top issuer banks by tag-in-force and by monthly issuance, with the most recent numbers obtainable? How has share moved over the last 24 months, particularly after the Paytm Payments Bank wind-down in early 2024 redistributed roughly a third of the market?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Volume and economics. What is the typical fee structure on a FASTag transaction, what is the issuer bank's revenue per transaction and per tag-month, what are the cost lines (NPCI fees, tag procurement, call center, chargebacks, refunds, write-offs), and what does unit economics look like at scale?</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The regulatory and policy backdrop. NPCI procedural guidelines, NHAI/IHMCL toll policy changes (including the GNSS-based tolling pilots and what they imply for FASTag's medium-term relevance), and any RBI consumer-conduct rules that apply to FASTag as a prepaid wallet–adjacent product. Cross-reference the RBI Customer Conduct Directions 2025 where applicable.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Industry-level pain points that are widely documented: blacklisting, double deduction, low-balance failures, KYC mismatches, vehicle class mismatches, recharge gateway failures, tag-not-read at plaza, refund SLAs, the One Vehicle One Tag rule and its enforcement gaps, used-vehicle tag deactivation, fleet management complexity, and toll-plaza-side disputes.</w:t>
      </w:r>
    </w:p>
    <w:p w:rsidR="00000000" w:rsidDel="00000000" w:rsidP="00000000" w:rsidRDefault="00000000" w:rsidRPr="00000000" w14:paraId="00000019">
      <w:pPr>
        <w:pStyle w:val="Heading3"/>
        <w:rPr/>
      </w:pPr>
      <w:bookmarkStart w:colFirst="0" w:colLast="0" w:name="_tab60tgb8ixb" w:id="4"/>
      <w:bookmarkEnd w:id="4"/>
      <w:r w:rsidDel="00000000" w:rsidR="00000000" w:rsidRPr="00000000">
        <w:rPr>
          <w:rtl w:val="0"/>
        </w:rPr>
        <w:t xml:space="preserve">Cluster B — The business head's world</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The role itself. What is the typical title (FASTag Business Head, Head — Toll &amp; Payments, Product Head — FASTag), reporting line, and remit? Pull from LinkedIn profiles and bank press releases for the top 3–4 issuers, without naming any single one as the prospect.</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The KPIs they are measured on. Tag issuance per month, tag-in-force net adds, transaction throughput, revenue per tag, customer service cost per tag, complaint rate per 10,000 tags, dispute resolution TAT, recharge funnel conversion, partner channel (OEM, dealer, e-commerce) issuance share, regulatory finding closure rate, and any others surfaced by job descriptions or annual report disclosures.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The growth levers they pull. Distribution expansion (OEM tie-ups, dealer networks, e-commerce, branch, partner apps), pricing and commercial structure, fleet and B2B acquisition, value-added services on top of the tag (parking, fuel, EV charging integrations), customer retention and reactivation of dormant tags, cross-sell into bank deposits and lending products.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The cost and risk levers they manage. Call center volume per tag, average handle time, refund and chargeback leakage, fraud and impersonation losses, regulatory penalty exposure, partner-channel quality issues, and reputation/social media exposure when toll plazas malfunction.</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The organizational interfaces. Who do they coordinate with — contact center operations, the bank's CMS/Internal Ombudsman office under the new RBI 2026 Directions, NPCI relationship, IHMCL relationship, partner BPO vendors, recovery agencies for negative-balance accounts, fraud and AML teams, marketing, digital channels, branches. The dossier should explicitly map this so the persona prompt can build secondary personas around the business head.</w:t>
      </w:r>
    </w:p>
    <w:p w:rsidR="00000000" w:rsidDel="00000000" w:rsidP="00000000" w:rsidRDefault="00000000" w:rsidRPr="00000000" w14:paraId="0000001F">
      <w:pPr>
        <w:pStyle w:val="Heading3"/>
        <w:rPr/>
      </w:pPr>
      <w:bookmarkStart w:colFirst="0" w:colLast="0" w:name="_fpad1h3k98b4" w:id="5"/>
      <w:bookmarkEnd w:id="5"/>
      <w:r w:rsidDel="00000000" w:rsidR="00000000" w:rsidRPr="00000000">
        <w:rPr>
          <w:rtl w:val="0"/>
        </w:rPr>
        <w:t xml:space="preserve">Cluster C — Customer segments and their lived experience</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Segment the customer base. At minimum: individual private 4-wheeler owners (city commuters, intercity travelers, weekend leisure drivers); commercial vehicle owners (single-truck operators, mid-size fleets, large logistics fleets); used-vehicle buyers inheriting tags; rental car operators; aggregator/cab fleets; OEM-fitted-at-purchase new car buyers. For each, characterize tag usage pattern, recharge behavior, support touchpoints, and likely call drivers.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The customer journey end-to-end. From discovery and purchase, to KYC and activation, to first recharge, to first toll deduction, to dispute, to KYC renewal, to vehicle sale or tag closure. Identify where friction concentrates and what kinds of interactions each friction point produces.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The complaint and dispute taxonomy. Synthesize from public complaint forums (consumer forums, Twitter/X mentions, NPCI ombudsman summaries, NHAI grievance data where public), what customers actually call, chat, email, and tweet about. Rank the top 15 complaint categories by likely volume and severity, and note which are FASTag-bank-resolvable vs which require NPCI, IHMCL, or toll plaza acquirer involvement.</w:t>
      </w:r>
    </w:p>
    <w:p w:rsidR="00000000" w:rsidDel="00000000" w:rsidP="00000000" w:rsidRDefault="00000000" w:rsidRPr="00000000" w14:paraId="00000023">
      <w:pPr>
        <w:pStyle w:val="Heading3"/>
        <w:rPr/>
      </w:pPr>
      <w:bookmarkStart w:colFirst="0" w:colLast="0" w:name="_y4ez7k7p6pty" w:id="6"/>
      <w:bookmarkEnd w:id="6"/>
      <w:r w:rsidDel="00000000" w:rsidR="00000000" w:rsidRPr="00000000">
        <w:rPr>
          <w:rtl w:val="0"/>
        </w:rPr>
        <w:t xml:space="preserve">Cluster D — Non-customer callers and stakeholders in the interaction stream</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Beyond retail customers, who else interacts with the FASTag contact center or business unit? Examples: toll plaza staff disputing transactions, acquirer banks raising chargebacks, NPCI dispute resolution queues, IHMCL escalations, fleet managers managing bulk tags, OEMs and dealers raising onboarding issues, partner aggregators (fuel companies, parking operators, e-commerce platforms) raising integration issues, recovery agents handling negative-balance customers, internal branch staff raising customer-facing escalations.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For each non-customer caller type, characterize their typical issue, their tolerance threshold, what a "good" outcome looks like for them, and what signal their interactions carry that the business head would want surfaced.</w:t>
      </w:r>
    </w:p>
    <w:p w:rsidR="00000000" w:rsidDel="00000000" w:rsidP="00000000" w:rsidRDefault="00000000" w:rsidRPr="00000000" w14:paraId="00000026">
      <w:pPr>
        <w:pStyle w:val="Heading3"/>
        <w:rPr/>
      </w:pPr>
      <w:bookmarkStart w:colFirst="0" w:colLast="0" w:name="_qoudgiazfez" w:id="7"/>
      <w:bookmarkEnd w:id="7"/>
      <w:r w:rsidDel="00000000" w:rsidR="00000000" w:rsidRPr="00000000">
        <w:rPr>
          <w:rtl w:val="0"/>
        </w:rPr>
        <w:t xml:space="preserve">Cluster E — Contact center and interaction reality today</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What does FASTag customer service look like today across major issuers? Channel mix (IVR self-serve, live agent voice, app chat, email, social, branch walk-in), typical contact volumes per million tags-in-force, AHT, FCR, complaint rates per the new RBI 2025 conduct framework, NPS or CSAT levels where disclosed. Use bank annual reports, customer service reports, job postings for BPO partners, and public complaint volumes as triangulation sources.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The QA and conduct monitoring picture. Are calls being analyzed at all today? Most Indian bank contact centers sample 1–3% of voice interactions. What is the QA framework, who runs it (in-house vs BPO partner), and where does it fall down on FASTag-specific issues like vehicle class disputes or refund TAT?</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The compliance overlay. RBI Internal Ombudsman Directions 2026 (effective 30 June 2026), RB-IOS 2026 (effective 1 July 2026 with ₹30L consequential loss cap), and the consolidated Customer Service Directions 2025 — how do these apply to FASTag complaints, what evidence trail must the issuer bank maintain, and what is the cost of getting it wrong?</w:t>
      </w:r>
    </w:p>
    <w:p w:rsidR="00000000" w:rsidDel="00000000" w:rsidP="00000000" w:rsidRDefault="00000000" w:rsidRPr="00000000" w14:paraId="0000002A">
      <w:pPr>
        <w:pStyle w:val="Heading3"/>
        <w:rPr/>
      </w:pPr>
      <w:bookmarkStart w:colFirst="0" w:colLast="0" w:name="_y7jhvde6ypjm" w:id="8"/>
      <w:bookmarkEnd w:id="8"/>
      <w:r w:rsidDel="00000000" w:rsidR="00000000" w:rsidRPr="00000000">
        <w:rPr>
          <w:rtl w:val="0"/>
        </w:rPr>
        <w:t xml:space="preserve">Cluster F — The technology and analytics landscape inside FASTag operations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What is the typical contact center technology stack at a top Indian issuer bank? CCaaS provider (Avaya, Genesys, Ozonetel, Servetel, NICE CXone, Five9 are common), CRM (Salesforce, Microsoft Dynamics, in-house), call recording, transcription, speech analytics if any (Verint, NICE Nexidia, CallMiner, Observe.AI, or none), complaint management system, dispute management workflow, NPCI integration layer. Surface what is publicly disclosed and infer the rest from job postings, vendor case studies, and conference talks.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The interaction analytics gap. Specifically: is there any evidence that issuer banks are running speech analytics, conversation intelligence, or 100% interaction monitoring on the FASTag call stream today, or is this still sample-based QA? This is the central wedge for Fluid CX and must be answered with as much specificity as the public record allows.</w:t>
      </w:r>
    </w:p>
    <w:p w:rsidR="00000000" w:rsidDel="00000000" w:rsidP="00000000" w:rsidRDefault="00000000" w:rsidRPr="00000000" w14:paraId="0000002D">
      <w:pPr>
        <w:pStyle w:val="Heading3"/>
        <w:rPr/>
      </w:pPr>
      <w:bookmarkStart w:colFirst="0" w:colLast="0" w:name="_2ehhujv9v577" w:id="9"/>
      <w:bookmarkEnd w:id="9"/>
      <w:r w:rsidDel="00000000" w:rsidR="00000000" w:rsidRPr="00000000">
        <w:rPr>
          <w:rtl w:val="0"/>
        </w:rPr>
        <w:t xml:space="preserve">Cluster G — What "good" looks like for the business head</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Synthesize, from the above, what a FASTag business head would consider a transformative intelligence capability. Frame in terms of (i) revenue and growth signals they currently cannot see, (ii) cost and leakage signals they currently cannot see, (iii) risk and compliance signals they currently cannot see, (iv) customer experience signals they currently cannot see.</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Anchor each of the four signal categories to specific decisions the business head would make differently if they had the signal in under 30 minutes instead of in a monthly MIS pack.</w:t>
      </w:r>
    </w:p>
    <w:p w:rsidR="00000000" w:rsidDel="00000000" w:rsidP="00000000" w:rsidRDefault="00000000" w:rsidRPr="00000000" w14:paraId="00000030">
      <w:pPr>
        <w:pStyle w:val="Heading3"/>
        <w:rPr/>
      </w:pPr>
      <w:bookmarkStart w:colFirst="0" w:colLast="0" w:name="_6ufsy79w23lx" w:id="10"/>
      <w:bookmarkEnd w:id="10"/>
      <w:r w:rsidDel="00000000" w:rsidR="00000000" w:rsidRPr="00000000">
        <w:rPr>
          <w:rtl w:val="0"/>
        </w:rPr>
        <w:t xml:space="preserve">Cluster H — Strategic forward look</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Where is FASTag heading? Cover GNSS/satellite-based tolling pilots and their timeline, the integration of FASTag with parking, fuel, and EV charging, the One Vehicle One Tag enforcement trajectory, and any signals about whether FASTag remains a strategic product for issuer banks over the next 36 months or becomes a maintenance business.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Implication for the business head. Are they playing offense (growth, new use cases, ecosystem partnerships) or defense (cost reduction, compliance hardening, controlled exit)? The answer shapes what an interaction intelligence platform is worth to them.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kp3vvvl3ab95" w:id="11"/>
      <w:bookmarkEnd w:id="11"/>
      <w:r w:rsidDel="00000000" w:rsidR="00000000" w:rsidRPr="00000000">
        <w:rPr>
          <w:rtl w:val="0"/>
        </w:rPr>
        <w:t xml:space="preserve">3. Output format</w:t>
      </w:r>
    </w:p>
    <w:p w:rsidR="00000000" w:rsidDel="00000000" w:rsidP="00000000" w:rsidRDefault="00000000" w:rsidRPr="00000000" w14:paraId="00000036">
      <w:pPr>
        <w:rPr/>
      </w:pPr>
      <w:r w:rsidDel="00000000" w:rsidR="00000000" w:rsidRPr="00000000">
        <w:rPr>
          <w:rtl w:val="0"/>
        </w:rPr>
        <w:t xml:space="preserve">Deliver the dossier as a structured document with these sections, in this order: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Executive synthesis</w:t>
      </w:r>
      <w:r w:rsidDel="00000000" w:rsidR="00000000" w:rsidRPr="00000000">
        <w:rPr>
          <w:rtl w:val="0"/>
        </w:rPr>
        <w:t xml:space="preserve"> — 400 to 600 words. Three things: the shape of the FASTag market today, the shape of the business head's job today, and the shape of the interaction-intelligence gap today.</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The FASTag industry primer</w:t>
      </w:r>
      <w:r w:rsidDel="00000000" w:rsidR="00000000" w:rsidRPr="00000000">
        <w:rPr>
          <w:rtl w:val="0"/>
        </w:rPr>
        <w:t xml:space="preserve"> — Clusters A and H combined, written as connected prose with subheadings, not bullets.</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The business head dossier</w:t>
      </w:r>
      <w:r w:rsidDel="00000000" w:rsidR="00000000" w:rsidRPr="00000000">
        <w:rPr>
          <w:rtl w:val="0"/>
        </w:rPr>
        <w:t xml:space="preserve"> — Clusters B and G combined. This is the most important section. Include a one-page "day in the life," a KPI scorecard (the metrics they are actually measured on with realistic ranges), and a decision-rights map.</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Customer and stakeholder map</w:t>
      </w:r>
      <w:r w:rsidDel="00000000" w:rsidR="00000000" w:rsidRPr="00000000">
        <w:rPr>
          <w:rtl w:val="0"/>
        </w:rPr>
        <w:t xml:space="preserve"> — Clusters C and D. For each segment and stakeholder, give one paragraph of characterization, the top 3–5 issues they raise, and the channels they raise them through.</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Contact center and compliance reality</w:t>
      </w:r>
      <w:r w:rsidDel="00000000" w:rsidR="00000000" w:rsidRPr="00000000">
        <w:rPr>
          <w:rtl w:val="0"/>
        </w:rPr>
        <w:t xml:space="preserve"> — Cluster E. Include the regulatory deadlines map: RBI 2025 Customer Service Directions, IO Directions 2026, RB-IOS 2026, and which FASTag-specific obligations flow from each.</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Technology and analytics landscape</w:t>
      </w:r>
      <w:r w:rsidDel="00000000" w:rsidR="00000000" w:rsidRPr="00000000">
        <w:rPr>
          <w:rtl w:val="0"/>
        </w:rPr>
        <w:t xml:space="preserve"> — Cluster F. Explicit verdict on whether 100% interaction monitoring exists in this space today.</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Source list</w:t>
      </w:r>
      <w:r w:rsidDel="00000000" w:rsidR="00000000" w:rsidRPr="00000000">
        <w:rPr>
          <w:rtl w:val="0"/>
        </w:rPr>
        <w:t xml:space="preserve"> — Every claim of fact tied to a source, with date of access. Where sources conflict, note the conflict and explain which one the dossier trusts and why.</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Open questions for primary research</w:t>
      </w:r>
      <w:r w:rsidDel="00000000" w:rsidR="00000000" w:rsidRPr="00000000">
        <w:rPr>
          <w:rtl w:val="0"/>
        </w:rPr>
        <w:t xml:space="preserve"> — A short list of questions only a direct conversation with the business head could answer, framed so they can be folded into a meeting agenda.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9tod39uyhpy0" w:id="12"/>
      <w:bookmarkEnd w:id="12"/>
      <w:r w:rsidDel="00000000" w:rsidR="00000000" w:rsidRPr="00000000">
        <w:rPr>
          <w:rtl w:val="0"/>
        </w:rPr>
        <w:t xml:space="preserve">4. Source quality requirements</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Prefer primary sources in this order: NPCI and NHAI/IHMCL publications, RBI circulars, issuer bank annual reports and investor presentations, regulatory filings, vendor case studies, conference talks, LinkedIn profiles and job postings.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Treat news coverage as supplementary, not load-bearing. Consumer complaint forums (Twitter/X, MouthShut, ConsumerComplaints, NHAI's own grievance disclosures) are valid for understanding complaint shape, not for hard numbers.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For any number quoted (market share, tag-in-force, complaint rate, AHT), attach a date and a source. If the most recent source is older than 12 months, say so.</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For any inference about the business head's role, label it as inference and explain the basis.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czip243fc4qy" w:id="13"/>
      <w:bookmarkEnd w:id="13"/>
      <w:r w:rsidDel="00000000" w:rsidR="00000000" w:rsidRPr="00000000">
        <w:rPr>
          <w:rtl w:val="0"/>
        </w:rPr>
        <w:t xml:space="preserve">5. What this dossier feeds into next</w:t>
      </w:r>
    </w:p>
    <w:p w:rsidR="00000000" w:rsidDel="00000000" w:rsidP="00000000" w:rsidRDefault="00000000" w:rsidRPr="00000000" w14:paraId="0000004A">
      <w:pPr>
        <w:rPr/>
      </w:pPr>
      <w:r w:rsidDel="00000000" w:rsidR="00000000" w:rsidRPr="00000000">
        <w:rPr>
          <w:rtl w:val="0"/>
        </w:rPr>
        <w:t xml:space="preserve">The next prompt in the chain will take this dossier and produce, in sequence: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Pass 2: Persona map</w:t>
      </w:r>
      <w:r w:rsidDel="00000000" w:rsidR="00000000" w:rsidRPr="00000000">
        <w:rPr>
          <w:rtl w:val="0"/>
        </w:rPr>
        <w:t xml:space="preserve"> — the business head as primary persona, plus 4–6 secondary personas across their org, with each persona's daily mental model articulated in their own voice.</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Pass 3: Pain point inventory</w:t>
      </w:r>
      <w:r w:rsidDel="00000000" w:rsidR="00000000" w:rsidRPr="00000000">
        <w:rPr>
          <w:rtl w:val="0"/>
        </w:rPr>
        <w:t xml:space="preserve"> — every documented or strongly inferred pain point, mapped to a persona and to an interaction signal Fluid CX could surface.</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Pass 4: MVP scope</w:t>
      </w:r>
      <w:r w:rsidDel="00000000" w:rsidR="00000000" w:rsidRPr="00000000">
        <w:rPr>
          <w:rtl w:val="0"/>
        </w:rPr>
        <w:t xml:space="preserve"> — the minimum set of capabilities Fluid CX must deliver in an 8–12 week pilot to demonstrate transformative value to this business head, including the specific signals to surface, the dashboard surfaces, the alerts, the integration points, and the success metrics.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Therefore the dossier must be structured to flow directly into persona construction. Concretely: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Every stakeholder named in Clusters B, D, and E should be named with enough specificity (title, org context, day-to-day responsibilities) that a persona can be built on top of it.</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Every pain point named in Clusters A, C, D, and E should be tagged with which interaction channel it shows up in (voice, chat, email, complaint, social, partner-portal, NPCI dispute queue).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Every "signal" named in Cluster G should be tied to a specific decision and a specific time-to-decision improvement.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4k0bxfg1sr8y" w:id="14"/>
      <w:bookmarkEnd w:id="14"/>
      <w:r w:rsidDel="00000000" w:rsidR="00000000" w:rsidRPr="00000000">
        <w:rPr>
          <w:rtl w:val="0"/>
        </w:rPr>
        <w:t xml:space="preserve">6. Tone and posture for the research</w:t>
      </w:r>
    </w:p>
    <w:p w:rsidR="00000000" w:rsidDel="00000000" w:rsidP="00000000" w:rsidRDefault="00000000" w:rsidRPr="00000000" w14:paraId="00000058">
      <w:pPr>
        <w:rPr/>
      </w:pPr>
      <w:r w:rsidDel="00000000" w:rsidR="00000000" w:rsidRPr="00000000">
        <w:rPr>
          <w:rtl w:val="0"/>
        </w:rPr>
        <w:t xml:space="preserve">Sober, evidence-led, founder-grade. Not breathless, not marketing. The dossier will be read by the founder and used to build a sales conversation with a senior banking executive who knows this business better than any researcher could from public sources alone. Therefore: be honest about what is known, what is inferred, and what is unknown. The unknowns are as valuable as the knowns, because they tell us where to ask in the live conversation.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End of prompt.</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