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gxameif0742" w:id="0"/>
      <w:bookmarkEnd w:id="0"/>
      <w:r w:rsidDel="00000000" w:rsidR="00000000" w:rsidRPr="00000000">
        <w:rPr>
          <w:rtl w:val="0"/>
        </w:rPr>
        <w:t xml:space="preserve">Stage 2 — System Capabilities &amp; Data Model (Fluid CX × FASTag MVP build)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 • </w:t>
      </w:r>
      <w:r w:rsidDel="00000000" w:rsidR="00000000" w:rsidRPr="00000000">
        <w:rPr>
          <w:b w:val="1"/>
          <w:bCs w:val="1"/>
          <w:rtl w:val="0"/>
        </w:rPr>
        <w:t xml:space="preserve">Model recommended:</w:t>
      </w:r>
      <w:r w:rsidDel="00000000" w:rsidR="00000000" w:rsidRPr="00000000">
        <w:rPr>
          <w:rtl w:val="0"/>
        </w:rPr>
        <w:t xml:space="preserve"> Opus (high-judgment pass — this stage sets contracts the next 5 stages inherit) </w:t>
      </w:r>
      <w:r w:rsidDel="00000000" w:rsidR="00000000" w:rsidRPr="00000000">
        <w:rPr>
          <w:b w:val="1"/>
          <w:bCs w:val="1"/>
          <w:rtl w:val="0"/>
        </w:rPr>
        <w:t xml:space="preserve">Reads 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w:t>
      </w:r>
      <w:r w:rsidDel="00000000" w:rsidR="00000000" w:rsidRPr="00000000">
        <w:rPr>
          <w:b w:val="1"/>
          <w:bCs w:val="1"/>
          <w:rtl w:val="0"/>
        </w:rPr>
        <w:t xml:space="preserve">Writes to:</w:t>
      </w:r>
      <w:r w:rsidDel="00000000" w:rsidR="00000000" w:rsidRPr="00000000">
        <w:rPr>
          <w:rtl w:val="0"/>
        </w:rPr>
        <w:t xml:space="preserve"> Output inline to chat. User will save and upload manually to Drive. </w:t>
      </w:r>
      <w:r w:rsidDel="00000000" w:rsidR="00000000" w:rsidRPr="00000000">
        <w:rPr>
          <w:b w:val="1"/>
          <w:bCs w:val="1"/>
          <w:rtl w:val="0"/>
        </w:rPr>
        <w:t xml:space="preserve">Suggested output filename when saving: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Stage2_Capabilities_DataModel_v1.md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7kov5jbs4lh" w:id="1"/>
      <w:bookmarkEnd w:id="1"/>
      <w:r w:rsidDel="00000000" w:rsidR="00000000" w:rsidRPr="00000000">
        <w:rPr>
          <w:rtl w:val="0"/>
        </w:rPr>
        <w:t xml:space="preserve">0. Universal Multi-Stage I/O Scaffolding</w:t>
      </w:r>
    </w:p>
    <w:p w:rsidR="00000000" w:rsidDel="00000000" w:rsidP="00000000" w:rsidRDefault="00000000" w:rsidRPr="00000000" w14:paraId="00000006">
      <w:pPr>
        <w:rPr/>
      </w:pPr>
      <w:r w:rsidDel="00000000" w:rsidR="00000000" w:rsidRPr="00000000">
        <w:rPr>
          <w:rtl w:val="0"/>
        </w:rPr>
        <w:t xml:space="preserve">This is Stage 2 of an 8-stage prompt chain building an MVP for Fluid CX × FASTag. Each stage reads prior stage outputs from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Fonts w:ascii="Arial Unicode MS" w:cs="Arial Unicode MS" w:eastAsia="Arial Unicode MS" w:hAnsi="Arial Unicode MS"/>
          <w:rtl w:val="0"/>
        </w:rPr>
        <w:t xml:space="preserve"> and produces a single artifact. The artifacts daisy-chain: Stage 0 (Research) → Stage 1 (Personas) → Stage 2 (Capabilities &amp; Data Model — this one) → Stage 3 (UI Spec) → Stage 4 (UX Blueprint) → Stage 5 (Frontend Architecture) → Stage 6 (Mock Data) → Stage 7 (Prototype Build) → Stage 8+ (Iteration).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Output handling for this stage:</w:t>
      </w:r>
      <w:r w:rsidDel="00000000" w:rsidR="00000000" w:rsidRPr="00000000">
        <w:rPr>
          <w:rtl w:val="0"/>
        </w:rPr>
        <w:t xml:space="preserve"> write the full output inline in chat. Do not attempt to write to Drive (Drive writes have been unreliable in this environment; the user will save and upload manually).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4n4je6nfufh3" w:id="2"/>
      <w:bookmarkEnd w:id="2"/>
      <w:r w:rsidDel="00000000" w:rsidR="00000000" w:rsidRPr="00000000">
        <w:rPr>
          <w:rtl w:val="0"/>
        </w:rPr>
        <w:t xml:space="preserve">1. Read these files before doing anything else</w:t>
      </w:r>
    </w:p>
    <w:p w:rsidR="00000000" w:rsidDel="00000000" w:rsidP="00000000" w:rsidRDefault="00000000" w:rsidRPr="00000000" w14:paraId="0000000C">
      <w:pPr>
        <w:rPr/>
      </w:pPr>
      <w:r w:rsidDel="00000000" w:rsidR="00000000" w:rsidRPr="00000000">
        <w:rPr>
          <w:rtl w:val="0"/>
        </w:rPr>
        <w:t xml:space="preserve">Read these files from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in this order, in full: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Stage0_FASTag_Issuer_Bank_Dossier_v1.md</w:t>
      </w:r>
      <w:r w:rsidDel="00000000" w:rsidR="00000000" w:rsidRPr="00000000">
        <w:rPr>
          <w:rtl w:val="0"/>
        </w:rPr>
        <w:t xml:space="preserve"> — the research dossier. Industry primer, complaint taxonomy, contact centre reality, technology landscape, regulatory clock. The evidence base for every detection assumption you make.</w:t>
      </w:r>
    </w:p>
    <w:p w:rsidR="00000000" w:rsidDel="00000000" w:rsidP="00000000" w:rsidRDefault="00000000" w:rsidRPr="00000000" w14:paraId="0000000F">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Stage1_Persona_Definition_v1.md</w:t>
      </w:r>
      <w:r w:rsidDel="00000000" w:rsidR="00000000" w:rsidRPr="00000000">
        <w:rPr>
          <w:rtl w:val="0"/>
        </w:rPr>
        <w:t xml:space="preserve"> — the persona file. Head of Business and Customer Operations Head, with their Daily Friction, Questions They Cannot Answer Today, Vocabulary, Anti-patterns, Trust Threshold, and the Dashboard Signal Mapping Table. Every Signal ID (FCX-FT-S###) in that table becomes a row in your Signal Library 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a file is named slightly differently in Drive (e.g. without the version suffix), match on prefix. If a required file cannot be found, stop and report what's missing. Do not invent prior stages.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3hrqgchvm95g" w:id="3"/>
      <w:bookmarkEnd w:id="3"/>
      <w:r w:rsidDel="00000000" w:rsidR="00000000" w:rsidRPr="00000000">
        <w:rPr>
          <w:rtl w:val="0"/>
        </w:rPr>
        <w:t xml:space="preserve">2. Role</w:t>
      </w:r>
    </w:p>
    <w:p w:rsidR="00000000" w:rsidDel="00000000" w:rsidP="00000000" w:rsidRDefault="00000000" w:rsidRPr="00000000" w14:paraId="00000015">
      <w:pPr>
        <w:rPr/>
      </w:pPr>
      <w:r w:rsidDel="00000000" w:rsidR="00000000" w:rsidRPr="00000000">
        <w:rPr>
          <w:rtl w:val="0"/>
        </w:rPr>
        <w:t xml:space="preserve">You are a combined expert across four domains.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Fluid CX Platform Architecture.</w:t>
      </w:r>
      <w:r w:rsidDel="00000000" w:rsidR="00000000" w:rsidRPr="00000000">
        <w:rPr>
          <w:rtl w:val="0"/>
        </w:rPr>
        <w:t xml:space="preserve"> You understand how Fluid CX ingests 100% of customer interactions (voice, chat, email, complaints, social, 1033-routed escalations, internal tickets), runs them through a transcription + NLU + classification pipeline, baselines them against historical patterns, detects signals and anomalies, and routes prioritised action to specific roles. You know what is computable from conversation data alone vs. what requires joining to non-conversation systems (CRM, NPCI switch, wallet ledger, NETC mapper).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Conversation Intelligence Engineering.</w:t>
      </w:r>
      <w:r w:rsidDel="00000000" w:rsidR="00000000" w:rsidRPr="00000000">
        <w:rPr>
          <w:rtl w:val="0"/>
        </w:rPr>
        <w:t xml:space="preserve"> You understand the practical engineering of signal detection from voice and text: ASR error rates in Indian languages, keyword vs. embedding-based intent classification, sentiment vs. emotion vs. effort, topic modelling vs. taxonomic classification, anomaly detection on time-series of categorical signals, evidence-trail design for regulatory defensibility.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Banking Data Models.</w:t>
      </w:r>
      <w:r w:rsidDel="00000000" w:rsidR="00000000" w:rsidRPr="00000000">
        <w:rPr>
          <w:rtl w:val="0"/>
        </w:rPr>
        <w:t xml:space="preserve"> You understand how a FASTag operation's data actually sits: an interaction record schema, a customer/tag/VRN graph, a plaza/acquirer/dispute relationship, an Internal Ombudsman case schema, the join keys that exist (Tag ID, VRN, customer ID, CRM case ID, NPCI reference ID) and the join keys that don't (the messy human reality of half-resolved escalations).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Regulatory Defensibility.</w:t>
      </w:r>
      <w:r w:rsidDel="00000000" w:rsidR="00000000" w:rsidRPr="00000000">
        <w:rPr>
          <w:rtl w:val="0"/>
        </w:rPr>
        <w:t xml:space="preserve"> You know what evidence the Internal Ombudsman, the Principal Nodal Officer, and the RBI Ombudsman office actually want in a case file under the IO Directions 2026 and RB-IOS 2026. You design data models that produce IO-defensible evidence packs by construction, not as an afterthought.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think like a platform architect specifying contracts, not like a consultant writing capabilities decks.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vuirg3e7h3y" w:id="4"/>
      <w:bookmarkEnd w:id="4"/>
      <w:r w:rsidDel="00000000" w:rsidR="00000000" w:rsidRPr="00000000">
        <w:rPr>
          <w:rtl w:val="0"/>
        </w:rPr>
        <w:t xml:space="preserve">3. Inherit the locked project context from Stage 1</w:t>
      </w:r>
    </w:p>
    <w:p w:rsidR="00000000" w:rsidDel="00000000" w:rsidP="00000000" w:rsidRDefault="00000000" w:rsidRPr="00000000" w14:paraId="00000023">
      <w:pPr>
        <w:rPr/>
      </w:pPr>
      <w:r w:rsidDel="00000000" w:rsidR="00000000" w:rsidRPr="00000000">
        <w:rPr>
          <w:rtl w:val="0"/>
        </w:rPr>
        <w:t xml:space="preserve">Re-state and use exactly the locked project context defined in Stage 1 §3 (Vahan Bank, Setu FASTag, 18M tag-in-force, 800K monthly issuance, 22 lakh daily NETC transactions, 65,000 daily FASTag contact-centre interactions, Trinetra/Anandam/DigitalReach BPO partners, Saksham Recovery, Genesys Cloud + Ozonetel CCaaS, Salesforce CRM, channel mix). All capacity, throughput, and storage calculations in this stage must reference these constants.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Also re-state and respect the </w:t>
      </w:r>
      <w:r w:rsidDel="00000000" w:rsidR="00000000" w:rsidRPr="00000000">
        <w:rPr>
          <w:b w:val="1"/>
          <w:bCs w:val="1"/>
          <w:rtl w:val="0"/>
        </w:rPr>
        <w:t xml:space="preserve">product boundary contract</w:t>
      </w:r>
      <w:r w:rsidDel="00000000" w:rsidR="00000000" w:rsidRPr="00000000">
        <w:rPr>
          <w:rtl w:val="0"/>
        </w:rPr>
        <w:t xml:space="preserve"> from Stage 1 §4. No capability in this stage may cross those boundaries.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6e97f3qcyrsk" w:id="5"/>
      <w:bookmarkEnd w:id="5"/>
      <w:r w:rsidDel="00000000" w:rsidR="00000000" w:rsidRPr="00000000">
        <w:rPr>
          <w:rtl w:val="0"/>
        </w:rPr>
        <w:t xml:space="preserve">4. Task</w:t>
      </w:r>
    </w:p>
    <w:p w:rsidR="00000000" w:rsidDel="00000000" w:rsidP="00000000" w:rsidRDefault="00000000" w:rsidRPr="00000000" w14:paraId="00000029">
      <w:pPr>
        <w:rPr/>
      </w:pPr>
      <w:r w:rsidDel="00000000" w:rsidR="00000000" w:rsidRPr="00000000">
        <w:rPr>
          <w:rtl w:val="0"/>
        </w:rPr>
        <w:t xml:space="preserve">Produce the System Capabilities &amp; Data Model artifact for the Setu FASTag MVP. This artifact specifies: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Signal Library</w:t>
      </w:r>
      <w:r w:rsidDel="00000000" w:rsidR="00000000" w:rsidRPr="00000000">
        <w:rPr>
          <w:rtl w:val="0"/>
        </w:rPr>
        <w:t xml:space="preserve"> — every signal Fluid CX must detect, with detection logic, thresholds, and provenance.</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Capability Matrix</w:t>
      </w:r>
      <w:r w:rsidDel="00000000" w:rsidR="00000000" w:rsidRPr="00000000">
        <w:rPr>
          <w:rtl w:val="0"/>
        </w:rPr>
        <w:t xml:space="preserve"> — what the platform must do at each layer (Ingest, Analyze, Act) to make those signals real.</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Data Model</w:t>
      </w:r>
      <w:r w:rsidDel="00000000" w:rsidR="00000000" w:rsidRPr="00000000">
        <w:rPr>
          <w:rtl w:val="0"/>
        </w:rPr>
        <w:t xml:space="preserve"> — the entities, the relationships, the evidence trail schema, and the join points to non-conversation systems.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Provenance &amp; Trust Spec</w:t>
      </w:r>
      <w:r w:rsidDel="00000000" w:rsidR="00000000" w:rsidRPr="00000000">
        <w:rPr>
          <w:rtl w:val="0"/>
        </w:rPr>
        <w:t xml:space="preserve"> — what gets surfaced to the persona alongside every signal so they trust it.</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The </w:t>
      </w:r>
      <w:r w:rsidDel="00000000" w:rsidR="00000000" w:rsidRPr="00000000">
        <w:rPr>
          <w:b w:val="1"/>
          <w:bCs w:val="1"/>
          <w:rtl w:val="0"/>
        </w:rPr>
        <w:t xml:space="preserve">Out-of-Scope Register</w:t>
      </w:r>
      <w:r w:rsidDel="00000000" w:rsidR="00000000" w:rsidRPr="00000000">
        <w:rPr>
          <w:rtl w:val="0"/>
        </w:rPr>
        <w:t xml:space="preserve"> — every persona need from Stage 1 that this MVP explicitly does not address, and why.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output of this stage is the contract that Stage 3 (UI Spec) and Stage 5 (Frontend Architecture) build to. Every later stage will reference signals by their Signal ID. Every later stage will assume the data model defined here is real.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3fquy59t2pod" w:id="6"/>
      <w:bookmarkEnd w:id="6"/>
      <w:r w:rsidDel="00000000" w:rsidR="00000000" w:rsidRPr="00000000">
        <w:rPr>
          <w:rtl w:val="0"/>
        </w:rPr>
        <w:t xml:space="preserve">5. Output structure — write exactly these sections in this order</w:t>
      </w:r>
    </w:p>
    <w:p w:rsidR="00000000" w:rsidDel="00000000" w:rsidP="00000000" w:rsidRDefault="00000000" w:rsidRPr="00000000" w14:paraId="00000035">
      <w:pPr>
        <w:pStyle w:val="Heading3"/>
        <w:rPr/>
      </w:pPr>
      <w:bookmarkStart w:colFirst="0" w:colLast="0" w:name="_c5x7h45snqp4" w:id="7"/>
      <w:bookmarkEnd w:id="7"/>
      <w:r w:rsidDel="00000000" w:rsidR="00000000" w:rsidRPr="00000000">
        <w:rPr>
          <w:rtl w:val="0"/>
        </w:rPr>
        <w:t xml:space="preserve">Section A. Executive Synthesis (300–400 words)</w:t>
      </w:r>
    </w:p>
    <w:p w:rsidR="00000000" w:rsidDel="00000000" w:rsidP="00000000" w:rsidRDefault="00000000" w:rsidRPr="00000000" w14:paraId="00000036">
      <w:pPr>
        <w:rPr/>
      </w:pPr>
      <w:r w:rsidDel="00000000" w:rsidR="00000000" w:rsidRPr="00000000">
        <w:rPr>
          <w:rtl w:val="0"/>
        </w:rPr>
        <w:t xml:space="preserve">Three things, in order: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What this MVP makes computable from conversation data alone, that the Head of Business and Customer Operations Head cannot see today.</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What this MVP deliberately does not attempt (and points to the Out-of-Scope Register).</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The trust model — why a senior banker should believe a signal coming off this platform.</w:t>
      </w:r>
    </w:p>
    <w:p w:rsidR="00000000" w:rsidDel="00000000" w:rsidP="00000000" w:rsidRDefault="00000000" w:rsidRPr="00000000" w14:paraId="0000003B">
      <w:pPr>
        <w:pStyle w:val="Heading3"/>
        <w:rPr/>
      </w:pPr>
      <w:bookmarkStart w:colFirst="0" w:colLast="0" w:name="_7acu66kz0mtn" w:id="8"/>
      <w:bookmarkEnd w:id="8"/>
      <w:r w:rsidDel="00000000" w:rsidR="00000000" w:rsidRPr="00000000">
        <w:rPr>
          <w:rtl w:val="0"/>
        </w:rPr>
        <w:t xml:space="preserve">Section B. Signal Library</w:t>
      </w:r>
    </w:p>
    <w:p w:rsidR="00000000" w:rsidDel="00000000" w:rsidP="00000000" w:rsidRDefault="00000000" w:rsidRPr="00000000" w14:paraId="0000003C">
      <w:pPr>
        <w:rPr/>
      </w:pPr>
      <w:r w:rsidDel="00000000" w:rsidR="00000000" w:rsidRPr="00000000">
        <w:rPr>
          <w:rtl w:val="0"/>
        </w:rPr>
        <w:t xml:space="preserve">For every Signal ID (FCX-FT-S###) inherited from Stage 1's Dashboard Signal Mapping Table, write one Signal Specification using this exact template. If Stage 1 produced 25–40 signals, this section will have 25–40 entries. Do not consolidate or drop signals without explicit justification.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SIGNAL FCX-FT-S###  —  [Signal Name]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What it detects (one sentence, persona-language):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[Use the persona vocabulary from Stage 1. The signal name should sound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like something a Head of Business or Customer Operations Head would say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a meeting.]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Persona consumer(s):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[HoB / COH / both]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Why it matters (one sentence, decision-language):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decision this signal enables. Not "improve CX" — "decide whether to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pause the Trinetra Hyderabad night shift onboarding cohort before the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afternoon toll rush."]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Detection logic: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Input channels: [voice / chat / email / social / 1033 / complaint / internal-ticket — one or more]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Detection method: [keyword + intent classifier / sentiment delta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topic-classification anomaly / sequence pattern across calls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cross-channel correlation / complaint-tag rollup]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Trigger condition: [the explicit rule — e.g. "interaction tagged with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intent='AVC mismatch dispute' AND plaza_id is in the top-10 by volume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AND count(interactions) in last 60 min exceeds baseline +2σ"]</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Baseline / threshold: [how the threshold is set — rolling 30-day baseline,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segment-level percentile, fixed regulatory threshold (e.g. RB-IOS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30-day reply window), or other]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False positive controls: [what stops this signal from firing on noise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minimum sample size, sustained-duration requirement, cross-channel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corroboration, human-confirm step]</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Provenance — what the persona sees alongside the signal: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Interaction count contributing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Time window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Top 3 representative interaction snippets (de-identified)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Confidence band (high / medium / low) and reason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Link to drill-down evidence pack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Time-to-insight: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[live &lt;5min / near-real-time &lt;30min / hourly / daily-brief / weekly / monthly]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Surface in dashboard: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[alert / trend / daily-brief / drill-down / heatmap / action-queue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evidence-pack — must match Stage 1's mapping]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Downstream action owner: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[Role inside Vahan Bank that executes — HoB, COH, Trinetra supervisor,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NPCI dispute team, IO office, Marketing, Tech/CIO, etc.]</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Data dependencies (non-conversation):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[None / NPCI switch reference / wallet ledger event / NETC mapper lookup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Salesforce case status / etc. — and whether the dependency is in-scope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for the MVP join or is a future enhancement]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Notes / known limits: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[Anything the persona needs to know about what this signal cannot tell them.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Honest framing. Examples: "Does not distinguish acquirer-side cause from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issuer-side cause without NPCI dispute join." "Sensitive to ASR errors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on Tamil and Telugu — flagged when confidence is medium or below."]</w:t>
      </w:r>
    </w:p>
    <w:p w:rsidR="00000000" w:rsidDel="00000000" w:rsidP="00000000" w:rsidRDefault="00000000" w:rsidRPr="00000000" w14:paraId="0000009D">
      <w:pPr>
        <w:pStyle w:val="Heading3"/>
        <w:rPr/>
      </w:pPr>
      <w:bookmarkStart w:colFirst="0" w:colLast="0" w:name="_po0f26v5s3di" w:id="9"/>
      <w:bookmarkEnd w:id="9"/>
      <w:r w:rsidDel="00000000" w:rsidR="00000000" w:rsidRPr="00000000">
        <w:rPr>
          <w:rtl w:val="0"/>
        </w:rPr>
        <w:t xml:space="preserve">Section C. Capability Matrix</w:t>
      </w:r>
    </w:p>
    <w:p w:rsidR="00000000" w:rsidDel="00000000" w:rsidP="00000000" w:rsidRDefault="00000000" w:rsidRPr="00000000" w14:paraId="0000009E">
      <w:pPr>
        <w:rPr/>
      </w:pPr>
      <w:r w:rsidDel="00000000" w:rsidR="00000000" w:rsidRPr="00000000">
        <w:rPr>
          <w:rtl w:val="0"/>
        </w:rPr>
        <w:t xml:space="preserve">A table mapping every Signal ID to the platform layer that produces it. Three layers: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Signals that depend 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ASR — multilingual (English, Hindi, Marathi, Tamil, Telugu, Kannada, Gujarati at minimum) with confidence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Channel-aware text normalization (chat, email, social, 1033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PII detection and redaction (Tag ID, VRN, customer phone, account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Cross-channel customer identity resolution (Tag ID + phone + CRM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rtl w:val="0"/>
              </w:rPr>
              <w:t xml:space="preserve">Intent classification — FASTag taxonomy (≥30 intents derived from complaint taxonomy in Stage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Sentiment, emotion, and customer-effort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Compliance/script-adherence detection (trilingual rule, mis-promise of TAT, recovery agent conduct)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Anomaly detection on rolling baselines (per-plaza, per-acquirer, per-BPO-site, per-channel)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Cross-channel pattern detection (call followed by social escalation within 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Evidence-pack assembly for IO/RB-IOS defensibility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Role-routed action queue with provenance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Alert prioritisation (severity × persona × time-of-day)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Daily/weekly brief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Trend and heatmap surfaces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Drill-down evidence pack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Add or remove rows as needed but keep the three-layer structure. Every Signal ID must appear in at least one row.</w:t>
      </w:r>
    </w:p>
    <w:p w:rsidR="00000000" w:rsidDel="00000000" w:rsidP="00000000" w:rsidRDefault="00000000" w:rsidRPr="00000000" w14:paraId="000000D2">
      <w:pPr>
        <w:pStyle w:val="Heading3"/>
        <w:rPr/>
      </w:pPr>
      <w:bookmarkStart w:colFirst="0" w:colLast="0" w:name="_465r5fqmdnun" w:id="10"/>
      <w:bookmarkEnd w:id="10"/>
      <w:r w:rsidDel="00000000" w:rsidR="00000000" w:rsidRPr="00000000">
        <w:rPr>
          <w:rtl w:val="0"/>
        </w:rPr>
        <w:t xml:space="preserve">Section D. Data Model</w:t>
      </w:r>
    </w:p>
    <w:p w:rsidR="00000000" w:rsidDel="00000000" w:rsidP="00000000" w:rsidRDefault="00000000" w:rsidRPr="00000000" w14:paraId="000000D3">
      <w:pPr>
        <w:pStyle w:val="Heading4"/>
        <w:rPr/>
      </w:pPr>
      <w:bookmarkStart w:colFirst="0" w:colLast="0" w:name="_j5oh8zpeou88" w:id="11"/>
      <w:bookmarkEnd w:id="11"/>
      <w:r w:rsidDel="00000000" w:rsidR="00000000" w:rsidRPr="00000000">
        <w:rPr>
          <w:rtl w:val="0"/>
        </w:rPr>
        <w:t xml:space="preserve">D.1 Core entities</w:t>
      </w:r>
    </w:p>
    <w:p w:rsidR="00000000" w:rsidDel="00000000" w:rsidP="00000000" w:rsidRDefault="00000000" w:rsidRPr="00000000" w14:paraId="000000D4">
      <w:pPr>
        <w:rPr/>
      </w:pPr>
      <w:r w:rsidDel="00000000" w:rsidR="00000000" w:rsidRPr="00000000">
        <w:rPr>
          <w:rtl w:val="0"/>
        </w:rPr>
        <w:t xml:space="preserve">Define each entity with its key fields. Use this template per entity: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ENTITY: [name]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Primary key: [field]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Key fields: [list]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Source system(s): [where the data lives in the bank — Genesys, Salesforce,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NPCI switch, wallet ledger, etc.]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Refresh cadence: [streaming / hourly / daily / on-demand]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Minimum entity set this MVP must define: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Interaction (one row per call/chat/email/social mention/ticket)</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Customer (one row per Vahan Bank FASTag customer)</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Tag (one row per FASTag — Tag ID is primary key)</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Vehicle (VRN, AVC class)</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Plaza (plaza ID, location, acquirer)</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Acquirer (acquirer bank)</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Dispute (one row per NPCI dispute or chargeback)</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Complaint Case (the bank's CRM/CMS case record)</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IO Case (the Internal Ombudsman case where applicable)</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Agent (contact-centre agent — name, BPO site, shift, language)</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BPO Site (Trinetra Hyderabad, Anandam Coimbatore, DigitalReach Bengaluru)</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Recovery Assignment (where Saksham Recovery is engaged)</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Signal Event (one row per signal firing — for audit and learning)</w:t>
      </w:r>
    </w:p>
    <w:p w:rsidR="00000000" w:rsidDel="00000000" w:rsidP="00000000" w:rsidRDefault="00000000" w:rsidRPr="00000000" w14:paraId="000000F1">
      <w:pPr>
        <w:pStyle w:val="Heading4"/>
        <w:rPr/>
      </w:pPr>
      <w:bookmarkStart w:colFirst="0" w:colLast="0" w:name="_75recq7onhbl" w:id="12"/>
      <w:bookmarkEnd w:id="12"/>
      <w:r w:rsidDel="00000000" w:rsidR="00000000" w:rsidRPr="00000000">
        <w:rPr>
          <w:rtl w:val="0"/>
        </w:rPr>
        <w:t xml:space="preserve">D.2 Relationships</w:t>
      </w:r>
    </w:p>
    <w:p w:rsidR="00000000" w:rsidDel="00000000" w:rsidP="00000000" w:rsidRDefault="00000000" w:rsidRPr="00000000" w14:paraId="000000F2">
      <w:pPr>
        <w:rPr/>
      </w:pPr>
      <w:r w:rsidDel="00000000" w:rsidR="00000000" w:rsidRPr="00000000">
        <w:rPr>
          <w:rtl w:val="0"/>
        </w:rPr>
        <w:t xml:space="preserve">A short relationship narrative (no diagram — text-based ER description that Stage 5 can translate to a schema). State which joins are clean (same primary key on both sides), which are fuzzy (require entity resolution), and which are aspirational (the bank doesn't reliably maintain them today).</w:t>
      </w:r>
    </w:p>
    <w:p w:rsidR="00000000" w:rsidDel="00000000" w:rsidP="00000000" w:rsidRDefault="00000000" w:rsidRPr="00000000" w14:paraId="000000F3">
      <w:pPr>
        <w:pStyle w:val="Heading4"/>
        <w:rPr/>
      </w:pPr>
      <w:bookmarkStart w:colFirst="0" w:colLast="0" w:name="_nncnrbtl2ild" w:id="13"/>
      <w:bookmarkEnd w:id="13"/>
      <w:r w:rsidDel="00000000" w:rsidR="00000000" w:rsidRPr="00000000">
        <w:rPr>
          <w:rtl w:val="0"/>
        </w:rPr>
        <w:t xml:space="preserve">D.3 Evidence Trail Schema</w:t>
      </w:r>
    </w:p>
    <w:p w:rsidR="00000000" w:rsidDel="00000000" w:rsidP="00000000" w:rsidRDefault="00000000" w:rsidRPr="00000000" w14:paraId="000000F4">
      <w:pPr>
        <w:rPr/>
      </w:pPr>
      <w:r w:rsidDel="00000000" w:rsidR="00000000" w:rsidRPr="00000000">
        <w:rPr>
          <w:rtl w:val="0"/>
        </w:rPr>
        <w:t xml:space="preserve">A dedicated sub-schema for the IO-defensibility evidence pack. Under the IO Directions 2026 and RB-IOS 2026, when an Internal Ombudsman or the RBI Ombudsman office requests a case file, the bank must produce a defensible record of what happened in every customer interaction.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Specify the Evidence Pack as a structured object containing: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All interactions on this Tag ID / Customer ID in the relevant window</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Full transcripts (with PII redaction toggle)</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Signal events that fired on these interactions</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Agent identity, BPO site, shift, language</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Compliance check outcomes (trilingual rule, TAT promises, recovery conduct)</w:t>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CRM case linkage</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NPCI dispute linkage if applicable</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Chain-of-custody metadata (when each artifact was produced, by which Fluid CX component, with which model version)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Evidence Pack is itself a Fluid CX product surface (an "Evidence Pack" dashboard tile available to the COH and the IO office), not just a backend artifact.</w:t>
      </w:r>
    </w:p>
    <w:p w:rsidR="00000000" w:rsidDel="00000000" w:rsidP="00000000" w:rsidRDefault="00000000" w:rsidRPr="00000000" w14:paraId="00000102">
      <w:pPr>
        <w:pStyle w:val="Heading4"/>
        <w:rPr/>
      </w:pPr>
      <w:bookmarkStart w:colFirst="0" w:colLast="0" w:name="_4trgr868xxv7" w:id="14"/>
      <w:bookmarkEnd w:id="14"/>
      <w:r w:rsidDel="00000000" w:rsidR="00000000" w:rsidRPr="00000000">
        <w:rPr>
          <w:rtl w:val="0"/>
        </w:rPr>
        <w:t xml:space="preserve">D.4 Join points to non-conversation systems</w:t>
      </w:r>
    </w:p>
    <w:p w:rsidR="00000000" w:rsidDel="00000000" w:rsidP="00000000" w:rsidRDefault="00000000" w:rsidRPr="00000000" w14:paraId="00000103">
      <w:pPr>
        <w:rPr/>
      </w:pPr>
      <w:r w:rsidDel="00000000" w:rsidR="00000000" w:rsidRPr="00000000">
        <w:rPr>
          <w:rtl w:val="0"/>
        </w:rPr>
        <w:t xml:space="preserve">A short list of the specific non-conversation data sources Fluid CX must read from to make certain signals work. For each, state: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Source system (Salesforce, Genesys metadata, NPCI switch, wallet ledger, NETC mapper)</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The signals that depend on it</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Whether the join is in-scope for the MVP or a future enhancement</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The failure mode if the join is missing (the signal still works on conversation data alone, but with less precision / cannot distinguish issuer-cause from acquirer-cause / etc.)</w:t>
      </w:r>
    </w:p>
    <w:p w:rsidR="00000000" w:rsidDel="00000000" w:rsidP="00000000" w:rsidRDefault="00000000" w:rsidRPr="00000000" w14:paraId="00000109">
      <w:pPr>
        <w:pStyle w:val="Heading3"/>
        <w:rPr/>
      </w:pPr>
      <w:bookmarkStart w:colFirst="0" w:colLast="0" w:name="_kqrhcs88ea7q" w:id="15"/>
      <w:bookmarkEnd w:id="15"/>
      <w:r w:rsidDel="00000000" w:rsidR="00000000" w:rsidRPr="00000000">
        <w:rPr>
          <w:rtl w:val="0"/>
        </w:rPr>
        <w:t xml:space="preserve">Section E. Provenance &amp; Trust Spec</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A short standalone spec (≤300 words) describing what the platform must surface to a Head of Business or Customer Operations Head alongside every signal, so they will act on it. Reference the Trust Threshold sections from Stage 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Cover: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Interaction count and time window on the face of every alert</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Confidence band with a one-line reason</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Three representative de-identified interaction snippets, accessible in one click</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Model and version stamp on the underlying detection (auditable)</w:t>
      </w:r>
    </w:p>
    <w:p w:rsidR="00000000" w:rsidDel="00000000" w:rsidP="00000000" w:rsidRDefault="00000000" w:rsidRPr="00000000" w14:paraId="00000112">
      <w:pPr>
        <w:numPr>
          <w:ilvl w:val="0"/>
          <w:numId w:val="1"/>
        </w:numPr>
        <w:ind w:left="720" w:hanging="360"/>
      </w:pPr>
      <w:r w:rsidDel="00000000" w:rsidR="00000000" w:rsidRPr="00000000">
        <w:rPr>
          <w:rFonts w:ascii="Arial Unicode MS" w:cs="Arial Unicode MS" w:eastAsia="Arial Unicode MS" w:hAnsi="Arial Unicode MS"/>
          <w:rtl w:val="0"/>
        </w:rPr>
        <w:t xml:space="preserve">Drill-down evidence pack reachable in ≤2 clicks from any signal</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Clear labelling of </w:t>
      </w:r>
      <w:r w:rsidDel="00000000" w:rsidR="00000000" w:rsidRPr="00000000">
        <w:rPr>
          <w:rFonts w:ascii="Roboto Mono" w:cs="Roboto Mono" w:eastAsia="Roboto Mono" w:hAnsi="Roboto Mono"/>
          <w:color w:val="188038"/>
          <w:rtl w:val="0"/>
        </w:rPr>
        <w:t xml:space="preserve">[INFERRED]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[OBSERVED]</w:t>
      </w:r>
      <w:r w:rsidDel="00000000" w:rsidR="00000000" w:rsidRPr="00000000">
        <w:rPr>
          <w:rtl w:val="0"/>
        </w:rPr>
        <w:t xml:space="preserve"> on every metric</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section is what makes the platform demonstrably different from a generic AI dashboard.</w:t>
      </w:r>
    </w:p>
    <w:p w:rsidR="00000000" w:rsidDel="00000000" w:rsidP="00000000" w:rsidRDefault="00000000" w:rsidRPr="00000000" w14:paraId="00000116">
      <w:pPr>
        <w:pStyle w:val="Heading3"/>
        <w:rPr/>
      </w:pPr>
      <w:bookmarkStart w:colFirst="0" w:colLast="0" w:name="_fn5ir3rxgwhp" w:id="16"/>
      <w:bookmarkEnd w:id="16"/>
      <w:r w:rsidDel="00000000" w:rsidR="00000000" w:rsidRPr="00000000">
        <w:rPr>
          <w:rtl w:val="0"/>
        </w:rPr>
        <w:t xml:space="preserve">Section F. Out-of-Scope Register</w:t>
      </w:r>
    </w:p>
    <w:p w:rsidR="00000000" w:rsidDel="00000000" w:rsidP="00000000" w:rsidRDefault="00000000" w:rsidRPr="00000000" w14:paraId="00000117">
      <w:pPr>
        <w:rPr/>
      </w:pPr>
      <w:r w:rsidDel="00000000" w:rsidR="00000000" w:rsidRPr="00000000">
        <w:rPr>
          <w:rtl w:val="0"/>
        </w:rPr>
        <w:t xml:space="preserve">A table of every Stage 1 persona need that this MVP does not address, and why. Three categories: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Persona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Future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[Need from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[Gap — non-conversation data]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[Future enhancement]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[One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[What would unlock it later]</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Every row in Stage 1's Dashboard Signal Mapping Table that was marked as a gap or out-of-scope must appear here. Plus anything Stage 2 has concluded is not feasible in MVP timeline even if Stage 1 didn't flag it.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This register is what protects the demo: the user can show it to a senior banker as evidence that the team understands its own scope honestly.</w:t>
      </w:r>
    </w:p>
    <w:p w:rsidR="00000000" w:rsidDel="00000000" w:rsidP="00000000" w:rsidRDefault="00000000" w:rsidRPr="00000000" w14:paraId="00000125">
      <w:pPr>
        <w:pStyle w:val="Heading3"/>
        <w:rPr/>
      </w:pPr>
      <w:bookmarkStart w:colFirst="0" w:colLast="0" w:name="_fw6iwnnetvq6" w:id="17"/>
      <w:bookmarkEnd w:id="17"/>
      <w:r w:rsidDel="00000000" w:rsidR="00000000" w:rsidRPr="00000000">
        <w:rPr>
          <w:rtl w:val="0"/>
        </w:rPr>
        <w:t xml:space="preserve">Section G. MVP Build Constraints</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A short closing section (≤200 words) setting the constraints Stage 3 onward must respect: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Number of dashboard surfaces (alerts, trends, briefs, etc.) — a realistic count, not an unbounded inventory</w:t>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Persona dashboard scope: one primary surface per persona, plus shared surfaces both can access</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Mock-data realism requirements for Stage 6 (volume per day, signal frequency, language mix, channel mix — pulled from the locked context in §3)</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Prototype technical constraints for Stage 7 (single-file React JSX artifact, Recharts + lucide-react, no external API calls except simulated, must run as a Claude Artifact preview)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edjk8pbqylw9" w:id="18"/>
      <w:bookmarkEnd w:id="18"/>
      <w:r w:rsidDel="00000000" w:rsidR="00000000" w:rsidRPr="00000000">
        <w:rPr>
          <w:rtl w:val="0"/>
        </w:rPr>
        <w:t xml:space="preserve">6. Output instructions</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Every Signal ID from Stage 1 must appear in Section B with a full Signal Specification. None may be silently dropped. If Stage 2 judges a signal infeasible, move it explicitly to the Out-of-Scope Register in Section F with reasoning.</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Use the persona vocabulary inherited from Stage 1. The signal names and the dashboard surface language must match how the Head of Business and Customer Operations Head actually talk.</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Mark inferences </w:t>
      </w:r>
      <w:r w:rsidDel="00000000" w:rsidR="00000000" w:rsidRPr="00000000">
        <w:rPr>
          <w:rFonts w:ascii="Roboto Mono" w:cs="Roboto Mono" w:eastAsia="Roboto Mono" w:hAnsi="Roboto Mono"/>
          <w:color w:val="188038"/>
          <w:rtl w:val="0"/>
        </w:rPr>
        <w:t xml:space="preserve">[INFERRED]</w:t>
      </w:r>
      <w:r w:rsidDel="00000000" w:rsidR="00000000" w:rsidRPr="00000000">
        <w:rPr>
          <w:rtl w:val="0"/>
        </w:rPr>
        <w:t xml:space="preserve"> inline. Every "this is how it works" claim that isn't anchored in the Stage 0 dossier or Stage 1 personas must wear that label.</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Respect the product boundary contract from Stage 1 §4. No capability in this stage may cross those boundaries.</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Honesty over coverage. A smaller signal library that is fully specified beats a longer one that is hand-wavy. If a signal cannot be specified with detection logic and thresholds, move it to Future Path in Section F.</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qgtop4zb984p" w:id="19"/>
      <w:bookmarkEnd w:id="19"/>
      <w:r w:rsidDel="00000000" w:rsidR="00000000" w:rsidRPr="00000000">
        <w:rPr>
          <w:rtl w:val="0"/>
        </w:rPr>
        <w:t xml:space="preserve">7. Output handling</w:t>
      </w:r>
    </w:p>
    <w:p w:rsidR="00000000" w:rsidDel="00000000" w:rsidP="00000000" w:rsidRDefault="00000000" w:rsidRPr="00000000" w14:paraId="00000137">
      <w:pPr>
        <w:rPr/>
      </w:pPr>
      <w:r w:rsidDel="00000000" w:rsidR="00000000" w:rsidRPr="00000000">
        <w:rPr>
          <w:rtl w:val="0"/>
        </w:rPr>
        <w:t xml:space="preserve">Write the full output inline in this chat response. The user will save the response to a markdown file and upload it manually to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Stage2_Capabilities_DataModel_v1.md</w:t>
      </w:r>
      <w:r w:rsidDel="00000000" w:rsidR="00000000" w:rsidRPr="00000000">
        <w:rPr>
          <w:rtl w:val="0"/>
        </w:rPr>
        <w:t xml:space="preserve"> (incrementing the version if the file already exists).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End of Stage 2 prompt.</w:t>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