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v41g65qpl7m" w:id="0"/>
      <w:bookmarkEnd w:id="0"/>
      <w:r w:rsidDel="00000000" w:rsidR="00000000" w:rsidRPr="00000000">
        <w:rPr>
          <w:rtl w:val="0"/>
        </w:rPr>
        <w:t xml:space="preserve">Stage 3 — UI Specification (Fluid CX × FASTag MVP build)</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v1 • </w:t>
      </w:r>
      <w:r w:rsidDel="00000000" w:rsidR="00000000" w:rsidRPr="00000000">
        <w:rPr>
          <w:b w:val="1"/>
          <w:bCs w:val="1"/>
          <w:rtl w:val="0"/>
        </w:rPr>
        <w:t xml:space="preserve">Model recommended:</w:t>
      </w:r>
      <w:r w:rsidDel="00000000" w:rsidR="00000000" w:rsidRPr="00000000">
        <w:rPr>
          <w:rtl w:val="0"/>
        </w:rPr>
        <w:t xml:space="preserve"> Sonnet (specification pass — high specificity, lower judgment ceiling than Stage 2) </w:t>
      </w:r>
      <w:r w:rsidDel="00000000" w:rsidR="00000000" w:rsidRPr="00000000">
        <w:rPr>
          <w:b w:val="1"/>
          <w:bCs w:val="1"/>
          <w:rtl w:val="0"/>
        </w:rPr>
        <w:t xml:space="preserve">Reads from: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 </w:t>
      </w:r>
      <w:r w:rsidDel="00000000" w:rsidR="00000000" w:rsidRPr="00000000">
        <w:rPr>
          <w:b w:val="1"/>
          <w:bCs w:val="1"/>
          <w:rtl w:val="0"/>
        </w:rPr>
        <w:t xml:space="preserve">Writes to:</w:t>
      </w:r>
      <w:r w:rsidDel="00000000" w:rsidR="00000000" w:rsidRPr="00000000">
        <w:rPr>
          <w:rtl w:val="0"/>
        </w:rPr>
        <w:t xml:space="preserve"> Output inline to chat. User will save and upload manually to Drive. </w:t>
      </w:r>
      <w:r w:rsidDel="00000000" w:rsidR="00000000" w:rsidRPr="00000000">
        <w:rPr>
          <w:b w:val="1"/>
          <w:bCs w:val="1"/>
          <w:rtl w:val="0"/>
        </w:rPr>
        <w:t xml:space="preserve">Suggested output filename when saving: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Stage3_UI_Spec_v1.md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255zys6moyhr" w:id="1"/>
      <w:bookmarkEnd w:id="1"/>
      <w:r w:rsidDel="00000000" w:rsidR="00000000" w:rsidRPr="00000000">
        <w:rPr>
          <w:rtl w:val="0"/>
        </w:rPr>
        <w:t xml:space="preserve">0. Universal Multi-Stage I/O Scaffolding</w:t>
      </w:r>
    </w:p>
    <w:p w:rsidR="00000000" w:rsidDel="00000000" w:rsidP="00000000" w:rsidRDefault="00000000" w:rsidRPr="00000000" w14:paraId="00000006">
      <w:pPr>
        <w:rPr/>
      </w:pPr>
      <w:r w:rsidDel="00000000" w:rsidR="00000000" w:rsidRPr="00000000">
        <w:rPr>
          <w:rtl w:val="0"/>
        </w:rPr>
        <w:t xml:space="preserve">This is Stage 3 of an 8-stage prompt chain building an MVP for Fluid CX × FASTag. Each stage reads prior stage outputs from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Fonts w:ascii="Arial Unicode MS" w:cs="Arial Unicode MS" w:eastAsia="Arial Unicode MS" w:hAnsi="Arial Unicode MS"/>
          <w:rtl w:val="0"/>
        </w:rPr>
        <w:t xml:space="preserve"> and produces a single artifact. The artifacts daisy-chain: Stage 0 (Research) → Stage 1 (Personas) → Stage 2 (Capabilities &amp; Data Model) → Stage 3 (UI Spec — this one) → Stage 4 (UX Blueprint) → Stage 5 (Frontend Architecture) → Stage 6 (Mock Data) → Stage 7 (Prototype Build) → Stage 8+ (Iteration).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Output handling for this stage:</w:t>
      </w:r>
      <w:r w:rsidDel="00000000" w:rsidR="00000000" w:rsidRPr="00000000">
        <w:rPr>
          <w:rtl w:val="0"/>
        </w:rPr>
        <w:t xml:space="preserve"> write the full output inline in chat. Do not attempt to write to Drive. The user will save and upload manually.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1xfqq4hmfq25" w:id="2"/>
      <w:bookmarkEnd w:id="2"/>
      <w:r w:rsidDel="00000000" w:rsidR="00000000" w:rsidRPr="00000000">
        <w:rPr>
          <w:rtl w:val="0"/>
        </w:rPr>
        <w:t xml:space="preserve">1. Read these files before doing anything else</w:t>
      </w:r>
    </w:p>
    <w:p w:rsidR="00000000" w:rsidDel="00000000" w:rsidP="00000000" w:rsidRDefault="00000000" w:rsidRPr="00000000" w14:paraId="0000000C">
      <w:pPr>
        <w:rPr/>
      </w:pPr>
      <w:r w:rsidDel="00000000" w:rsidR="00000000" w:rsidRPr="00000000">
        <w:rPr>
          <w:rtl w:val="0"/>
        </w:rPr>
        <w:t xml:space="preserve">Read these files from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 in this order, in full: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Stage0_FASTag_Issuer_Bank_Dossier_v1.md</w:t>
      </w:r>
      <w:r w:rsidDel="00000000" w:rsidR="00000000" w:rsidRPr="00000000">
        <w:rPr>
          <w:rtl w:val="0"/>
        </w:rPr>
        <w:t xml:space="preserve"> — the research dossier.</w:t>
      </w:r>
    </w:p>
    <w:p w:rsidR="00000000" w:rsidDel="00000000" w:rsidP="00000000" w:rsidRDefault="00000000" w:rsidRPr="00000000" w14:paraId="0000000F">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Stage1_Persona_Definition_v1.md</w:t>
      </w:r>
      <w:r w:rsidDel="00000000" w:rsidR="00000000" w:rsidRPr="00000000">
        <w:rPr>
          <w:rtl w:val="0"/>
        </w:rPr>
        <w:t xml:space="preserve"> — the persona file. Use the Daily Friction sections, the Vocabulary sections, the Anti-patterns, the Trust Threshold, and the "What this persona needs from their Fluid CX dashboard" statements as your primary inputs. The UI exists to serve these.</w:t>
      </w:r>
    </w:p>
    <w:p w:rsidR="00000000" w:rsidDel="00000000" w:rsidP="00000000" w:rsidRDefault="00000000" w:rsidRPr="00000000" w14:paraId="00000010">
      <w:pPr>
        <w:numPr>
          <w:ilvl w:val="0"/>
          <w:numId w:val="3"/>
        </w:numPr>
        <w:ind w:left="720" w:hanging="360"/>
      </w:pPr>
      <w:r w:rsidDel="00000000" w:rsidR="00000000" w:rsidRPr="00000000">
        <w:rPr>
          <w:rFonts w:ascii="Roboto Mono" w:cs="Roboto Mono" w:eastAsia="Roboto Mono" w:hAnsi="Roboto Mono"/>
          <w:b w:val="1"/>
          <w:bCs w:val="1"/>
          <w:color w:val="188038"/>
          <w:rtl w:val="0"/>
        </w:rPr>
        <w:t xml:space="preserve">Stage2_Capabilities_DataModel_v1.md</w:t>
      </w:r>
      <w:r w:rsidDel="00000000" w:rsidR="00000000" w:rsidRPr="00000000">
        <w:rPr>
          <w:rtl w:val="0"/>
        </w:rPr>
        <w:t xml:space="preserve"> — the Signal Library, Capability Matrix, Data Model, Provenance &amp; Trust Spec, Out-of-Scope Register, and MVP Build Constraints. Every signal you place on a UI surface must come from the Signal Library by Signal ID.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If any file is missing or named differently, stop and report. Do not invent prior stages.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6yhkozwrcbdx" w:id="3"/>
      <w:bookmarkEnd w:id="3"/>
      <w:r w:rsidDel="00000000" w:rsidR="00000000" w:rsidRPr="00000000">
        <w:rPr>
          <w:rtl w:val="0"/>
        </w:rPr>
        <w:t xml:space="preserve">2. Role</w:t>
      </w:r>
    </w:p>
    <w:p w:rsidR="00000000" w:rsidDel="00000000" w:rsidP="00000000" w:rsidRDefault="00000000" w:rsidRPr="00000000" w14:paraId="00000016">
      <w:pPr>
        <w:rPr/>
      </w:pPr>
      <w:r w:rsidDel="00000000" w:rsidR="00000000" w:rsidRPr="00000000">
        <w:rPr>
          <w:rtl w:val="0"/>
        </w:rPr>
        <w:t xml:space="preserve">You are a senior product designer for enterprise B2B SaaS in the Indian banking sector. You have shipped CX intelligence dashboards for global banks before. You know that senior banking buyers (SVP-and-above) do not use dashboards the way SaaS PMs imagine. They scan in the first 60 seconds, drill on one thing, and close the tab. You design for that reality.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think in three modes: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Information design.</w:t>
      </w:r>
      <w:r w:rsidDel="00000000" w:rsidR="00000000" w:rsidRPr="00000000">
        <w:rPr>
          <w:rtl w:val="0"/>
        </w:rPr>
        <w:t xml:space="preserve"> What is the smallest set of glanceable surfaces that answers each persona's top 5 questions in their workday?</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Behavioural design.</w:t>
      </w:r>
      <w:r w:rsidDel="00000000" w:rsidR="00000000" w:rsidRPr="00000000">
        <w:rPr>
          <w:rtl w:val="0"/>
        </w:rPr>
        <w:t xml:space="preserve"> What does the persona do </w:t>
      </w:r>
      <w:r w:rsidDel="00000000" w:rsidR="00000000" w:rsidRPr="00000000">
        <w:rPr>
          <w:i w:val="1"/>
          <w:iCs w:val="1"/>
          <w:rtl w:val="0"/>
        </w:rPr>
        <w:t xml:space="preserve">next</w:t>
      </w:r>
      <w:r w:rsidDel="00000000" w:rsidR="00000000" w:rsidRPr="00000000">
        <w:rPr>
          <w:rtl w:val="0"/>
        </w:rPr>
        <w:t xml:space="preserve"> after seeing each surface? Every surface must have a next action.</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Trust design.</w:t>
      </w:r>
      <w:r w:rsidDel="00000000" w:rsidR="00000000" w:rsidRPr="00000000">
        <w:rPr>
          <w:rtl w:val="0"/>
        </w:rPr>
        <w:t xml:space="preserve"> Senior banking buyers do not trust opaque AI. Every signal must wear its provenance. Confidence, sample size, time window, and three example interactions must be one click away from any number.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 design like a journalist designs a front page: most important thing top-left, second-most second, decreasing density as the eye moves down and right. You do not design like a SaaS PM designing a settings page.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sf4612helkl8" w:id="4"/>
      <w:bookmarkEnd w:id="4"/>
      <w:r w:rsidDel="00000000" w:rsidR="00000000" w:rsidRPr="00000000">
        <w:rPr>
          <w:rtl w:val="0"/>
        </w:rPr>
        <w:t xml:space="preserve">3. Inherit the locked project context</w:t>
      </w:r>
    </w:p>
    <w:p w:rsidR="00000000" w:rsidDel="00000000" w:rsidP="00000000" w:rsidRDefault="00000000" w:rsidRPr="00000000" w14:paraId="00000022">
      <w:pPr>
        <w:rPr/>
      </w:pPr>
      <w:r w:rsidDel="00000000" w:rsidR="00000000" w:rsidRPr="00000000">
        <w:rPr>
          <w:rtl w:val="0"/>
        </w:rPr>
        <w:t xml:space="preserve">Re-state and use the locked project context from Stage 1 §3 (Vahan Bank, Setu FASTag, 18M tag-in-force, 800K monthly issuance, 22 lakh daily NETC transactions, 65,000 daily FASTag contact-centre interactions, the three BPO sites, Saksham Recovery, Genesys + Ozonetel CCaaS, Salesforce CRM, channel mix Voice 58% / chat 22% / email 8% / social 5% / 1033 4% / branch 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Re-state and respect the product boundary contract from Stage 1 §4. No UI surface in this stage may simulate or imply a capability that crosses the boundary.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q6e52cwv4u45" w:id="5"/>
      <w:bookmarkEnd w:id="5"/>
      <w:r w:rsidDel="00000000" w:rsidR="00000000" w:rsidRPr="00000000">
        <w:rPr>
          <w:rtl w:val="0"/>
        </w:rPr>
        <w:t xml:space="preserve">4. Design principles for this MVP</w:t>
      </w:r>
    </w:p>
    <w:p w:rsidR="00000000" w:rsidDel="00000000" w:rsidP="00000000" w:rsidRDefault="00000000" w:rsidRPr="00000000" w14:paraId="00000028">
      <w:pPr>
        <w:rPr/>
      </w:pPr>
      <w:r w:rsidDel="00000000" w:rsidR="00000000" w:rsidRPr="00000000">
        <w:rPr>
          <w:rtl w:val="0"/>
        </w:rPr>
        <w:t xml:space="preserve">Before specifying any surface, lock these design principles. Every UI surface must satisfy them.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4"/>
        </w:numPr>
        <w:ind w:left="720" w:hanging="360"/>
      </w:pPr>
      <w:r w:rsidDel="00000000" w:rsidR="00000000" w:rsidRPr="00000000">
        <w:rPr>
          <w:b w:val="1"/>
          <w:bCs w:val="1"/>
          <w:rtl w:val="0"/>
        </w:rPr>
        <w:t xml:space="preserve">Anchor to a Daily Friction moment.</w:t>
      </w:r>
      <w:r w:rsidDel="00000000" w:rsidR="00000000" w:rsidRPr="00000000">
        <w:rPr>
          <w:rtl w:val="0"/>
        </w:rPr>
        <w:t xml:space="preserve"> Every surface in this spec must trace back to one or more Daily Friction moments named in Stage 1 — by persona, by moment. If a surface cannot name the moment it serves, it does not belong in this MVP.</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0"/>
          <w:numId w:val="4"/>
        </w:numPr>
        <w:ind w:left="720" w:hanging="360"/>
      </w:pPr>
      <w:r w:rsidDel="00000000" w:rsidR="00000000" w:rsidRPr="00000000">
        <w:rPr>
          <w:b w:val="1"/>
          <w:bCs w:val="1"/>
          <w:rtl w:val="0"/>
        </w:rPr>
        <w:t xml:space="preserve">One persona is primary on every screen.</w:t>
      </w:r>
      <w:r w:rsidDel="00000000" w:rsidR="00000000" w:rsidRPr="00000000">
        <w:rPr>
          <w:rtl w:val="0"/>
        </w:rPr>
        <w:t xml:space="preserve"> Either Head of Business or Customer Operations Head is the primary user of any given screen. Some screens are shared, but even shared screens declare a primary point of view. No "both personas equally" abdication.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E">
      <w:pPr>
        <w:numPr>
          <w:ilvl w:val="0"/>
          <w:numId w:val="4"/>
        </w:numPr>
        <w:ind w:left="720" w:hanging="360"/>
      </w:pPr>
      <w:r w:rsidDel="00000000" w:rsidR="00000000" w:rsidRPr="00000000">
        <w:rPr>
          <w:b w:val="1"/>
          <w:bCs w:val="1"/>
          <w:rtl w:val="0"/>
        </w:rPr>
        <w:t xml:space="preserve">Action before observation.</w:t>
      </w:r>
      <w:r w:rsidDel="00000000" w:rsidR="00000000" w:rsidRPr="00000000">
        <w:rPr>
          <w:rtl w:val="0"/>
        </w:rPr>
        <w:t xml:space="preserve"> Every primary surface leads with what the persona should </w:t>
      </w:r>
      <w:r w:rsidDel="00000000" w:rsidR="00000000" w:rsidRPr="00000000">
        <w:rPr>
          <w:i w:val="1"/>
          <w:iCs w:val="1"/>
          <w:rtl w:val="0"/>
        </w:rPr>
        <w:t xml:space="preserve">do</w:t>
      </w:r>
      <w:r w:rsidDel="00000000" w:rsidR="00000000" w:rsidRPr="00000000">
        <w:rPr>
          <w:rtl w:val="0"/>
        </w:rPr>
        <w:t xml:space="preserve"> — not with a chart. Charts and trends sit below the action queue, not above it.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Provenance lives one click away from every number.</w:t>
      </w:r>
      <w:r w:rsidDel="00000000" w:rsidR="00000000" w:rsidRPr="00000000">
        <w:rPr>
          <w:rtl w:val="0"/>
        </w:rPr>
        <w:t xml:space="preserve"> Per the Provenance &amp; Trust Spec in Stage 2, every number on a surface must reach interaction count + time window + confidence band + three representative snippets in one click. No exceptions.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4"/>
        </w:numPr>
        <w:ind w:left="720" w:hanging="360"/>
      </w:pPr>
      <w:r w:rsidDel="00000000" w:rsidR="00000000" w:rsidRPr="00000000">
        <w:rPr>
          <w:b w:val="1"/>
          <w:bCs w:val="1"/>
          <w:rtl w:val="0"/>
        </w:rPr>
        <w:t xml:space="preserve">Persona vocabulary on the face of the UI.</w:t>
      </w:r>
      <w:r w:rsidDel="00000000" w:rsidR="00000000" w:rsidRPr="00000000">
        <w:rPr>
          <w:rtl w:val="0"/>
        </w:rPr>
        <w:t xml:space="preserve"> Use the Vocabulary section from each persona in Stage 1 verbatim where natural. The Head of Business's screen says "chargeback win rate," not "dispute resolution rate." The Customer Operations Head's screen says "AVC misread queue," not "vehicle class mismatch tickets."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4"/>
        </w:numPr>
        <w:ind w:left="720" w:hanging="360"/>
      </w:pPr>
      <w:r w:rsidDel="00000000" w:rsidR="00000000" w:rsidRPr="00000000">
        <w:rPr>
          <w:b w:val="1"/>
          <w:bCs w:val="1"/>
          <w:rtl w:val="0"/>
        </w:rPr>
        <w:t xml:space="preserve">Anti-patterns from Stage 1 are forbidden.</w:t>
      </w:r>
      <w:r w:rsidDel="00000000" w:rsidR="00000000" w:rsidRPr="00000000">
        <w:rPr>
          <w:rtl w:val="0"/>
        </w:rPr>
        <w:t xml:space="preserve"> Whatever each persona's Anti-pattern section flagged — surveillance metrics, vanity counters, over-firing alerts — must not appear on their screen.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0"/>
          <w:numId w:val="4"/>
        </w:numPr>
        <w:ind w:left="720" w:hanging="360"/>
      </w:pPr>
      <w:r w:rsidDel="00000000" w:rsidR="00000000" w:rsidRPr="00000000">
        <w:rPr>
          <w:b w:val="1"/>
          <w:bCs w:val="1"/>
          <w:rtl w:val="0"/>
        </w:rPr>
        <w:t xml:space="preserve">30-minute promise visible.</w:t>
      </w:r>
      <w:r w:rsidDel="00000000" w:rsidR="00000000" w:rsidRPr="00000000">
        <w:rPr>
          <w:rtl w:val="0"/>
        </w:rPr>
        <w:t xml:space="preserve"> The brand promise is "intelligence in under 30 minutes." Every primary surface must show a "last updated" or "live stream" indicator that makes this real.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Boundary statements where necessary.</w:t>
      </w:r>
      <w:r w:rsidDel="00000000" w:rsidR="00000000" w:rsidRPr="00000000">
        <w:rPr>
          <w:rtl w:val="0"/>
        </w:rPr>
        <w:t xml:space="preserve"> Where a surface intentionally stops short — e.g. surfaces the chargeback-win opportunity but does not act on the NPCI switch — the UI must say so plainly in one line of microcopy. No misleading the user about what Fluid CX does.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88t366a8b03n" w:id="6"/>
      <w:bookmarkEnd w:id="6"/>
      <w:r w:rsidDel="00000000" w:rsidR="00000000" w:rsidRPr="00000000">
        <w:rPr>
          <w:rtl w:val="0"/>
        </w:rPr>
        <w:t xml:space="preserve">5. Task</w:t>
      </w:r>
    </w:p>
    <w:p w:rsidR="00000000" w:rsidDel="00000000" w:rsidP="00000000" w:rsidRDefault="00000000" w:rsidRPr="00000000" w14:paraId="0000003C">
      <w:pPr>
        <w:rPr/>
      </w:pPr>
      <w:r w:rsidDel="00000000" w:rsidR="00000000" w:rsidRPr="00000000">
        <w:rPr>
          <w:rtl w:val="0"/>
        </w:rPr>
        <w:t xml:space="preserve">Produce the UI Specification for the Setu FASTag MVP. This spec must be detailed enough that Stage 4 (UX Blueprint) and Stage 5 (Frontend Architecture) can build to it without further interpretation, and Stage 7 (Prototype Build) can render it in React JSX as a single-file Claude Artifact.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 will specify: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The overall app structure (navigation, primary screens, shared surfaces)</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Each primary screen, in detail</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Each shared screen, in detail</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The component vocabulary the prototype will use</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The visual language (colour, typography, spacing rules — at the level Stage 5/7 can implement)</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The interaction patterns (drill-down, evidence pack, time-window switching)</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The empty / loading / error states for the demo</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A traceability table that maps every screen and component back to a Daily Friction moment and one or more Signal IDs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pxvgn0370z20" w:id="7"/>
      <w:bookmarkEnd w:id="7"/>
      <w:r w:rsidDel="00000000" w:rsidR="00000000" w:rsidRPr="00000000">
        <w:rPr>
          <w:rtl w:val="0"/>
        </w:rPr>
        <w:t xml:space="preserve">6. Output structure — write exactly these sections in this order</w:t>
      </w:r>
    </w:p>
    <w:p w:rsidR="00000000" w:rsidDel="00000000" w:rsidP="00000000" w:rsidRDefault="00000000" w:rsidRPr="00000000" w14:paraId="0000004B">
      <w:pPr>
        <w:pStyle w:val="Heading3"/>
        <w:rPr/>
      </w:pPr>
      <w:bookmarkStart w:colFirst="0" w:colLast="0" w:name="_cmmqb16cg7bs" w:id="8"/>
      <w:bookmarkEnd w:id="8"/>
      <w:r w:rsidDel="00000000" w:rsidR="00000000" w:rsidRPr="00000000">
        <w:rPr>
          <w:rtl w:val="0"/>
        </w:rPr>
        <w:t xml:space="preserve">Section A. App Structure (250–400 words + a navigation map)</w:t>
      </w:r>
    </w:p>
    <w:p w:rsidR="00000000" w:rsidDel="00000000" w:rsidP="00000000" w:rsidRDefault="00000000" w:rsidRPr="00000000" w14:paraId="0000004C">
      <w:pPr>
        <w:rPr/>
      </w:pPr>
      <w:r w:rsidDel="00000000" w:rsidR="00000000" w:rsidRPr="00000000">
        <w:rPr>
          <w:rtl w:val="0"/>
        </w:rPr>
        <w:t xml:space="preserve">State the overall app structure. Cover: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The primary navigation pattern (left rail / top tabs / both — pick one and justify in two sentences)</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The two persona-primary screens (one for HoB, one for COH) and what each is called in the UI</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The shared surfaces both personas access (e.g. Evidence Pack, Compliance Watch, Trend Explorer, Drill-Down)</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The default landing screen for each persona</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The persona switcher (the demo will need to toggle between HoB and COH views — specify how this works in the UI)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Include a simple text-based navigation map showing the screen hierarchy.</w:t>
      </w:r>
    </w:p>
    <w:p w:rsidR="00000000" w:rsidDel="00000000" w:rsidP="00000000" w:rsidRDefault="00000000" w:rsidRPr="00000000" w14:paraId="00000055">
      <w:pPr>
        <w:pStyle w:val="Heading3"/>
        <w:rPr/>
      </w:pPr>
      <w:bookmarkStart w:colFirst="0" w:colLast="0" w:name="_cc141qahsb5d" w:id="9"/>
      <w:bookmarkEnd w:id="9"/>
      <w:r w:rsidDel="00000000" w:rsidR="00000000" w:rsidRPr="00000000">
        <w:rPr>
          <w:rtl w:val="0"/>
        </w:rPr>
        <w:t xml:space="preserve">Section B. Primary Screen — Head of Business (HoB)</w:t>
      </w:r>
    </w:p>
    <w:p w:rsidR="00000000" w:rsidDel="00000000" w:rsidP="00000000" w:rsidRDefault="00000000" w:rsidRPr="00000000" w14:paraId="00000056">
      <w:pPr>
        <w:rPr/>
      </w:pPr>
      <w:r w:rsidDel="00000000" w:rsidR="00000000" w:rsidRPr="00000000">
        <w:rPr>
          <w:rtl w:val="0"/>
        </w:rPr>
        <w:t xml:space="preserve">This is the most important section of the spec. The HoB screen is the demo's hero surface.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Specify: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B.1 Screen name and one-line purpose</w:t>
      </w:r>
      <w:r w:rsidDel="00000000" w:rsidR="00000000" w:rsidRPr="00000000">
        <w:rPr>
          <w:rtl w:val="0"/>
        </w:rPr>
        <w:t xml:space="preserve"> What the screen is called in the UI (it should sound like the HoB's own language — see Stage 1 vocabulary). One line on what it does.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B.2 Layout zones</w:t>
      </w:r>
      <w:r w:rsidDel="00000000" w:rsidR="00000000" w:rsidRPr="00000000">
        <w:rPr>
          <w:rtl w:val="0"/>
        </w:rPr>
        <w:t xml:space="preserve"> Describe the screen as a set of zones (top-left, top-right, middle, bottom). For each zone, name the component, its purpose, and the Signal IDs it draws from. Use this template per zone: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ZONE: [name — e.g. "Top — Today's Headline Action"]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Component type: [headline-action / KPI strip / action queue / trend chart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heatmap / evidence pack tile / compliance watch tile / etc.]</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What it shows: [one sentence in persona language]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Signal IDs drawn from: [FCX-FT-S### list]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Daily Friction moment(s) served: [reference Stage 1 by moment number/name]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Provenance behaviour: [what happens when the persona clicks for proof]</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Empty state: [what shows when there is nothing to surface]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Refresh cadence: [live / 30 min / hourly / daily-brief]</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HoB screen should have 5–8 zones. The top zone is the headline action — "if you read one thing this morning, this is it." Everything below it is supporting.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B.3 Component specifications</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For each component type used on the HoB screen, write a component specification: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COMPONENT: [name — e.g. "Action Queue Row"]</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Purpose: [one sentence]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Anatomy: [what's in it visually — title, sub-text, badge, number, button, etc.]</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Interaction: [what the persona does with it — click for evidence, swipe to dismiss, etc.]</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Data binding: [which Signal IDs and which provenance fields populate it]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State variants: [normal / urgent / dismissed / acknowledged / etc.]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B.4 The 60-second test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In ≤150 words, narrate what the HoB sees and does in the first 60 seconds on this screen at 8:30 am on a Monday. This is the test the design must pass. If the narration is generic, the design is wrong.</w:t>
      </w:r>
    </w:p>
    <w:p w:rsidR="00000000" w:rsidDel="00000000" w:rsidP="00000000" w:rsidRDefault="00000000" w:rsidRPr="00000000" w14:paraId="00000085">
      <w:pPr>
        <w:pStyle w:val="Heading3"/>
        <w:rPr/>
      </w:pPr>
      <w:bookmarkStart w:colFirst="0" w:colLast="0" w:name="_5kouszd90xqh" w:id="10"/>
      <w:bookmarkEnd w:id="10"/>
      <w:r w:rsidDel="00000000" w:rsidR="00000000" w:rsidRPr="00000000">
        <w:rPr>
          <w:rtl w:val="0"/>
        </w:rPr>
        <w:t xml:space="preserve">Section C. Primary Screen — Customer Operations Head (COH)</w:t>
      </w:r>
    </w:p>
    <w:p w:rsidR="00000000" w:rsidDel="00000000" w:rsidP="00000000" w:rsidRDefault="00000000" w:rsidRPr="00000000" w14:paraId="00000086">
      <w:pPr>
        <w:rPr/>
      </w:pPr>
      <w:r w:rsidDel="00000000" w:rsidR="00000000" w:rsidRPr="00000000">
        <w:rPr>
          <w:rtl w:val="0"/>
        </w:rPr>
        <w:t xml:space="preserve">Apply the same structure as Section B, for the COH persona.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COH screen will look meaningfully different from the HoB screen. The COH is closer to the operational floor, owns dispute TAT and complaint health, manages BPO governance, and lives inside the RB-IOS 2026 / IO Directions 2026 clock. The COH screen should feel like an operations console, where the HoB screen feels like an executive brief.</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C.1 through C.4</w:t>
      </w:r>
      <w:r w:rsidDel="00000000" w:rsidR="00000000" w:rsidRPr="00000000">
        <w:rPr>
          <w:rtl w:val="0"/>
        </w:rPr>
        <w:t xml:space="preserve"> — same templates as B.1 through B.4. The 60-second test for COH is what they see at 9:15 am after the daily ops huddle.</w:t>
      </w:r>
    </w:p>
    <w:p w:rsidR="00000000" w:rsidDel="00000000" w:rsidP="00000000" w:rsidRDefault="00000000" w:rsidRPr="00000000" w14:paraId="0000008B">
      <w:pPr>
        <w:pStyle w:val="Heading3"/>
        <w:rPr/>
      </w:pPr>
      <w:bookmarkStart w:colFirst="0" w:colLast="0" w:name="_25h499r7vz3y" w:id="11"/>
      <w:bookmarkEnd w:id="11"/>
      <w:r w:rsidDel="00000000" w:rsidR="00000000" w:rsidRPr="00000000">
        <w:rPr>
          <w:rtl w:val="0"/>
        </w:rPr>
        <w:t xml:space="preserve">Section D. Shared Surfaces</w:t>
      </w:r>
    </w:p>
    <w:p w:rsidR="00000000" w:rsidDel="00000000" w:rsidP="00000000" w:rsidRDefault="00000000" w:rsidRPr="00000000" w14:paraId="0000008C">
      <w:pPr>
        <w:rPr/>
      </w:pPr>
      <w:r w:rsidDel="00000000" w:rsidR="00000000" w:rsidRPr="00000000">
        <w:rPr>
          <w:rtl w:val="0"/>
        </w:rPr>
        <w:t xml:space="preserve">These are accessed from both persona dashboards but exist as standalone screens.</w:t>
      </w:r>
    </w:p>
    <w:p w:rsidR="00000000" w:rsidDel="00000000" w:rsidP="00000000" w:rsidRDefault="00000000" w:rsidRPr="00000000" w14:paraId="0000008D">
      <w:pPr>
        <w:pStyle w:val="Heading4"/>
        <w:rPr/>
      </w:pPr>
      <w:bookmarkStart w:colFirst="0" w:colLast="0" w:name="_ftflwdlfg86r" w:id="12"/>
      <w:bookmarkEnd w:id="12"/>
      <w:r w:rsidDel="00000000" w:rsidR="00000000" w:rsidRPr="00000000">
        <w:rPr>
          <w:rtl w:val="0"/>
        </w:rPr>
        <w:t xml:space="preserve">D.1 Evidence Pack viewer</w:t>
      </w:r>
    </w:p>
    <w:p w:rsidR="00000000" w:rsidDel="00000000" w:rsidP="00000000" w:rsidRDefault="00000000" w:rsidRPr="00000000" w14:paraId="0000008E">
      <w:pPr>
        <w:rPr/>
      </w:pPr>
      <w:r w:rsidDel="00000000" w:rsidR="00000000" w:rsidRPr="00000000">
        <w:rPr>
          <w:rtl w:val="0"/>
        </w:rPr>
        <w:t xml:space="preserve">Per Stage 2 §D.3. The persona reaches this from any signal drill-down. Spec the layout: case-level header (Tag ID, VRN, customer ID, date range), interactions list (sortable, with channel icons), full-transcript pane, signal events on this case, agent identity, compliance check outcomes, NPCI/IO linkage indicators, export button. The Evidence Pack must be IO-defensible by construction — its layout should make a regulator's job easy.</w:t>
      </w:r>
    </w:p>
    <w:p w:rsidR="00000000" w:rsidDel="00000000" w:rsidP="00000000" w:rsidRDefault="00000000" w:rsidRPr="00000000" w14:paraId="0000008F">
      <w:pPr>
        <w:pStyle w:val="Heading4"/>
        <w:rPr/>
      </w:pPr>
      <w:bookmarkStart w:colFirst="0" w:colLast="0" w:name="_7kbvjjbe0i00" w:id="13"/>
      <w:bookmarkEnd w:id="13"/>
      <w:r w:rsidDel="00000000" w:rsidR="00000000" w:rsidRPr="00000000">
        <w:rPr>
          <w:rtl w:val="0"/>
        </w:rPr>
        <w:t xml:space="preserve">D.2 Compliance Watch</w:t>
      </w:r>
    </w:p>
    <w:p w:rsidR="00000000" w:rsidDel="00000000" w:rsidP="00000000" w:rsidRDefault="00000000" w:rsidRPr="00000000" w14:paraId="00000090">
      <w:pPr>
        <w:rPr/>
      </w:pPr>
      <w:r w:rsidDel="00000000" w:rsidR="00000000" w:rsidRPr="00000000">
        <w:rPr>
          <w:rtl w:val="0"/>
        </w:rPr>
        <w:t xml:space="preserve">Per Stage 2's compliance signals (trilingual rule adherence, TAT promise integrity, recovery agent conduct, RB-IOS 30-day clock). Layout: a heatmap by BPO site × shift × day for adherence, an alert queue for live breaches, and a calendar view of approaching RB-IOS clocks. Primarily a COH surface, accessible to HoB.</w:t>
      </w:r>
    </w:p>
    <w:p w:rsidR="00000000" w:rsidDel="00000000" w:rsidP="00000000" w:rsidRDefault="00000000" w:rsidRPr="00000000" w14:paraId="00000091">
      <w:pPr>
        <w:pStyle w:val="Heading4"/>
        <w:rPr/>
      </w:pPr>
      <w:bookmarkStart w:colFirst="0" w:colLast="0" w:name="_5kifqnl003eq" w:id="14"/>
      <w:bookmarkEnd w:id="14"/>
      <w:r w:rsidDel="00000000" w:rsidR="00000000" w:rsidRPr="00000000">
        <w:rPr>
          <w:rtl w:val="0"/>
        </w:rPr>
        <w:t xml:space="preserve">D.3 Trend Explorer</w:t>
      </w:r>
    </w:p>
    <w:p w:rsidR="00000000" w:rsidDel="00000000" w:rsidP="00000000" w:rsidRDefault="00000000" w:rsidRPr="00000000" w14:paraId="00000092">
      <w:pPr>
        <w:rPr/>
      </w:pPr>
      <w:r w:rsidDel="00000000" w:rsidR="00000000" w:rsidRPr="00000000">
        <w:rPr>
          <w:rtl w:val="0"/>
        </w:rPr>
        <w:t xml:space="preserve">A self-service surface for both personas to drill into any signal over time. Time-window switcher (24h / 7d / 30d / 90d), signal selector, dimension breakdowns (plaza, acquirer, BPO site, channel, language, intent). Charts must show the baseline band so the persona can see what is anomalous vs. normal.</w:t>
      </w:r>
    </w:p>
    <w:p w:rsidR="00000000" w:rsidDel="00000000" w:rsidP="00000000" w:rsidRDefault="00000000" w:rsidRPr="00000000" w14:paraId="00000093">
      <w:pPr>
        <w:pStyle w:val="Heading4"/>
        <w:rPr/>
      </w:pPr>
      <w:bookmarkStart w:colFirst="0" w:colLast="0" w:name="_1p5bhgfxgimp" w:id="15"/>
      <w:bookmarkEnd w:id="15"/>
      <w:r w:rsidDel="00000000" w:rsidR="00000000" w:rsidRPr="00000000">
        <w:rPr>
          <w:rtl w:val="0"/>
        </w:rPr>
        <w:t xml:space="preserve">D.4 Drill-Down</w:t>
      </w:r>
    </w:p>
    <w:p w:rsidR="00000000" w:rsidDel="00000000" w:rsidP="00000000" w:rsidRDefault="00000000" w:rsidRPr="00000000" w14:paraId="00000094">
      <w:pPr>
        <w:rPr/>
      </w:pPr>
      <w:r w:rsidDel="00000000" w:rsidR="00000000" w:rsidRPr="00000000">
        <w:rPr>
          <w:rtl w:val="0"/>
        </w:rPr>
        <w:t xml:space="preserve">The generic drill-down surface that opens when any number on any screen is clicked. Shows the interaction list contributing to the number, the three representative snippets at the top, and the path to the Evidence Pack.</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For each shared surface, use the same Zone + Component + Provenance template from Section B.</w:t>
      </w:r>
    </w:p>
    <w:p w:rsidR="00000000" w:rsidDel="00000000" w:rsidP="00000000" w:rsidRDefault="00000000" w:rsidRPr="00000000" w14:paraId="00000097">
      <w:pPr>
        <w:pStyle w:val="Heading3"/>
        <w:rPr/>
      </w:pPr>
      <w:bookmarkStart w:colFirst="0" w:colLast="0" w:name="_gdm72auld4ww" w:id="16"/>
      <w:bookmarkEnd w:id="16"/>
      <w:r w:rsidDel="00000000" w:rsidR="00000000" w:rsidRPr="00000000">
        <w:rPr>
          <w:rtl w:val="0"/>
        </w:rPr>
        <w:t xml:space="preserve">Section E. Component Vocabulary</w:t>
      </w:r>
    </w:p>
    <w:p w:rsidR="00000000" w:rsidDel="00000000" w:rsidP="00000000" w:rsidRDefault="00000000" w:rsidRPr="00000000" w14:paraId="00000098">
      <w:pPr>
        <w:rPr/>
      </w:pPr>
      <w:r w:rsidDel="00000000" w:rsidR="00000000" w:rsidRPr="00000000">
        <w:rPr>
          <w:rtl w:val="0"/>
        </w:rPr>
        <w:t xml:space="preserve">A consolidated list of every distinct UI component used across the spec. This is the design-system inventory Stage 5 will implement. For each component, state: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Name</w:t>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Used on which screen(s)</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Variants/states</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Whether it is custom to this MVP or a Recharts/standard library import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Aim for 12–20 distinct components. Anything fewer means the spec is too coarse; anything more means the spec is over-designed for an MVP.</w:t>
      </w:r>
    </w:p>
    <w:p w:rsidR="00000000" w:rsidDel="00000000" w:rsidP="00000000" w:rsidRDefault="00000000" w:rsidRPr="00000000" w14:paraId="000000A0">
      <w:pPr>
        <w:pStyle w:val="Heading3"/>
        <w:rPr/>
      </w:pPr>
      <w:bookmarkStart w:colFirst="0" w:colLast="0" w:name="_11puej86ciwx" w:id="17"/>
      <w:bookmarkEnd w:id="17"/>
      <w:r w:rsidDel="00000000" w:rsidR="00000000" w:rsidRPr="00000000">
        <w:rPr>
          <w:rtl w:val="0"/>
        </w:rPr>
        <w:t xml:space="preserve">Section F. Visual Language</w:t>
      </w:r>
    </w:p>
    <w:p w:rsidR="00000000" w:rsidDel="00000000" w:rsidP="00000000" w:rsidRDefault="00000000" w:rsidRPr="00000000" w14:paraId="000000A1">
      <w:pPr>
        <w:rPr/>
      </w:pPr>
      <w:r w:rsidDel="00000000" w:rsidR="00000000" w:rsidRPr="00000000">
        <w:rPr>
          <w:rtl w:val="0"/>
        </w:rPr>
        <w:t xml:space="preserve">A compact visual language spec at the level Stage 5/7 can implement directly in Tailwind classes inside a React JSX artifact.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2"/>
        </w:numPr>
        <w:ind w:left="720" w:hanging="360"/>
      </w:pPr>
      <w:r w:rsidDel="00000000" w:rsidR="00000000" w:rsidRPr="00000000">
        <w:rPr>
          <w:b w:val="1"/>
          <w:bCs w:val="1"/>
          <w:rtl w:val="0"/>
        </w:rPr>
        <w:t xml:space="preserve">Colour palette.</w:t>
      </w:r>
      <w:r w:rsidDel="00000000" w:rsidR="00000000" w:rsidRPr="00000000">
        <w:rPr>
          <w:rtl w:val="0"/>
        </w:rPr>
        <w:t xml:space="preserve"> Inherit the YaaraLabs brand palette from the user's existing decks (deep purple </w:t>
      </w:r>
      <w:r w:rsidDel="00000000" w:rsidR="00000000" w:rsidRPr="00000000">
        <w:rPr>
          <w:rFonts w:ascii="Roboto Mono" w:cs="Roboto Mono" w:eastAsia="Roboto Mono" w:hAnsi="Roboto Mono"/>
          <w:color w:val="188038"/>
          <w:rtl w:val="0"/>
        </w:rPr>
        <w:t xml:space="preserve">#7B2FF0</w:t>
      </w:r>
      <w:r w:rsidDel="00000000" w:rsidR="00000000" w:rsidRPr="00000000">
        <w:rPr>
          <w:rtl w:val="0"/>
        </w:rPr>
        <w:t xml:space="preserve"> as primary, electric cyan </w:t>
      </w:r>
      <w:r w:rsidDel="00000000" w:rsidR="00000000" w:rsidRPr="00000000">
        <w:rPr>
          <w:rFonts w:ascii="Roboto Mono" w:cs="Roboto Mono" w:eastAsia="Roboto Mono" w:hAnsi="Roboto Mono"/>
          <w:color w:val="188038"/>
          <w:rtl w:val="0"/>
        </w:rPr>
        <w:t xml:space="preserve">#00D4FF</w:t>
      </w:r>
      <w:r w:rsidDel="00000000" w:rsidR="00000000" w:rsidRPr="00000000">
        <w:rPr>
          <w:rtl w:val="0"/>
        </w:rPr>
        <w:t xml:space="preserve"> as accent, coral </w:t>
      </w:r>
      <w:r w:rsidDel="00000000" w:rsidR="00000000" w:rsidRPr="00000000">
        <w:rPr>
          <w:rFonts w:ascii="Roboto Mono" w:cs="Roboto Mono" w:eastAsia="Roboto Mono" w:hAnsi="Roboto Mono"/>
          <w:color w:val="188038"/>
          <w:rtl w:val="0"/>
        </w:rPr>
        <w:t xml:space="preserve">#FF7043</w:t>
      </w:r>
      <w:r w:rsidDel="00000000" w:rsidR="00000000" w:rsidRPr="00000000">
        <w:rPr>
          <w:rtl w:val="0"/>
        </w:rPr>
        <w:t xml:space="preserve"> for urgency/alerts, near-black </w:t>
      </w:r>
      <w:r w:rsidDel="00000000" w:rsidR="00000000" w:rsidRPr="00000000">
        <w:rPr>
          <w:rFonts w:ascii="Roboto Mono" w:cs="Roboto Mono" w:eastAsia="Roboto Mono" w:hAnsi="Roboto Mono"/>
          <w:color w:val="188038"/>
          <w:rtl w:val="0"/>
        </w:rPr>
        <w:t xml:space="preserve">#0D1117</w:t>
      </w:r>
      <w:r w:rsidDel="00000000" w:rsidR="00000000" w:rsidRPr="00000000">
        <w:rPr>
          <w:rtl w:val="0"/>
        </w:rPr>
        <w:t xml:space="preserve"> for canvas, lavender </w:t>
      </w:r>
      <w:r w:rsidDel="00000000" w:rsidR="00000000" w:rsidRPr="00000000">
        <w:rPr>
          <w:rFonts w:ascii="Roboto Mono" w:cs="Roboto Mono" w:eastAsia="Roboto Mono" w:hAnsi="Roboto Mono"/>
          <w:color w:val="188038"/>
          <w:rtl w:val="0"/>
        </w:rPr>
        <w:t xml:space="preserve">#EEEAF4</w:t>
      </w:r>
      <w:r w:rsidDel="00000000" w:rsidR="00000000" w:rsidRPr="00000000">
        <w:rPr>
          <w:rtl w:val="0"/>
        </w:rPr>
        <w:t xml:space="preserve"> for soft surfaces). Specify which colour signals what (primary actions, urgency, success, neutral data).</w:t>
      </w:r>
    </w:p>
    <w:p w:rsidR="00000000" w:rsidDel="00000000" w:rsidP="00000000" w:rsidRDefault="00000000" w:rsidRPr="00000000" w14:paraId="000000A4">
      <w:pPr>
        <w:numPr>
          <w:ilvl w:val="0"/>
          <w:numId w:val="2"/>
        </w:numPr>
        <w:ind w:left="720" w:hanging="360"/>
      </w:pPr>
      <w:r w:rsidDel="00000000" w:rsidR="00000000" w:rsidRPr="00000000">
        <w:rPr>
          <w:b w:val="1"/>
          <w:bCs w:val="1"/>
          <w:rtl w:val="0"/>
        </w:rPr>
        <w:t xml:space="preserve">Typography.</w:t>
      </w:r>
      <w:r w:rsidDel="00000000" w:rsidR="00000000" w:rsidRPr="00000000">
        <w:rPr>
          <w:rtl w:val="0"/>
        </w:rPr>
        <w:t xml:space="preserve"> Specify display font and body font (system stack or specific — pick something Tailwind-friendly). Specify the four type sizes used (display, heading, body, micro). Persona language should be set in body, not display.</w:t>
      </w:r>
    </w:p>
    <w:p w:rsidR="00000000" w:rsidDel="00000000" w:rsidP="00000000" w:rsidRDefault="00000000" w:rsidRPr="00000000" w14:paraId="000000A5">
      <w:pPr>
        <w:numPr>
          <w:ilvl w:val="0"/>
          <w:numId w:val="2"/>
        </w:numPr>
        <w:ind w:left="720" w:hanging="360"/>
      </w:pPr>
      <w:r w:rsidDel="00000000" w:rsidR="00000000" w:rsidRPr="00000000">
        <w:rPr>
          <w:b w:val="1"/>
          <w:bCs w:val="1"/>
          <w:rtl w:val="0"/>
        </w:rPr>
        <w:t xml:space="preserve">Spacing.</w:t>
      </w:r>
      <w:r w:rsidDel="00000000" w:rsidR="00000000" w:rsidRPr="00000000">
        <w:rPr>
          <w:rtl w:val="0"/>
        </w:rPr>
        <w:t xml:space="preserve"> A 4px or 8px grid. Specify the standard component padding, the section gutter, and the screen margin.</w:t>
      </w:r>
    </w:p>
    <w:p w:rsidR="00000000" w:rsidDel="00000000" w:rsidP="00000000" w:rsidRDefault="00000000" w:rsidRPr="00000000" w14:paraId="000000A6">
      <w:pPr>
        <w:numPr>
          <w:ilvl w:val="0"/>
          <w:numId w:val="2"/>
        </w:numPr>
        <w:ind w:left="720" w:hanging="360"/>
      </w:pPr>
      <w:r w:rsidDel="00000000" w:rsidR="00000000" w:rsidRPr="00000000">
        <w:rPr>
          <w:b w:val="1"/>
          <w:bCs w:val="1"/>
          <w:rtl w:val="0"/>
        </w:rPr>
        <w:t xml:space="preserve">Icons.</w:t>
      </w:r>
      <w:r w:rsidDel="00000000" w:rsidR="00000000" w:rsidRPr="00000000">
        <w:rPr>
          <w:rtl w:val="0"/>
        </w:rPr>
        <w:t xml:space="preserve"> Use lucide-react throughout (per the user's locked frontend stack). Specify the 10–15 icons needed across the spec.</w:t>
      </w:r>
    </w:p>
    <w:p w:rsidR="00000000" w:rsidDel="00000000" w:rsidP="00000000" w:rsidRDefault="00000000" w:rsidRPr="00000000" w14:paraId="000000A7">
      <w:pPr>
        <w:numPr>
          <w:ilvl w:val="0"/>
          <w:numId w:val="2"/>
        </w:numPr>
        <w:ind w:left="720" w:hanging="360"/>
      </w:pPr>
      <w:r w:rsidDel="00000000" w:rsidR="00000000" w:rsidRPr="00000000">
        <w:rPr>
          <w:b w:val="1"/>
          <w:bCs w:val="1"/>
          <w:rtl w:val="0"/>
        </w:rPr>
        <w:t xml:space="preserve">Dark mode default.</w:t>
      </w:r>
      <w:r w:rsidDel="00000000" w:rsidR="00000000" w:rsidRPr="00000000">
        <w:rPr>
          <w:rtl w:val="0"/>
        </w:rPr>
        <w:t xml:space="preserve"> The hero canvas is near-black (per YaaraLabs brand). Specify whether shared surfaces invert to light or stay dark.</w:t>
      </w:r>
    </w:p>
    <w:p w:rsidR="00000000" w:rsidDel="00000000" w:rsidP="00000000" w:rsidRDefault="00000000" w:rsidRPr="00000000" w14:paraId="000000A8">
      <w:pPr>
        <w:pStyle w:val="Heading3"/>
        <w:rPr/>
      </w:pPr>
      <w:bookmarkStart w:colFirst="0" w:colLast="0" w:name="_inc0rnxe8tgi" w:id="18"/>
      <w:bookmarkEnd w:id="18"/>
      <w:r w:rsidDel="00000000" w:rsidR="00000000" w:rsidRPr="00000000">
        <w:rPr>
          <w:rtl w:val="0"/>
        </w:rPr>
        <w:t xml:space="preserve">Section G. Interaction Patterns</w:t>
      </w:r>
    </w:p>
    <w:p w:rsidR="00000000" w:rsidDel="00000000" w:rsidP="00000000" w:rsidRDefault="00000000" w:rsidRPr="00000000" w14:paraId="000000A9">
      <w:pPr>
        <w:rPr/>
      </w:pPr>
      <w:r w:rsidDel="00000000" w:rsidR="00000000" w:rsidRPr="00000000">
        <w:rPr>
          <w:rtl w:val="0"/>
        </w:rPr>
        <w:t xml:space="preserve">Specify these in detail because Stage 7 will need them to feel real in the prototype: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2"/>
        </w:numPr>
        <w:ind w:left="720" w:hanging="360"/>
      </w:pPr>
      <w:r w:rsidDel="00000000" w:rsidR="00000000" w:rsidRPr="00000000">
        <w:rPr>
          <w:b w:val="1"/>
          <w:bCs w:val="1"/>
          <w:rtl w:val="0"/>
        </w:rPr>
        <w:t xml:space="preserve">Drill-down.</w:t>
      </w:r>
      <w:r w:rsidDel="00000000" w:rsidR="00000000" w:rsidRPr="00000000">
        <w:rPr>
          <w:rFonts w:ascii="Arial Unicode MS" w:cs="Arial Unicode MS" w:eastAsia="Arial Unicode MS" w:hAnsi="Arial Unicode MS"/>
          <w:rtl w:val="0"/>
        </w:rPr>
        <w:t xml:space="preserve"> Click any number → opens Drill-Down screen with the contributing interactions, snippets, and the path to Evidence Pack. ≤2 clicks from any signal to a full Evidence Pack.</w:t>
      </w:r>
    </w:p>
    <w:p w:rsidR="00000000" w:rsidDel="00000000" w:rsidP="00000000" w:rsidRDefault="00000000" w:rsidRPr="00000000" w14:paraId="000000AC">
      <w:pPr>
        <w:numPr>
          <w:ilvl w:val="0"/>
          <w:numId w:val="2"/>
        </w:numPr>
        <w:ind w:left="720" w:hanging="360"/>
      </w:pPr>
      <w:r w:rsidDel="00000000" w:rsidR="00000000" w:rsidRPr="00000000">
        <w:rPr>
          <w:b w:val="1"/>
          <w:bCs w:val="1"/>
          <w:rtl w:val="0"/>
        </w:rPr>
        <w:t xml:space="preserve">Time-window switching.</w:t>
      </w:r>
      <w:r w:rsidDel="00000000" w:rsidR="00000000" w:rsidRPr="00000000">
        <w:rPr>
          <w:rtl w:val="0"/>
        </w:rPr>
        <w:t xml:space="preserve"> Where the persona changes the window from 24h to 7d to 30d to 90d. Specify the default per screen.</w:t>
      </w:r>
    </w:p>
    <w:p w:rsidR="00000000" w:rsidDel="00000000" w:rsidP="00000000" w:rsidRDefault="00000000" w:rsidRPr="00000000" w14:paraId="000000AD">
      <w:pPr>
        <w:numPr>
          <w:ilvl w:val="0"/>
          <w:numId w:val="2"/>
        </w:numPr>
        <w:ind w:left="720" w:hanging="360"/>
      </w:pPr>
      <w:r w:rsidDel="00000000" w:rsidR="00000000" w:rsidRPr="00000000">
        <w:rPr>
          <w:b w:val="1"/>
          <w:bCs w:val="1"/>
          <w:rtl w:val="0"/>
        </w:rPr>
        <w:t xml:space="preserve">Persona switching.</w:t>
      </w:r>
      <w:r w:rsidDel="00000000" w:rsidR="00000000" w:rsidRPr="00000000">
        <w:rPr>
          <w:rtl w:val="0"/>
        </w:rPr>
        <w:t xml:space="preserve"> How the demo toggles between HoB and COH views.</w:t>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Filter and dimension breakdown.</w:t>
      </w:r>
      <w:r w:rsidDel="00000000" w:rsidR="00000000" w:rsidRPr="00000000">
        <w:rPr>
          <w:rtl w:val="0"/>
        </w:rPr>
        <w:t xml:space="preserve"> Which screens support filtering by plaza, acquirer, BPO site, channel, language, intent.</w:t>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Provenance hover/click.</w:t>
      </w:r>
      <w:r w:rsidDel="00000000" w:rsidR="00000000" w:rsidRPr="00000000">
        <w:rPr>
          <w:rtl w:val="0"/>
        </w:rPr>
        <w:t xml:space="preserve"> What happens when the persona hovers or clicks on a number — what tooltip/popover appears.</w:t>
      </w:r>
    </w:p>
    <w:p w:rsidR="00000000" w:rsidDel="00000000" w:rsidP="00000000" w:rsidRDefault="00000000" w:rsidRPr="00000000" w14:paraId="000000B0">
      <w:pPr>
        <w:numPr>
          <w:ilvl w:val="0"/>
          <w:numId w:val="2"/>
        </w:numPr>
        <w:ind w:left="720" w:hanging="360"/>
      </w:pPr>
      <w:r w:rsidDel="00000000" w:rsidR="00000000" w:rsidRPr="00000000">
        <w:rPr>
          <w:b w:val="1"/>
          <w:bCs w:val="1"/>
          <w:rtl w:val="0"/>
        </w:rPr>
        <w:t xml:space="preserve">Export.</w:t>
      </w:r>
      <w:r w:rsidDel="00000000" w:rsidR="00000000" w:rsidRPr="00000000">
        <w:rPr>
          <w:rtl w:val="0"/>
        </w:rPr>
        <w:t xml:space="preserve"> Evidence Pack export and Brief export (the HoB daily brief should be exportable as a PDF for the Monday review).</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Alert acknowledgement.</w:t>
      </w:r>
      <w:r w:rsidDel="00000000" w:rsidR="00000000" w:rsidRPr="00000000">
        <w:rPr>
          <w:rtl w:val="0"/>
        </w:rPr>
        <w:t xml:space="preserve"> What happens when the persona acts on an action-queue row.</w:t>
      </w:r>
    </w:p>
    <w:p w:rsidR="00000000" w:rsidDel="00000000" w:rsidP="00000000" w:rsidRDefault="00000000" w:rsidRPr="00000000" w14:paraId="000000B2">
      <w:pPr>
        <w:pStyle w:val="Heading3"/>
        <w:rPr/>
      </w:pPr>
      <w:bookmarkStart w:colFirst="0" w:colLast="0" w:name="_ns2y4i3ba508" w:id="19"/>
      <w:bookmarkEnd w:id="19"/>
      <w:r w:rsidDel="00000000" w:rsidR="00000000" w:rsidRPr="00000000">
        <w:rPr>
          <w:rtl w:val="0"/>
        </w:rPr>
        <w:t xml:space="preserve">Section H. Empty, Loading, and Error States</w:t>
      </w:r>
    </w:p>
    <w:p w:rsidR="00000000" w:rsidDel="00000000" w:rsidP="00000000" w:rsidRDefault="00000000" w:rsidRPr="00000000" w14:paraId="000000B3">
      <w:pPr>
        <w:rPr/>
      </w:pPr>
      <w:r w:rsidDel="00000000" w:rsidR="00000000" w:rsidRPr="00000000">
        <w:rPr>
          <w:rtl w:val="0"/>
        </w:rPr>
        <w:t xml:space="preserve">For the demo, every surface needs honest empty / loading / error states. Specify these explicitly for each screen so Stage 7's prototype can implement them.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Empty state: when there is no signal to surface (rare in production, useful for demo flexibility)</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Loading state: during the simulated ingest/analyze cycle</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Error state: when a signal fails to compute (the data model has a join gap — see Stage 2 §D.4)</w:t>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Boundary state: when a persona need is </w:t>
      </w:r>
      <w:r w:rsidDel="00000000" w:rsidR="00000000" w:rsidRPr="00000000">
        <w:rPr>
          <w:rFonts w:ascii="Roboto Mono" w:cs="Roboto Mono" w:eastAsia="Roboto Mono" w:hAnsi="Roboto Mono"/>
          <w:color w:val="188038"/>
          <w:rtl w:val="0"/>
        </w:rPr>
        <w:t xml:space="preserve">[Out of Fluid CX scope]</w:t>
      </w:r>
      <w:r w:rsidDel="00000000" w:rsidR="00000000" w:rsidRPr="00000000">
        <w:rPr>
          <w:rtl w:val="0"/>
        </w:rPr>
        <w:t xml:space="preserve"> and the UI must say so</w:t>
      </w:r>
    </w:p>
    <w:p w:rsidR="00000000" w:rsidDel="00000000" w:rsidP="00000000" w:rsidRDefault="00000000" w:rsidRPr="00000000" w14:paraId="000000B9">
      <w:pPr>
        <w:pStyle w:val="Heading3"/>
        <w:rPr/>
      </w:pPr>
      <w:bookmarkStart w:colFirst="0" w:colLast="0" w:name="_tnnlvnwykgw7" w:id="20"/>
      <w:bookmarkEnd w:id="20"/>
      <w:r w:rsidDel="00000000" w:rsidR="00000000" w:rsidRPr="00000000">
        <w:rPr>
          <w:rtl w:val="0"/>
        </w:rPr>
        <w:t xml:space="preserve">Section I. Traceability Table</w:t>
      </w:r>
    </w:p>
    <w:p w:rsidR="00000000" w:rsidDel="00000000" w:rsidP="00000000" w:rsidRDefault="00000000" w:rsidRPr="00000000" w14:paraId="000000BA">
      <w:pPr>
        <w:rPr/>
      </w:pPr>
      <w:r w:rsidDel="00000000" w:rsidR="00000000" w:rsidRPr="00000000">
        <w:rPr>
          <w:rtl w:val="0"/>
        </w:rPr>
        <w:t xml:space="preserve">A single table that ties everything together. This is the handoff artifact to Stage 4 and Stage 5.</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Signal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Daily Friction Moment (Stage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Provenance Behaviour</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Every zone of every screen, in order. Every Signal ID from Stage 2 must appear in at least one row. If a Signal ID does not appear anywhere, either it belongs on the UI and the spec is incomplete, or it should be moved to the Out-of-Scope Register in Stage 2 — flag it.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rPr/>
      </w:pPr>
      <w:bookmarkStart w:colFirst="0" w:colLast="0" w:name="_bqaqoqecx6l3" w:id="21"/>
      <w:bookmarkEnd w:id="21"/>
      <w:r w:rsidDel="00000000" w:rsidR="00000000" w:rsidRPr="00000000">
        <w:rPr>
          <w:rtl w:val="0"/>
        </w:rPr>
        <w:t xml:space="preserve">7. Output instructions</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Every screen, zone, and component must trace back to a Stage 1 Daily Friction moment and to one or more Stage 2 Signal IDs. The Traceability Table in Section I is the proof.</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Use persona vocabulary verbatim from Stage 1. UI copy is not the place to invent new terminology.</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Respect the Anti-patterns from Stage 1. If a screen design starts to drift toward surveillance metrics, vanity counters, or alerts that would over-fire and erode trust — pull it back.</w:t>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Respect the product boundary contract from Stage 1 §4 / Stage 2. No surface may imply Fluid CX is doing something it does not do.</w:t>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Mark </w:t>
      </w:r>
      <w:r w:rsidDel="00000000" w:rsidR="00000000" w:rsidRPr="00000000">
        <w:rPr>
          <w:rFonts w:ascii="Roboto Mono" w:cs="Roboto Mono" w:eastAsia="Roboto Mono" w:hAnsi="Roboto Mono"/>
          <w:color w:val="188038"/>
          <w:rtl w:val="0"/>
        </w:rPr>
        <w:t xml:space="preserve">[INFERRED]</w:t>
      </w:r>
      <w:r w:rsidDel="00000000" w:rsidR="00000000" w:rsidRPr="00000000">
        <w:rPr>
          <w:rtl w:val="0"/>
        </w:rPr>
        <w:t xml:space="preserve"> inline where a UI decision is taken without explicit Stage 1/2 anchor. Examples include layout choices (top-left vs. top-right) and visual hierarchy decisions that the prior stages did not specify.</w:t>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Aim for spec density that Stage 7 can build from directly. Vague UI specs become generic React. Specific UI specs become a convincing demo.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rPr/>
      </w:pPr>
      <w:bookmarkStart w:colFirst="0" w:colLast="0" w:name="_1653bhgi4ke4" w:id="22"/>
      <w:bookmarkEnd w:id="22"/>
      <w:r w:rsidDel="00000000" w:rsidR="00000000" w:rsidRPr="00000000">
        <w:rPr>
          <w:rtl w:val="0"/>
        </w:rPr>
        <w:t xml:space="preserve">8. Output handling</w:t>
      </w:r>
    </w:p>
    <w:p w:rsidR="00000000" w:rsidDel="00000000" w:rsidP="00000000" w:rsidRDefault="00000000" w:rsidRPr="00000000" w14:paraId="000000D1">
      <w:pPr>
        <w:rPr/>
      </w:pPr>
      <w:r w:rsidDel="00000000" w:rsidR="00000000" w:rsidRPr="00000000">
        <w:rPr>
          <w:rtl w:val="0"/>
        </w:rPr>
        <w:t xml:space="preserve">Write the full output inline in this chat response. The user will save the response to a markdown file and upload it manually to </w:t>
      </w:r>
      <w:r w:rsidDel="00000000" w:rsidR="00000000" w:rsidRPr="00000000">
        <w:rPr>
          <w:rFonts w:ascii="Roboto Mono" w:cs="Roboto Mono" w:eastAsia="Roboto Mono" w:hAnsi="Roboto Mono"/>
          <w:color w:val="188038"/>
          <w:rtl w:val="0"/>
        </w:rPr>
        <w:t xml:space="preserve">My Drive &gt; Fluid CX &gt; Fast Tag</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Stage3_UI_Spec_v1.md</w:t>
      </w:r>
      <w:r w:rsidDel="00000000" w:rsidR="00000000" w:rsidRPr="00000000">
        <w:rPr>
          <w:rtl w:val="0"/>
        </w:rPr>
        <w:t xml:space="preserve"> (incrementing the version if the file already exists).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End of Stage 3 prompt.</w:t>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