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jofiv4fuoz8" w:id="0"/>
      <w:bookmarkEnd w:id="0"/>
      <w:r w:rsidDel="00000000" w:rsidR="00000000" w:rsidRPr="00000000">
        <w:rPr>
          <w:rtl w:val="0"/>
        </w:rPr>
        <w:t xml:space="preserve">Stage 6B — Mock Data Behaviour Notes</w:t>
      </w:r>
    </w:p>
    <w:p w:rsidR="00000000" w:rsidDel="00000000" w:rsidP="00000000" w:rsidRDefault="00000000" w:rsidRPr="00000000" w14:paraId="00000002">
      <w:pPr>
        <w:pStyle w:val="Heading2"/>
        <w:rPr/>
      </w:pPr>
      <w:bookmarkStart w:colFirst="0" w:colLast="0" w:name="_d14e2a2kkggh" w:id="1"/>
      <w:bookmarkEnd w:id="1"/>
      <w:r w:rsidDel="00000000" w:rsidR="00000000" w:rsidRPr="00000000">
        <w:rPr>
          <w:rtl w:val="0"/>
        </w:rPr>
        <w:t xml:space="preserve">Fluid CX × Setu FASTag MVP · Vahan Bank</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8bpu2jonv3yb" w:id="2"/>
      <w:bookmarkEnd w:id="2"/>
      <w:r w:rsidDel="00000000" w:rsidR="00000000" w:rsidRPr="00000000">
        <w:rPr>
          <w:rtl w:val="0"/>
        </w:rPr>
        <w:t xml:space="preserve">Section 1 — Behaviour Design Choices</w:t>
      </w:r>
    </w:p>
    <w:p w:rsidR="00000000" w:rsidDel="00000000" w:rsidP="00000000" w:rsidRDefault="00000000" w:rsidRPr="00000000" w14:paraId="00000005">
      <w:pPr>
        <w:rPr/>
      </w:pPr>
      <w:r w:rsidDel="00000000" w:rsidR="00000000" w:rsidRPr="00000000">
        <w:rPr>
          <w:b w:val="1"/>
          <w:bCs w:val="1"/>
          <w:rtl w:val="0"/>
        </w:rPr>
        <w:t xml:space="preserve">Why certain signals were weighted toward certain storylines.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AVC misread signal (S004) anchors Storyline 1 because it is simultaneously the highest-volume complaint category (Stage 0 §4.3) and the primary driver of code-5225 chargeback rejections — giving both HoB and COH a reason to care. A z-score of 3.2 was chosen to sit clearly above the 1.5 alert threshold without looking fabricated; 94 contributing interactions gives the ProvenancePill credibility at a glance.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Saksham conduct signal (S018) fires at demo T+4m30s — after the persona has seen the "intelligence" surface (Storylines 1–3) and is now being shown the "guardrail" surface. The delay is deliberate: the demo moves from "here is what you see" to "here is what you catch before it becomes a board-level event." Transcript T003 contains three specific violation categories (address threat, third-party disclosure, employment threat) so the drill-down drill-down is substantive, not just a sentiment score.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four IO readiness signals (SIG-EVT-013 through 016) were tuned to the four key demo cases from Stage 6A: readiness scores 38%, 52%, 61%, 64% create a graduated urgency queue that matches the COH's Zone C3 display exactly. The 6-day-to-IO-review flag on case 4421 (coral) is the one the founder clicks first.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Two boundary signals are deliberately present: S039 (out-of-scope) and S013 (partial — conversation-side only). These are the "trust moments" — a senior banker probing the platform will notice honest limits and trust the rest of the output more.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pgdvp4bqibih" w:id="3"/>
      <w:bookmarkEnd w:id="3"/>
      <w:r w:rsidDel="00000000" w:rsidR="00000000" w:rsidRPr="00000000">
        <w:rPr>
          <w:rtl w:val="0"/>
        </w:rPr>
        <w:t xml:space="preserve">Section 2 — Storyline-to-Data Mapping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Storyline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Signal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Evidence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Stream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Specific Transcript Snippets the Demo Lands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1: 8:30am Monday Morning (HoB)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SIG-EVT-001 (S004 AVC z=3.2), SIG-EVT-004 (S006 Ombudsman T+45s)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PACK-2026-0527-4421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STR-001 (initial), STR-002 (T+45s toast), STR-003 (drill-down), STR-004 (transcript), STR-005 (pack open), STR-013 (PDF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T001: "Khalapur plaza pe ₹560 cut gaya — meri car Hyundai Creta class 4 hai." Agent missing plaza name highlighted coral.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2: Stop Bleeding on Code 5225 (COH)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SIG-EVT-006 (S016 OC 005 78%), SIG-EVT-012 (S035 Trinetra afternoon)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PACK-2026-0527-4421 (evidence 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STR-006 (persona switch), STR-007 (T+3m30s new row), STR-008 (assembly)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T012: Agent raises dispute without capturing plaza name verbally — coaching view shows "Should have said: 'Can you confirm the toll plaza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3: 30 June or ₹30 Lakh Fine (Both)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SIG-EVT-013–016 (S024 IO readiness), SIG-EVT-041 (S036 pack 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PACK-2026-0527-4421, PACK-2026-0527-IO-5534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STR-008 (assembly 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Pack 4421: "87% completeness — 2 missing elements." KYV check FAIL in evidence rail. Case 5534: 64% completeness, IO review in 9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4: Social Fire at 7:30am (HoB)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SIG-EVT-020 (S003 social flare), SIG-EVT-002 (S005 PLZ-001)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STR-002 (AlertToast fires), STR-009 (Saksham conduct)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T007: "@SetuFASTag Khalapur toll AVC sensors broken. Third time this month." Plaza Heatmap NH-4/08:00 cell coral, acquirer IDFC FIRST Bank.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5: What Trinetra's Afternoon Shift Is Hiding (COH)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SIG-EVT-011 (S017), SIG-EVT-012 (S035), SIG-EVT-017 (S014 promise-gap)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STR-011 (Trend Explorer), STR-012 (BPO 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T010: "Agent ne sangitale 7-10 days, 18 days zaale" (promise-gap). Trend Explorer: Trinetra line at z=-2.3, Anandam -0.8, DigitalReach +0.2.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Saksham S018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SIG-EVT-007 (S018 conf 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PACK-2026-0527-SAKSHAM-008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STR-009 (T+4m30s tile flip), STR-010 (Compliance Watch)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T003: "Aapke ghar aaunga — Noida UP-16. Padosi ko bhi pata chal jayega." Three violation categories surfaced in evidence rail.</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bookmarkStart w:colFirst="0" w:colLast="0" w:name="_mllh93w6p1jm" w:id="4"/>
      <w:bookmarkEnd w:id="4"/>
      <w:r w:rsidDel="00000000" w:rsidR="00000000" w:rsidRPr="00000000">
        <w:rPr>
          <w:rtl w:val="0"/>
        </w:rPr>
        <w:t xml:space="preserve">Section 3 — The 5 Money Shots</w:t>
      </w:r>
    </w:p>
    <w:p w:rsidR="00000000" w:rsidDel="00000000" w:rsidP="00000000" w:rsidRDefault="00000000" w:rsidRPr="00000000" w14:paraId="00000037">
      <w:pPr>
        <w:rPr/>
      </w:pPr>
      <w:r w:rsidDel="00000000" w:rsidR="00000000" w:rsidRPr="00000000">
        <w:rPr>
          <w:b w:val="1"/>
          <w:bCs w:val="1"/>
          <w:rtl w:val="0"/>
        </w:rPr>
        <w:t xml:space="preserve">1. T+45s — First new signal fires (Storyline 1)</w:t>
      </w:r>
      <w:r w:rsidDel="00000000" w:rsidR="00000000" w:rsidRPr="00000000">
        <w:rPr>
          <w:rtl w:val="0"/>
        </w:rPr>
        <w:t xml:space="preserve"> AlertToast slides in from top-right: "Ombudsman threat · Trinetra Hyderabad · 09:03am · 1 call." The stream indicator resets to "Updated just now." This is the 30-minute promise made visible — a live call just ended and is already surfaced. Founder says: "A customer just threatened the RBI Banking Ombudsman. That's the 30-minute promise."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2. T+2min — Evidence pack completeness gap (Storylines 1 + 3)</w:t>
      </w:r>
      <w:r w:rsidDel="00000000" w:rsidR="00000000" w:rsidRPr="00000000">
        <w:rPr>
          <w:rtl w:val="0"/>
        </w:rPr>
        <w:t xml:space="preserve"> Pack PACK-2026-0527-4421 opens showing 87% completeness. The evidence rail shows KYV check FAIL and plaza_name MISSING. Founder points to the gap: "We know exactly what's missing before the IO desk does." This moment closes the gap between "we filed a complaint" and "we have an IO-defensible evidence trail."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3. T+3m30s — New dispute row arrives live (Storyline 2)</w:t>
      </w:r>
      <w:r w:rsidDel="00000000" w:rsidR="00000000" w:rsidRPr="00000000">
        <w:rPr>
          <w:rtl w:val="0"/>
        </w:rPr>
        <w:t xml:space="preserve"> On the COH console, a new row flashes purple then settles coral at the top of Zone C2. The C2 header increments from "3 at risk" to "4 at risk." Founder: "And one just came in." This demonstrates the platform's real-time nature — not a daily report, but an operations surface.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4. T+4m30s — Saksham tile flips coral (Storyline 4 / S018)</w:t>
      </w:r>
      <w:r w:rsidDel="00000000" w:rsidR="00000000" w:rsidRPr="00000000">
        <w:rPr>
          <w:rFonts w:ascii="Arial Unicode MS" w:cs="Arial Unicode MS" w:eastAsia="Arial Unicode MS" w:hAnsi="Arial Unicode MS"/>
          <w:rtl w:val="0"/>
        </w:rPr>
        <w:t xml:space="preserve"> C6 Saksham tile flips from green to coral. C1 S018 badge increments 0→1. Founder navigates to Compliance Watch and drill-down shows verbatim T003 snippet: "Aapke ghar aaunga — Noida UP-16." This is the demo's compliance guardrail moment — conduct surveillance on a vendor outside the bank's direct governance.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5. T+6m — Trend Explorer BPO dimension reveal (Storyline 5)</w:t>
      </w:r>
      <w:r w:rsidDel="00000000" w:rsidR="00000000" w:rsidRPr="00000000">
        <w:rPr>
          <w:rtl w:val="0"/>
        </w:rPr>
        <w:t xml:space="preserve"> Trend Explorer shows AVC misread category sentiment at -1.8σ. Adding [+ BPO site] dimension reveals Trinetra at -2.3σ (coral), Anandam at -0.8σ (amber), DigitalReach at +0.2σ (green). Founder: "The hardening is Trinetra — not Anandam. That tells COH exactly where to focus coaching this week." This is the 100%-of-calls signal that replaces the 1% QA sample.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da2f1qm8lkmg" w:id="5"/>
      <w:bookmarkEnd w:id="5"/>
      <w:r w:rsidDel="00000000" w:rsidR="00000000" w:rsidRPr="00000000">
        <w:rPr>
          <w:rtl w:val="0"/>
        </w:rPr>
        <w:t xml:space="preserve">Section 4 — Behavioural Realism Audit</w:t>
      </w:r>
    </w:p>
    <w:p w:rsidR="00000000" w:rsidDel="00000000" w:rsidP="00000000" w:rsidRDefault="00000000" w:rsidRPr="00000000" w14:paraId="00000043">
      <w:pPr>
        <w:rPr/>
      </w:pPr>
      <w:r w:rsidDel="00000000" w:rsidR="00000000" w:rsidRPr="00000000">
        <w:rPr>
          <w:b w:val="1"/>
          <w:bCs w:val="1"/>
          <w:rtl w:val="0"/>
        </w:rPr>
        <w:t xml:space="preserve">Spot-check 1: SIG-EVT-001 (FCX-FT-S004 AVC misread)</w:t>
      </w:r>
      <w:r w:rsidDel="00000000" w:rsidR="00000000" w:rsidRPr="00000000">
        <w:rPr>
          <w:rtl w:val="0"/>
        </w:rPr>
        <w:t xml:space="preserve"> Contributing interactions include T001 ("Khalapur plaza pe ₹560 cut gaya — meri car class 4"), T011 ("Kherki Daula pe Rs460 kata — Hyundai City class 4"), T012 ("Hoskote plaza-la class wrong"), T013 ("Krishnagiri plaza-la class 6 charge. Honda City class 4"). All four transcripts contain vehicle class language, plaza names, and AVC-misread framing. Detection logic check (Stage 2 S004): keyword/intent classifier on grievance categories — SATISFIED. The Hindi/Tamil/Kannada/English code-mixing is present and natural.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Spot-check 2: SIG-EVT-007 (FCX-FT-S018 Saksham conduct)</w:t>
      </w:r>
      <w:r w:rsidDel="00000000" w:rsidR="00000000" w:rsidRPr="00000000">
        <w:rPr>
          <w:rFonts w:ascii="Arial Unicode MS" w:cs="Arial Unicode MS" w:eastAsia="Arial Unicode MS" w:hAnsi="Arial Unicode MS"/>
          <w:rtl w:val="0"/>
        </w:rPr>
        <w:t xml:space="preserve"> T003 contains: (a) "Aapke ghar aaunga — Noida UP-16. Padosi ko bhi pata chal jayega" — third-party disclosure + address threat; (b) "Aapki job bhi khatam ho sakti hai" — employment threat. Detection logic check (Stage 2 S018): multi-class classifier covering aggression, explicit threats, third-party disclosure — 3 of 4 classes satisfied at ≥0.75. SATISFIED. T035 provides social escalation corroboration.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Spot-check 3: SIG-EVT-004 (FCX-FT-S006 Ombudsman threat)</w:t>
      </w:r>
      <w:r w:rsidDel="00000000" w:rsidR="00000000" w:rsidRPr="00000000">
        <w:rPr>
          <w:rFonts w:ascii="Arial Unicode MS" w:cs="Arial Unicode MS" w:eastAsia="Arial Unicode MS" w:hAnsi="Arial Unicode MS"/>
          <w:rtl w:val="0"/>
        </w:rPr>
        <w:t xml:space="preserve"> T008 contains "Main abhi 14448 pe call karta hoon" + "cms.rbi.org.in pe bhi complaint file karenge." Detection logic (Stage 2 S006): keyword detection across 7 Indian languages + paraphrase classifier at ≥0.85 confidence. Both explicit trigger terms present. Confidence stamped 0.96. SATISFIED.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Spot-check 4: SIG-EVT-017 (FCX-FT-S014 Promise-gap)</w:t>
      </w:r>
      <w:r w:rsidDel="00000000" w:rsidR="00000000" w:rsidRPr="00000000">
        <w:rPr>
          <w:rtl w:val="0"/>
        </w:rPr>
        <w:t xml:space="preserve"> T001 (May 9 original call): Agent says "I will raise a dispute" with implicit 7-10 day refund expectation. T010 (May 27 callback): Customer says "Agent ne sangitale 7-10 days, 18 days zaale." Detection logic (Stage 2 S014): customer-utterance classifier (promise-recall language) + promise detection in prior call. Both sides of the gap are present in the transcript pair. Salesforce case status "partially-resolved" closes the loop. SATISFIED.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Spot-check 5: SIG-EVT-006 (FCX-FT-S016 OC 005 completeness)</w:t>
      </w:r>
      <w:r w:rsidDel="00000000" w:rsidR="00000000" w:rsidRPr="00000000">
        <w:rPr>
          <w:rtl w:val="0"/>
        </w:rPr>
        <w:t xml:space="preserve"> T012 (Trinetra afternoon): agent raises dispute using metadata for plaza name but does not verbally confirm it with customer; vehicle class not read back. T013 (Anandam morning, same day): agent explicitly confirms "Krishnagiri Toll Plaza NH-44" and reads back vehicle class — COMPLETE. This contrast is precisely what the BPO Heatmap cell difference between Trinetra afternoon (78%) and Anandam morning (91%) is built on. SATISFIED.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48p3i1urttx7" w:id="6"/>
      <w:bookmarkEnd w:id="6"/>
      <w:r w:rsidDel="00000000" w:rsidR="00000000" w:rsidRPr="00000000">
        <w:rPr>
          <w:rtl w:val="0"/>
        </w:rPr>
        <w:t xml:space="preserve">Section 5 — Honest Limits</w:t>
      </w:r>
    </w:p>
    <w:p w:rsidR="00000000" w:rsidDel="00000000" w:rsidP="00000000" w:rsidRDefault="00000000" w:rsidRPr="00000000" w14:paraId="0000004F">
      <w:pPr>
        <w:rPr/>
      </w:pPr>
      <w:r w:rsidDel="00000000" w:rsidR="00000000" w:rsidRPr="00000000">
        <w:rPr>
          <w:b w:val="1"/>
          <w:bCs w:val="1"/>
          <w:rtl w:val="0"/>
        </w:rPr>
        <w:t xml:space="preserve">ASR errors not simulated.</w:t>
      </w:r>
      <w:r w:rsidDel="00000000" w:rsidR="00000000" w:rsidRPr="00000000">
        <w:rPr>
          <w:rtl w:val="0"/>
        </w:rPr>
        <w:t xml:space="preserve"> Real voice transcripts would show ASR-degraded segments on Tamil and Telugu (Stage 2 confidence band warnings are honoured in the signal events but no actual degraded text is in the transcripts). Production would see lower confidence on these languages.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Wallet ledger join absent.</w:t>
      </w:r>
      <w:r w:rsidDel="00000000" w:rsidR="00000000" w:rsidRPr="00000000">
        <w:rPr>
          <w:rtl w:val="0"/>
        </w:rPr>
        <w:t xml:space="preserve"> S022 (blacklist false positive) is labelled "conversation-side only" — the mock data correctly shows the customer claiming positive balance but there is no wallet ledger record confirming it. The signal fires on the complaint pattern, not verified balance state.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Saksham campaign feed is assumed in-scope.</w:t>
      </w:r>
      <w:r w:rsidDel="00000000" w:rsidR="00000000" w:rsidRPr="00000000">
        <w:rPr>
          <w:rtl w:val="0"/>
        </w:rPr>
        <w:t xml:space="preserve"> T003 ingestion assumes Saksham call recordings reach the Fluid CX platform via the Saksham feed. If this feed is unavailable at MVP, S018 cannot fire. The mock data treats this as live; production would need the feed confirmed.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Bulk interactions (36–300) use deterministic cycles.</w:t>
      </w:r>
      <w:r w:rsidDel="00000000" w:rsidR="00000000" w:rsidRPr="00000000">
        <w:rPr>
          <w:rtl w:val="0"/>
        </w:rPr>
        <w:t xml:space="preserve"> The intent/channel/language distributions are correct, but individual snippets repeat in a recognizable pattern. For a production dataset this would be replaced with genuinely varied transcript generation. For demo purposes the key interactions (1–35) carry all the realism weight.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Social interactions have no agent identity.</w:t>
      </w:r>
      <w:r w:rsidDel="00000000" w:rsidR="00000000" w:rsidRPr="00000000">
        <w:rPr>
          <w:rtl w:val="0"/>
        </w:rPr>
        <w:t xml:space="preserve"> T007 and T035 are public social posts — no agentId/bpoSiteId. The product boundary contract is correct here; these feed S003 and S018 but not agent coaching surfaces.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bimoe7gvnusw" w:id="7"/>
      <w:bookmarkEnd w:id="7"/>
      <w:r w:rsidDel="00000000" w:rsidR="00000000" w:rsidRPr="00000000">
        <w:rPr>
          <w:rtl w:val="0"/>
        </w:rPr>
        <w:t xml:space="preserve">Section 6 — Stage 7 Prototype Build Notes</w:t>
      </w:r>
    </w:p>
    <w:p w:rsidR="00000000" w:rsidDel="00000000" w:rsidP="00000000" w:rsidRDefault="00000000" w:rsidRPr="00000000" w14:paraId="0000005B">
      <w:pPr>
        <w:rPr/>
      </w:pPr>
      <w:r w:rsidDel="00000000" w:rsidR="00000000" w:rsidRPr="00000000">
        <w:rPr>
          <w:b w:val="1"/>
          <w:bCs w:val="1"/>
          <w:rtl w:val="0"/>
        </w:rPr>
        <w:t xml:space="preserve">Wiring </w:t>
      </w:r>
      <w:r w:rsidDel="00000000" w:rsidR="00000000" w:rsidRPr="00000000">
        <w:rPr>
          <w:rFonts w:ascii="Roboto Mono" w:cs="Roboto Mono" w:eastAsia="Roboto Mono" w:hAnsi="Roboto Mono"/>
          <w:b w:val="1"/>
          <w:bCs w:val="1"/>
          <w:color w:val="188038"/>
          <w:rtl w:val="0"/>
        </w:rPr>
        <w:t xml:space="preserve">useSimulatedStream()</w:t>
      </w:r>
      <w:r w:rsidDel="00000000" w:rsidR="00000000" w:rsidRPr="00000000">
        <w:rPr>
          <w:b w:val="1"/>
          <w:bCs w:val="1"/>
          <w:rtl w:val="0"/>
        </w:rPr>
        <w:t xml:space="preserv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simulatedStream</w:t>
      </w:r>
      <w:r w:rsidDel="00000000" w:rsidR="00000000" w:rsidRPr="00000000">
        <w:rPr>
          <w:rtl w:val="0"/>
        </w:rPr>
        <w:t xml:space="preserve"> array contains 15 events with </w:t>
      </w:r>
      <w:r w:rsidDel="00000000" w:rsidR="00000000" w:rsidRPr="00000000">
        <w:rPr>
          <w:rFonts w:ascii="Roboto Mono" w:cs="Roboto Mono" w:eastAsia="Roboto Mono" w:hAnsi="Roboto Mono"/>
          <w:color w:val="188038"/>
          <w:rtl w:val="0"/>
        </w:rPr>
        <w:t xml:space="preserve">atSecond</w:t>
      </w:r>
      <w:r w:rsidDel="00000000" w:rsidR="00000000" w:rsidRPr="00000000">
        <w:rPr>
          <w:rtl w:val="0"/>
        </w:rPr>
        <w:t xml:space="preserve"> values (0–600). Stage 7 implements </w:t>
      </w:r>
      <w:r w:rsidDel="00000000" w:rsidR="00000000" w:rsidRPr="00000000">
        <w:rPr>
          <w:rFonts w:ascii="Roboto Mono" w:cs="Roboto Mono" w:eastAsia="Roboto Mono" w:hAnsi="Roboto Mono"/>
          <w:color w:val="188038"/>
          <w:rtl w:val="0"/>
        </w:rPr>
        <w:t xml:space="preserve">useSimulatedStream()</w:t>
      </w:r>
      <w:r w:rsidDel="00000000" w:rsidR="00000000" w:rsidRPr="00000000">
        <w:rPr>
          <w:rtl w:val="0"/>
        </w:rPr>
        <w:t xml:space="preserve"> as a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that sets up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calls for each event on component mount. Each event dispatches to the app's </w:t>
      </w:r>
      <w:r w:rsidDel="00000000" w:rsidR="00000000" w:rsidRPr="00000000">
        <w:rPr>
          <w:rFonts w:ascii="Roboto Mono" w:cs="Roboto Mono" w:eastAsia="Roboto Mono" w:hAnsi="Roboto Mono"/>
          <w:color w:val="188038"/>
          <w:rtl w:val="0"/>
        </w:rPr>
        <w:t xml:space="preserve">useReducer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dispatch({ type: event.eventType, payload: event.mockDataPayload })</w:t>
      </w:r>
      <w:r w:rsidDel="00000000" w:rsidR="00000000" w:rsidRPr="00000000">
        <w:rPr>
          <w:rtl w:val="0"/>
        </w:rPr>
        <w:t xml:space="preserve">. The reducer handles: </w:t>
      </w:r>
      <w:r w:rsidDel="00000000" w:rsidR="00000000" w:rsidRPr="00000000">
        <w:rPr>
          <w:rFonts w:ascii="Roboto Mono" w:cs="Roboto Mono" w:eastAsia="Roboto Mono" w:hAnsi="Roboto Mono"/>
          <w:color w:val="188038"/>
          <w:rtl w:val="0"/>
        </w:rPr>
        <w:t xml:space="preserve">"alert-toast"</w:t>
      </w:r>
      <w:r w:rsidDel="00000000" w:rsidR="00000000" w:rsidRPr="00000000">
        <w:rPr>
          <w:rFonts w:ascii="Arial Unicode MS" w:cs="Arial Unicode MS" w:eastAsia="Arial Unicode MS" w:hAnsi="Arial Unicode MS"/>
          <w:rtl w:val="0"/>
        </w:rPr>
        <w:t xml:space="preserve"> → push to </w:t>
      </w:r>
      <w:r w:rsidDel="00000000" w:rsidR="00000000" w:rsidRPr="00000000">
        <w:rPr>
          <w:rFonts w:ascii="Roboto Mono" w:cs="Roboto Mono" w:eastAsia="Roboto Mono" w:hAnsi="Roboto Mono"/>
          <w:color w:val="188038"/>
          <w:rtl w:val="0"/>
        </w:rPr>
        <w:t xml:space="preserve">activeAlerts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"new-dispute-row"</w:t>
      </w:r>
      <w:r w:rsidDel="00000000" w:rsidR="00000000" w:rsidRPr="00000000">
        <w:rPr>
          <w:rFonts w:ascii="Arial Unicode MS" w:cs="Arial Unicode MS" w:eastAsia="Arial Unicode MS" w:hAnsi="Arial Unicode MS"/>
          <w:rtl w:val="0"/>
        </w:rPr>
        <w:t xml:space="preserve"> → prepend to </w:t>
      </w:r>
      <w:r w:rsidDel="00000000" w:rsidR="00000000" w:rsidRPr="00000000">
        <w:rPr>
          <w:rFonts w:ascii="Roboto Mono" w:cs="Roboto Mono" w:eastAsia="Roboto Mono" w:hAnsi="Roboto Mono"/>
          <w:color w:val="188038"/>
          <w:rtl w:val="0"/>
        </w:rPr>
        <w:t xml:space="preserve">disputeEvidenceQueue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"saksham-conduct-alert"</w:t>
      </w:r>
      <w:r w:rsidDel="00000000" w:rsidR="00000000" w:rsidRPr="00000000">
        <w:rPr>
          <w:rFonts w:ascii="Arial Unicode MS" w:cs="Arial Unicode MS" w:eastAsia="Arial Unicode MS" w:hAnsi="Arial Unicode MS"/>
          <w:rtl w:val="0"/>
        </w:rPr>
        <w:t xml:space="preserve"> → update </w:t>
      </w:r>
      <w:r w:rsidDel="00000000" w:rsidR="00000000" w:rsidRPr="00000000">
        <w:rPr>
          <w:rFonts w:ascii="Roboto Mono" w:cs="Roboto Mono" w:eastAsia="Roboto Mono" w:hAnsi="Roboto Mono"/>
          <w:color w:val="188038"/>
          <w:rtl w:val="0"/>
        </w:rPr>
        <w:t xml:space="preserve">complianceStripData.saksham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"stream-recalculation"</w:t>
      </w:r>
      <w:r w:rsidDel="00000000" w:rsidR="00000000" w:rsidRPr="00000000">
        <w:rPr>
          <w:rFonts w:ascii="Arial Unicode MS" w:cs="Arial Unicode MS" w:eastAsia="Arial Unicode MS" w:hAnsi="Arial Unicode MS"/>
          <w:rtl w:val="0"/>
        </w:rPr>
        <w:t xml:space="preserve"> → update </w:t>
      </w:r>
      <w:r w:rsidDel="00000000" w:rsidR="00000000" w:rsidRPr="00000000">
        <w:rPr>
          <w:rFonts w:ascii="Roboto Mono" w:cs="Roboto Mono" w:eastAsia="Roboto Mono" w:hAnsi="Roboto Mono"/>
          <w:color w:val="188038"/>
          <w:rtl w:val="0"/>
        </w:rPr>
        <w:t xml:space="preserve">headlineBrief[0].interactionCount</w:t>
      </w:r>
      <w:r w:rsidDel="00000000" w:rsidR="00000000" w:rsidRPr="00000000">
        <w:rPr>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Wiring Evidence Pack drill-down navigation:</w:t>
      </w:r>
      <w:r w:rsidDel="00000000" w:rsidR="00000000" w:rsidRPr="00000000">
        <w:rPr>
          <w:rtl w:val="0"/>
        </w:rPr>
        <w:t xml:space="preserve"> Each </w:t>
      </w:r>
      <w:r w:rsidDel="00000000" w:rsidR="00000000" w:rsidRPr="00000000">
        <w:rPr>
          <w:rFonts w:ascii="Roboto Mono" w:cs="Roboto Mono" w:eastAsia="Roboto Mono" w:hAnsi="Roboto Mono"/>
          <w:color w:val="188038"/>
          <w:rtl w:val="0"/>
        </w:rPr>
        <w:t xml:space="preserve">IOReadinessRow</w:t>
      </w:r>
      <w:r w:rsidDel="00000000" w:rsidR="00000000" w:rsidRPr="00000000">
        <w:rPr>
          <w:rtl w:val="0"/>
        </w:rPr>
        <w:t xml:space="preserve"> in Zone C3 has a </w:t>
      </w:r>
      <w:r w:rsidDel="00000000" w:rsidR="00000000" w:rsidRPr="00000000">
        <w:rPr>
          <w:rFonts w:ascii="Roboto Mono" w:cs="Roboto Mono" w:eastAsia="Roboto Mono" w:hAnsi="Roboto Mono"/>
          <w:color w:val="188038"/>
          <w:rtl w:val="0"/>
        </w:rPr>
        <w:t xml:space="preserve">packId</w:t>
      </w:r>
      <w:r w:rsidDel="00000000" w:rsidR="00000000" w:rsidRPr="00000000">
        <w:rPr>
          <w:rtl w:val="0"/>
        </w:rPr>
        <w:t xml:space="preserve"> prop matching one of the four </w:t>
      </w:r>
      <w:r w:rsidDel="00000000" w:rsidR="00000000" w:rsidRPr="00000000">
        <w:rPr>
          <w:rFonts w:ascii="Roboto Mono" w:cs="Roboto Mono" w:eastAsia="Roboto Mono" w:hAnsi="Roboto Mono"/>
          <w:color w:val="188038"/>
          <w:rtl w:val="0"/>
        </w:rPr>
        <w:t xml:space="preserve">evidencePacks[].packId</w:t>
      </w:r>
      <w:r w:rsidDel="00000000" w:rsidR="00000000" w:rsidRPr="00000000">
        <w:rPr>
          <w:rFonts w:ascii="Arial Unicode MS" w:cs="Arial Unicode MS" w:eastAsia="Arial Unicode MS" w:hAnsi="Arial Unicode MS"/>
          <w:rtl w:val="0"/>
        </w:rPr>
        <w:t xml:space="preserve"> values. When "Assemble Pack →" is clicked, the reducer sets </w:t>
      </w:r>
      <w:r w:rsidDel="00000000" w:rsidR="00000000" w:rsidRPr="00000000">
        <w:rPr>
          <w:rFonts w:ascii="Roboto Mono" w:cs="Roboto Mono" w:eastAsia="Roboto Mono" w:hAnsi="Roboto Mono"/>
          <w:color w:val="188038"/>
          <w:rtl w:val="0"/>
        </w:rPr>
        <w:t xml:space="preserve">currentScreen = 'evidence-pack'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activePackId = packId</w:t>
      </w:r>
      <w:r w:rsidDel="00000000" w:rsidR="00000000" w:rsidRPr="00000000">
        <w:rPr>
          <w:rtl w:val="0"/>
        </w:rPr>
        <w:t xml:space="preserve">. The EvidencePack screen reads from </w:t>
      </w:r>
      <w:r w:rsidDel="00000000" w:rsidR="00000000" w:rsidRPr="00000000">
        <w:rPr>
          <w:rFonts w:ascii="Roboto Mono" w:cs="Roboto Mono" w:eastAsia="Roboto Mono" w:hAnsi="Roboto Mono"/>
          <w:color w:val="188038"/>
          <w:rtl w:val="0"/>
        </w:rPr>
        <w:t xml:space="preserve">evidencePacks.find(p =&gt; p.packId === activePackId)</w:t>
      </w:r>
      <w:r w:rsidDel="00000000" w:rsidR="00000000" w:rsidRPr="00000000">
        <w:rPr>
          <w:rtl w:val="0"/>
        </w:rPr>
        <w:t xml:space="preserve">. The ASSEMBLING state is a timed 3-second local state before transitioning to PACK-VIEW.</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Data shape for HeadlineBrief:</w:t>
      </w:r>
      <w:r w:rsidDel="00000000" w:rsidR="00000000" w:rsidRPr="00000000">
        <w:rPr>
          <w:rtl w:val="0"/>
        </w:rPr>
        <w:t xml:space="preserve"> Read from </w:t>
      </w:r>
      <w:r w:rsidDel="00000000" w:rsidR="00000000" w:rsidRPr="00000000">
        <w:rPr>
          <w:rFonts w:ascii="Roboto Mono" w:cs="Roboto Mono" w:eastAsia="Roboto Mono" w:hAnsi="Roboto Mono"/>
          <w:color w:val="188038"/>
          <w:rtl w:val="0"/>
        </w:rPr>
        <w:t xml:space="preserve">simulatedStream[0].mockDataPayload.headlineBrief</w:t>
      </w:r>
      <w:r w:rsidDel="00000000" w:rsidR="00000000" w:rsidRPr="00000000">
        <w:rPr>
          <w:rtl w:val="0"/>
        </w:rPr>
        <w:t xml:space="preserve"> for initial render. On </w:t>
      </w:r>
      <w:r w:rsidDel="00000000" w:rsidR="00000000" w:rsidRPr="00000000">
        <w:rPr>
          <w:rFonts w:ascii="Roboto Mono" w:cs="Roboto Mono" w:eastAsia="Roboto Mono" w:hAnsi="Roboto Mono"/>
          <w:color w:val="188038"/>
          <w:rtl w:val="0"/>
        </w:rPr>
        <w:t xml:space="preserve">STR-014</w:t>
      </w:r>
      <w:r w:rsidDel="00000000" w:rsidR="00000000" w:rsidRPr="00000000">
        <w:rPr>
          <w:rtl w:val="0"/>
        </w:rPr>
        <w:t xml:space="preserve"> fire, update card 0's </w:t>
      </w:r>
      <w:r w:rsidDel="00000000" w:rsidR="00000000" w:rsidRPr="00000000">
        <w:rPr>
          <w:rFonts w:ascii="Roboto Mono" w:cs="Roboto Mono" w:eastAsia="Roboto Mono" w:hAnsi="Roboto Mono"/>
          <w:color w:val="188038"/>
          <w:rtl w:val="0"/>
        </w:rPr>
        <w:t xml:space="preserve">interactionCount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countTo</w:t>
      </w:r>
      <w:r w:rsidDel="00000000" w:rsidR="00000000" w:rsidRPr="00000000">
        <w:rPr>
          <w:rtl w:val="0"/>
        </w:rPr>
        <w:t xml:space="preserve"> value.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Evidence pack completeness badge logic: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 90%</w:t>
      </w:r>
      <w:r w:rsidDel="00000000" w:rsidR="00000000" w:rsidRPr="00000000">
        <w:rPr>
          <w:rFonts w:ascii="Arial Unicode MS" w:cs="Arial Unicode MS" w:eastAsia="Arial Unicode MS" w:hAnsi="Arial Unicode MS"/>
          <w:rtl w:val="0"/>
        </w:rPr>
        <w:t xml:space="preserve"> → cyan </w:t>
      </w:r>
      <w:r w:rsidDel="00000000" w:rsidR="00000000" w:rsidRPr="00000000">
        <w:rPr>
          <w:rFonts w:ascii="Arial Unicode MS" w:cs="Arial Unicode MS" w:eastAsia="Arial Unicode MS" w:hAnsi="Arial Unicode MS"/>
          <w:color w:val="188038"/>
          <w:rtl w:val="0"/>
        </w:rPr>
        <w:t xml:space="preserve">[IO-Defensible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70–89%</w:t>
      </w:r>
      <w:r w:rsidDel="00000000" w:rsidR="00000000" w:rsidRPr="00000000">
        <w:rPr>
          <w:rFonts w:ascii="Arial Unicode MS" w:cs="Arial Unicode MS" w:eastAsia="Arial Unicode MS" w:hAnsi="Arial Unicode MS"/>
          <w:rtl w:val="0"/>
        </w:rPr>
        <w:t xml:space="preserve"> → amber </w:t>
      </w:r>
      <w:r w:rsidDel="00000000" w:rsidR="00000000" w:rsidRPr="00000000">
        <w:rPr>
          <w:rFonts w:ascii="Roboto Mono" w:cs="Roboto Mono" w:eastAsia="Roboto Mono" w:hAnsi="Roboto Mono"/>
          <w:color w:val="188038"/>
          <w:rtl w:val="0"/>
        </w:rPr>
        <w:t xml:space="preserve">[IO-Defensible — partial]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 70%</w:t>
      </w:r>
      <w:r w:rsidDel="00000000" w:rsidR="00000000" w:rsidRPr="00000000">
        <w:rPr>
          <w:rFonts w:ascii="Arial Unicode MS" w:cs="Arial Unicode MS" w:eastAsia="Arial Unicode MS" w:hAnsi="Arial Unicode MS"/>
          <w:rtl w:val="0"/>
        </w:rPr>
        <w:t xml:space="preserve"> → coral </w:t>
      </w:r>
      <w:r w:rsidDel="00000000" w:rsidR="00000000" w:rsidRPr="00000000">
        <w:rPr>
          <w:rFonts w:ascii="Roboto Mono" w:cs="Roboto Mono" w:eastAsia="Roboto Mono" w:hAnsi="Roboto Mono"/>
          <w:color w:val="188038"/>
          <w:rtl w:val="0"/>
        </w:rPr>
        <w:t xml:space="preserve">[Evidence gaps — review required]</w:t>
      </w:r>
      <w:r w:rsidDel="00000000" w:rsidR="00000000" w:rsidRPr="00000000">
        <w:rPr>
          <w:rtl w:val="0"/>
        </w:rPr>
        <w:t xml:space="preserve">. PACK-2026-0527-4421 renders amber (87%); PACK-2026-0527-IO-5534 renders coral (64%); PACK-2026-0527-CLEAN-006 renders cyan (96%).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ID resolution:</w:t>
      </w:r>
      <w:r w:rsidDel="00000000" w:rsidR="00000000" w:rsidRPr="00000000">
        <w:rPr>
          <w:rtl w:val="0"/>
        </w:rPr>
        <w:t xml:space="preserve"> All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plazaId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ioCaseId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recoveryAssignmentId</w:t>
      </w:r>
      <w:r w:rsidDel="00000000" w:rsidR="00000000" w:rsidRPr="00000000">
        <w:rPr>
          <w:rtl w:val="0"/>
        </w:rPr>
        <w:t xml:space="preserve"> values in this dataset resolve to records in </w:t>
      </w:r>
      <w:r w:rsidDel="00000000" w:rsidR="00000000" w:rsidRPr="00000000">
        <w:rPr>
          <w:rFonts w:ascii="Roboto Mono" w:cs="Roboto Mono" w:eastAsia="Roboto Mono" w:hAnsi="Roboto Mono"/>
          <w:color w:val="188038"/>
          <w:rtl w:val="0"/>
        </w:rPr>
        <w:t xml:space="preserve">Stage6A_Mock_Data_Universe_v1.json</w:t>
      </w:r>
      <w:r w:rsidDel="00000000" w:rsidR="00000000" w:rsidRPr="00000000">
        <w:rPr>
          <w:rtl w:val="0"/>
        </w:rPr>
        <w:t xml:space="preserve">. The four key demo cases (4421, 7803, 2219, 5534) and REC-2026-008 are hard-coded anchors from Stage 6A.</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