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before="2880" w:after="120"/>
        <w:jc w:val="center"/>
      </w:pPr>
      <w:r>
        <w:rPr>
          <w:rFonts w:ascii="Arial" w:cs="Arial" w:eastAsia="Arial" w:hAnsi="Arial"/>
          <w:b/>
          <w:bCs/>
          <w:color w:val="FFFFFF"/>
          <w:sz w:val="72"/>
          <w:szCs w:val="72"/>
        </w:rPr>
        <w:t xml:space="preserve">SOC 2 TYPE II</w:t>
      </w:r>
    </w:p>
    <w:p>
      <w:pPr>
        <w:shd w:fill="1B3A6B" w:val="clear"/>
        <w:spacing w:before="0" w:after="120"/>
        <w:jc w:val="center"/>
      </w:pPr>
      <w:r>
        <w:rPr>
          <w:rFonts w:ascii="Arial" w:cs="Arial" w:eastAsia="Arial" w:hAnsi="Arial"/>
          <w:b/>
          <w:bCs/>
          <w:color w:val="BDD7EE"/>
          <w:sz w:val="40"/>
          <w:szCs w:val="40"/>
        </w:rPr>
        <w:t xml:space="preserve">COMPLETE IMPLEMENTATION GUIDE</w:t>
      </w:r>
    </w:p>
    <w:p>
      <w:pPr>
        <w:shd w:fill="1B3A6B" w:val="clear"/>
        <w:spacing w:before="240" w:after="120"/>
        <w:jc w:val="center"/>
      </w:pPr>
      <w:r>
        <w:rPr>
          <w:rFonts w:ascii="Arial" w:cs="Arial" w:eastAsia="Arial" w:hAnsi="Arial"/>
          <w:i/>
          <w:iCs/>
          <w:color w:val="BDD7EE"/>
          <w:sz w:val="24"/>
          <w:szCs w:val="24"/>
        </w:rPr>
        <w:t xml:space="preserve">Based on AICPA TSP Section 100 – 2017 Trust Services Criteria</w:t>
      </w:r>
    </w:p>
    <w:p>
      <w:pPr>
        <w:shd w:fill="1B3A6B" w:val="clear"/>
        <w:spacing w:before="120" w:after="2880"/>
        <w:jc w:val="center"/>
      </w:pPr>
      <w:r>
        <w:rPr>
          <w:rFonts w:ascii="Arial" w:cs="Arial" w:eastAsia="Arial" w:hAnsi="Arial"/>
          <w:i/>
          <w:iCs/>
          <w:color w:val="9DC3E6"/>
          <w:sz w:val="22"/>
          <w:szCs w:val="22"/>
        </w:rPr>
        <w:t xml:space="preserve">With Revised Points of Focus (2022)</w:t>
      </w:r>
    </w:p>
    <w:p>
      <w:pPr>
        <w:spacing w:before="0" w:after="80"/>
        <w:jc w:val="center"/>
      </w:pPr>
      <w:r>
        <w:rPr>
          <w:rFonts w:ascii="Arial" w:cs="Arial" w:eastAsia="Arial" w:hAnsi="Arial"/>
          <w:color w:val="595959"/>
          <w:sz w:val="20"/>
          <w:szCs w:val="20"/>
        </w:rPr>
        <w:t xml:space="preserve">Prepared by: SOC 2 Compliance Architecture Team</w:t>
      </w:r>
    </w:p>
    <w:p>
      <w:pPr>
        <w:spacing w:before="0" w:after="80"/>
        <w:jc w:val="center"/>
      </w:pPr>
      <w:r>
        <w:rPr>
          <w:rFonts w:ascii="Arial" w:cs="Arial" w:eastAsia="Arial" w:hAnsi="Arial"/>
          <w:color w:val="595959"/>
          <w:sz w:val="20"/>
          <w:szCs w:val="20"/>
        </w:rPr>
        <w:t xml:space="preserve">Document Version: 2.0  |  Classification: Internal – Confidential</w:t>
      </w:r>
    </w:p>
    <w:p>
      <w:pPr>
        <w:spacing w:before="0" w:after="80"/>
        <w:jc w:val="center"/>
      </w:pPr>
      <w:r>
        <w:rPr>
          <w:rFonts w:ascii="Arial" w:cs="Arial" w:eastAsia="Arial" w:hAnsi="Arial"/>
          <w:color w:val="595959"/>
          <w:sz w:val="20"/>
          <w:szCs w:val="20"/>
        </w:rPr>
        <w:t xml:space="preserve">March 2026</w:t>
      </w:r>
    </w:p>
    <w:p>
      <w:r>
        <w:br w:type="page"/>
      </w:r>
    </w:p>
    <w:p>
      <w:pPr>
        <w:spacing w:before="240" w:after="160"/>
      </w:pPr>
      <w:r>
        <w:rPr>
          <w:rFonts w:ascii="Arial" w:cs="Arial" w:eastAsia="Arial" w:hAnsi="Arial"/>
          <w:b/>
          <w:bCs/>
          <w:color w:val="1B3A6B"/>
          <w:sz w:val="32"/>
          <w:szCs w:val="32"/>
        </w:rPr>
        <w:t xml:space="preserve">TABLE OF CONTENTS</w:t>
      </w:r>
    </w:p>
    <w:tbl>
      <w:tblPr>
        <w:tblW w:type="dxa" w:w="9360"/>
        <w:tblBorders>
          <w:top w:val="none"/>
          <w:left w:val="none"/>
          <w:bottom w:val="none"/>
          <w:right w:val="none"/>
          <w:insideH w:val="single" w:color="auto" w:sz="4"/>
          <w:insideV w:val="single" w:color="auto" w:sz="4"/>
        </w:tblBorders>
      </w:tblPr>
      <w:tblGrid>
        <w:gridCol w:w="720"/>
        <w:gridCol w:w="7200"/>
        <w:gridCol w:w="1440"/>
      </w:tblGrid>
      <w:tr>
        <w:tc>
          <w:tcPr>
            <w:tcW w:type="dxa" w:w="72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b/>
                <w:bCs/>
                <w:color w:val="2E75B6"/>
                <w:sz w:val="20"/>
                <w:szCs w:val="20"/>
              </w:rPr>
              <w:t xml:space="preserve">1.</w:t>
            </w:r>
          </w:p>
        </w:tc>
        <w:tc>
          <w:tcPr>
            <w:tcW w:type="dxa" w:w="720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color w:val="1F1F1F"/>
                <w:sz w:val="20"/>
                <w:szCs w:val="20"/>
              </w:rPr>
              <w:t xml:space="preserve">System Architecture Design &amp; Documentation</w:t>
            </w:r>
          </w:p>
        </w:tc>
        <w:tc>
          <w:tcPr>
            <w:tcW w:type="dxa" w:w="1440"/>
            <w:tcBorders>
              <w:top w:val="single" w:color="FFFFFF" w:sz="1"/>
              <w:left w:val="single" w:color="FFFFFF" w:sz="1"/>
              <w:bottom w:val="single" w:color="FFFFFF" w:sz="1"/>
              <w:right w:val="single" w:color="FFFFFF" w:sz="1"/>
            </w:tcBorders>
            <w:tcMar>
              <w:top w:type="dxa" w:w="60"/>
              <w:left w:type="dxa" w:w="80"/>
              <w:bottom w:type="dxa" w:w="60"/>
              <w:right w:type="dxa" w:w="0"/>
            </w:tcMar>
          </w:tcPr>
          <w:p>
            <w:pPr>
              <w:jc w:val="right"/>
            </w:pPr>
            <w:r>
              <w:rPr>
                <w:rFonts w:ascii="Arial" w:cs="Arial" w:eastAsia="Arial" w:hAnsi="Arial"/>
                <w:color w:val="595959"/>
                <w:sz w:val="20"/>
                <w:szCs w:val="20"/>
              </w:rPr>
              <w:t xml:space="preserve">3</w:t>
            </w:r>
          </w:p>
        </w:tc>
      </w:tr>
      <w:tr>
        <w:tc>
          <w:tcPr>
            <w:tcW w:type="dxa" w:w="72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b/>
                <w:bCs/>
                <w:color w:val="2E75B6"/>
                <w:sz w:val="20"/>
                <w:szCs w:val="20"/>
              </w:rPr>
              <w:t xml:space="preserve">2.</w:t>
            </w:r>
          </w:p>
        </w:tc>
        <w:tc>
          <w:tcPr>
            <w:tcW w:type="dxa" w:w="720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color w:val="1F1F1F"/>
                <w:sz w:val="20"/>
                <w:szCs w:val="20"/>
              </w:rPr>
              <w:t xml:space="preserve">SOC 2 Control Framework (CC1–CC9 Domain Breakdown)</w:t>
            </w:r>
          </w:p>
        </w:tc>
        <w:tc>
          <w:tcPr>
            <w:tcW w:type="dxa" w:w="1440"/>
            <w:tcBorders>
              <w:top w:val="single" w:color="FFFFFF" w:sz="1"/>
              <w:left w:val="single" w:color="FFFFFF" w:sz="1"/>
              <w:bottom w:val="single" w:color="FFFFFF" w:sz="1"/>
              <w:right w:val="single" w:color="FFFFFF" w:sz="1"/>
            </w:tcBorders>
            <w:tcMar>
              <w:top w:type="dxa" w:w="60"/>
              <w:left w:type="dxa" w:w="80"/>
              <w:bottom w:type="dxa" w:w="60"/>
              <w:right w:type="dxa" w:w="0"/>
            </w:tcMar>
          </w:tcPr>
          <w:p>
            <w:pPr>
              <w:jc w:val="right"/>
            </w:pPr>
            <w:r>
              <w:rPr>
                <w:rFonts w:ascii="Arial" w:cs="Arial" w:eastAsia="Arial" w:hAnsi="Arial"/>
                <w:color w:val="595959"/>
                <w:sz w:val="20"/>
                <w:szCs w:val="20"/>
              </w:rPr>
              <w:t xml:space="preserve">8</w:t>
            </w:r>
          </w:p>
        </w:tc>
      </w:tr>
      <w:tr>
        <w:tc>
          <w:tcPr>
            <w:tcW w:type="dxa" w:w="72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b/>
                <w:bCs/>
                <w:color w:val="2E75B6"/>
                <w:sz w:val="20"/>
                <w:szCs w:val="20"/>
              </w:rPr>
              <w:t xml:space="preserve">3.</w:t>
            </w:r>
          </w:p>
        </w:tc>
        <w:tc>
          <w:tcPr>
            <w:tcW w:type="dxa" w:w="720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color w:val="1F1F1F"/>
                <w:sz w:val="20"/>
                <w:szCs w:val="20"/>
              </w:rPr>
              <w:t xml:space="preserve">Control Implementation Design &amp; Ownership Matrix</w:t>
            </w:r>
          </w:p>
        </w:tc>
        <w:tc>
          <w:tcPr>
            <w:tcW w:type="dxa" w:w="1440"/>
            <w:tcBorders>
              <w:top w:val="single" w:color="FFFFFF" w:sz="1"/>
              <w:left w:val="single" w:color="FFFFFF" w:sz="1"/>
              <w:bottom w:val="single" w:color="FFFFFF" w:sz="1"/>
              <w:right w:val="single" w:color="FFFFFF" w:sz="1"/>
            </w:tcBorders>
            <w:tcMar>
              <w:top w:type="dxa" w:w="60"/>
              <w:left w:type="dxa" w:w="80"/>
              <w:bottom w:type="dxa" w:w="60"/>
              <w:right w:type="dxa" w:w="0"/>
            </w:tcMar>
          </w:tcPr>
          <w:p>
            <w:pPr>
              <w:jc w:val="right"/>
            </w:pPr>
            <w:r>
              <w:rPr>
                <w:rFonts w:ascii="Arial" w:cs="Arial" w:eastAsia="Arial" w:hAnsi="Arial"/>
                <w:color w:val="595959"/>
                <w:sz w:val="20"/>
                <w:szCs w:val="20"/>
              </w:rPr>
              <w:t xml:space="preserve">16</w:t>
            </w:r>
          </w:p>
        </w:tc>
      </w:tr>
      <w:tr>
        <w:tc>
          <w:tcPr>
            <w:tcW w:type="dxa" w:w="72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b/>
                <w:bCs/>
                <w:color w:val="2E75B6"/>
                <w:sz w:val="20"/>
                <w:szCs w:val="20"/>
              </w:rPr>
              <w:t xml:space="preserve">4.</w:t>
            </w:r>
          </w:p>
        </w:tc>
        <w:tc>
          <w:tcPr>
            <w:tcW w:type="dxa" w:w="720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color w:val="1F1F1F"/>
                <w:sz w:val="20"/>
                <w:szCs w:val="20"/>
              </w:rPr>
              <w:t xml:space="preserve">Evidence Collection Model (SOC 2 Type II Audit Period)</w:t>
            </w:r>
          </w:p>
        </w:tc>
        <w:tc>
          <w:tcPr>
            <w:tcW w:type="dxa" w:w="1440"/>
            <w:tcBorders>
              <w:top w:val="single" w:color="FFFFFF" w:sz="1"/>
              <w:left w:val="single" w:color="FFFFFF" w:sz="1"/>
              <w:bottom w:val="single" w:color="FFFFFF" w:sz="1"/>
              <w:right w:val="single" w:color="FFFFFF" w:sz="1"/>
            </w:tcBorders>
            <w:tcMar>
              <w:top w:type="dxa" w:w="60"/>
              <w:left w:type="dxa" w:w="80"/>
              <w:bottom w:type="dxa" w:w="60"/>
              <w:right w:type="dxa" w:w="0"/>
            </w:tcMar>
          </w:tcPr>
          <w:p>
            <w:pPr>
              <w:jc w:val="right"/>
            </w:pPr>
            <w:r>
              <w:rPr>
                <w:rFonts w:ascii="Arial" w:cs="Arial" w:eastAsia="Arial" w:hAnsi="Arial"/>
                <w:color w:val="595959"/>
                <w:sz w:val="20"/>
                <w:szCs w:val="20"/>
              </w:rPr>
              <w:t xml:space="preserve">22</w:t>
            </w:r>
          </w:p>
        </w:tc>
      </w:tr>
      <w:tr>
        <w:tc>
          <w:tcPr>
            <w:tcW w:type="dxa" w:w="72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b/>
                <w:bCs/>
                <w:color w:val="2E75B6"/>
                <w:sz w:val="20"/>
                <w:szCs w:val="20"/>
              </w:rPr>
              <w:t xml:space="preserve">5.</w:t>
            </w:r>
          </w:p>
        </w:tc>
        <w:tc>
          <w:tcPr>
            <w:tcW w:type="dxa" w:w="720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color w:val="1F1F1F"/>
                <w:sz w:val="20"/>
                <w:szCs w:val="20"/>
              </w:rPr>
              <w:t xml:space="preserve">Evidence Collection Automation &amp; Continuous Monitoring</w:t>
            </w:r>
          </w:p>
        </w:tc>
        <w:tc>
          <w:tcPr>
            <w:tcW w:type="dxa" w:w="1440"/>
            <w:tcBorders>
              <w:top w:val="single" w:color="FFFFFF" w:sz="1"/>
              <w:left w:val="single" w:color="FFFFFF" w:sz="1"/>
              <w:bottom w:val="single" w:color="FFFFFF" w:sz="1"/>
              <w:right w:val="single" w:color="FFFFFF" w:sz="1"/>
            </w:tcBorders>
            <w:tcMar>
              <w:top w:type="dxa" w:w="60"/>
              <w:left w:type="dxa" w:w="80"/>
              <w:bottom w:type="dxa" w:w="60"/>
              <w:right w:type="dxa" w:w="0"/>
            </w:tcMar>
          </w:tcPr>
          <w:p>
            <w:pPr>
              <w:jc w:val="right"/>
            </w:pPr>
            <w:r>
              <w:rPr>
                <w:rFonts w:ascii="Arial" w:cs="Arial" w:eastAsia="Arial" w:hAnsi="Arial"/>
                <w:color w:val="595959"/>
                <w:sz w:val="20"/>
                <w:szCs w:val="20"/>
              </w:rPr>
              <w:t xml:space="preserve">28</w:t>
            </w:r>
          </w:p>
        </w:tc>
      </w:tr>
      <w:tr>
        <w:tc>
          <w:tcPr>
            <w:tcW w:type="dxa" w:w="72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b/>
                <w:bCs/>
                <w:color w:val="2E75B6"/>
                <w:sz w:val="20"/>
                <w:szCs w:val="20"/>
              </w:rPr>
              <w:t xml:space="preserve">6.</w:t>
            </w:r>
          </w:p>
        </w:tc>
        <w:tc>
          <w:tcPr>
            <w:tcW w:type="dxa" w:w="720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color w:val="1F1F1F"/>
                <w:sz w:val="20"/>
                <w:szCs w:val="20"/>
              </w:rPr>
              <w:t xml:space="preserve">Internal Readiness Assessment &amp; Gap Analysis</w:t>
            </w:r>
          </w:p>
        </w:tc>
        <w:tc>
          <w:tcPr>
            <w:tcW w:type="dxa" w:w="1440"/>
            <w:tcBorders>
              <w:top w:val="single" w:color="FFFFFF" w:sz="1"/>
              <w:left w:val="single" w:color="FFFFFF" w:sz="1"/>
              <w:bottom w:val="single" w:color="FFFFFF" w:sz="1"/>
              <w:right w:val="single" w:color="FFFFFF" w:sz="1"/>
            </w:tcBorders>
            <w:tcMar>
              <w:top w:type="dxa" w:w="60"/>
              <w:left w:type="dxa" w:w="80"/>
              <w:bottom w:type="dxa" w:w="60"/>
              <w:right w:type="dxa" w:w="0"/>
            </w:tcMar>
          </w:tcPr>
          <w:p>
            <w:pPr>
              <w:jc w:val="right"/>
            </w:pPr>
            <w:r>
              <w:rPr>
                <w:rFonts w:ascii="Arial" w:cs="Arial" w:eastAsia="Arial" w:hAnsi="Arial"/>
                <w:color w:val="595959"/>
                <w:sz w:val="20"/>
                <w:szCs w:val="20"/>
              </w:rPr>
              <w:t xml:space="preserve">32</w:t>
            </w:r>
          </w:p>
        </w:tc>
      </w:tr>
      <w:tr>
        <w:tc>
          <w:tcPr>
            <w:tcW w:type="dxa" w:w="72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b/>
                <w:bCs/>
                <w:color w:val="2E75B6"/>
                <w:sz w:val="20"/>
                <w:szCs w:val="20"/>
              </w:rPr>
              <w:t xml:space="preserve">7.</w:t>
            </w:r>
          </w:p>
        </w:tc>
        <w:tc>
          <w:tcPr>
            <w:tcW w:type="dxa" w:w="720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color w:val="1F1F1F"/>
                <w:sz w:val="20"/>
                <w:szCs w:val="20"/>
              </w:rPr>
              <w:t xml:space="preserve">External Auditor Validation &amp; Testing Methodology</w:t>
            </w:r>
          </w:p>
        </w:tc>
        <w:tc>
          <w:tcPr>
            <w:tcW w:type="dxa" w:w="1440"/>
            <w:tcBorders>
              <w:top w:val="single" w:color="FFFFFF" w:sz="1"/>
              <w:left w:val="single" w:color="FFFFFF" w:sz="1"/>
              <w:bottom w:val="single" w:color="FFFFFF" w:sz="1"/>
              <w:right w:val="single" w:color="FFFFFF" w:sz="1"/>
            </w:tcBorders>
            <w:tcMar>
              <w:top w:type="dxa" w:w="60"/>
              <w:left w:type="dxa" w:w="80"/>
              <w:bottom w:type="dxa" w:w="60"/>
              <w:right w:type="dxa" w:w="0"/>
            </w:tcMar>
          </w:tcPr>
          <w:p>
            <w:pPr>
              <w:jc w:val="right"/>
            </w:pPr>
            <w:r>
              <w:rPr>
                <w:rFonts w:ascii="Arial" w:cs="Arial" w:eastAsia="Arial" w:hAnsi="Arial"/>
                <w:color w:val="595959"/>
                <w:sz w:val="20"/>
                <w:szCs w:val="20"/>
              </w:rPr>
              <w:t xml:space="preserve">36</w:t>
            </w:r>
          </w:p>
        </w:tc>
      </w:tr>
      <w:tr>
        <w:tc>
          <w:tcPr>
            <w:tcW w:type="dxa" w:w="72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b/>
                <w:bCs/>
                <w:color w:val="2E75B6"/>
                <w:sz w:val="20"/>
                <w:szCs w:val="20"/>
              </w:rPr>
              <w:t xml:space="preserve">8.</w:t>
            </w:r>
          </w:p>
        </w:tc>
        <w:tc>
          <w:tcPr>
            <w:tcW w:type="dxa" w:w="7200"/>
            <w:tcBorders>
              <w:top w:val="single" w:color="FFFFFF" w:sz="1"/>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color w:val="1F1F1F"/>
                <w:sz w:val="20"/>
                <w:szCs w:val="20"/>
              </w:rPr>
              <w:t xml:space="preserve">Multi-Framework Control Mapping (SOC 2 → ISO 27001, PCI DSS, SWIFT)</w:t>
            </w:r>
          </w:p>
        </w:tc>
        <w:tc>
          <w:tcPr>
            <w:tcW w:type="dxa" w:w="1440"/>
            <w:tcBorders>
              <w:top w:val="single" w:color="FFFFFF" w:sz="1"/>
              <w:left w:val="single" w:color="FFFFFF" w:sz="1"/>
              <w:bottom w:val="single" w:color="FFFFFF" w:sz="1"/>
              <w:right w:val="single" w:color="FFFFFF" w:sz="1"/>
            </w:tcBorders>
            <w:tcMar>
              <w:top w:type="dxa" w:w="60"/>
              <w:left w:type="dxa" w:w="80"/>
              <w:bottom w:type="dxa" w:w="60"/>
              <w:right w:type="dxa" w:w="0"/>
            </w:tcMar>
          </w:tcPr>
          <w:p>
            <w:pPr>
              <w:jc w:val="right"/>
            </w:pPr>
            <w:r>
              <w:rPr>
                <w:rFonts w:ascii="Arial" w:cs="Arial" w:eastAsia="Arial" w:hAnsi="Arial"/>
                <w:color w:val="595959"/>
                <w:sz w:val="20"/>
                <w:szCs w:val="20"/>
              </w:rPr>
              <w:t xml:space="preserve">47</w:t>
            </w:r>
          </w:p>
        </w:tc>
      </w:tr>
    </w:tbl>
    <w:p>
      <w:r>
        <w:br w:type="page"/>
      </w:r>
    </w:p>
    <w:p>
      <w:pPr>
        <w:pStyle w:val="Heading1"/>
        <w:pBdr>
          <w:bottom w:val="single" w:color="2E75B6" w:sz="4"/>
        </w:pBdr>
        <w:shd w:fill="1B3A6B" w:val="clear"/>
        <w:spacing w:before="360" w:after="180"/>
        <w:ind w:left="180"/>
      </w:pPr>
      <w:r>
        <w:rPr>
          <w:rFonts w:ascii="Arial" w:cs="Arial" w:eastAsia="Arial" w:hAnsi="Arial"/>
          <w:b/>
          <w:bCs/>
          <w:color w:val="FFFFFF"/>
          <w:sz w:val="36"/>
          <w:szCs w:val="36"/>
        </w:rPr>
        <w:t xml:space="preserve">1. SYSTEM ARCHITECTURE DESIGN</w:t>
      </w:r>
    </w:p>
    <w:p>
      <w:pPr>
        <w:spacing w:before="80" w:after="100"/>
      </w:pPr>
      <w:r>
        <w:rPr>
          <w:rFonts w:ascii="Arial" w:cs="Arial" w:eastAsia="Arial" w:hAnsi="Arial"/>
          <w:color w:val="1F1F1F"/>
          <w:sz w:val="20"/>
          <w:szCs w:val="20"/>
        </w:rPr>
        <w:t xml:space="preserve">SOC 2 auditors require comprehensive documentation of the system under examination (the 'system description'). Architecture documentation must be complete enough that an auditor can understand what is being protected, how data flows, and where controls apply. Below are the six architecture layers required.</w:t>
      </w:r>
    </w:p>
    <w:p>
      <w:pPr>
        <w:pStyle w:val="Heading2"/>
        <w:pBdr>
          <w:left w:val="single" w:color="2E75B6" w:sz="8"/>
        </w:pBdr>
        <w:spacing w:before="280" w:after="120"/>
        <w:ind w:left="200"/>
      </w:pPr>
      <w:r>
        <w:rPr>
          <w:rFonts w:ascii="Arial" w:cs="Arial" w:eastAsia="Arial" w:hAnsi="Arial"/>
          <w:b/>
          <w:bCs/>
          <w:color w:val="1B3A6B"/>
          <w:sz w:val="28"/>
          <w:szCs w:val="28"/>
        </w:rPr>
        <w:t xml:space="preserve">1.1 Network Architecture</w:t>
      </w:r>
    </w:p>
    <w:p>
      <w:pPr>
        <w:spacing w:before="80" w:after="100"/>
      </w:pPr>
      <w:r>
        <w:rPr>
          <w:rFonts w:ascii="Arial" w:cs="Arial" w:eastAsia="Arial" w:hAnsi="Arial"/>
          <w:color w:val="1F1F1F"/>
          <w:sz w:val="20"/>
          <w:szCs w:val="20"/>
        </w:rPr>
        <w:t xml:space="preserve">Network architecture documentation must illustrate all network segments, trust zones, traffic flows, and security boundaries. Auditors look for evidence that the organization has implemented segmentation, boundary protection, and controlled ingress/egress.</w:t>
      </w:r>
    </w:p>
    <w:p>
      <w:pPr>
        <w:pStyle w:val="Heading3"/>
        <w:spacing w:before="200" w:after="80"/>
      </w:pPr>
      <w:r>
        <w:rPr>
          <w:rFonts w:ascii="Arial" w:cs="Arial" w:eastAsia="Arial" w:hAnsi="Arial"/>
          <w:b/>
          <w:bCs/>
          <w:color w:val="2E75B6"/>
          <w:sz w:val="22"/>
          <w:szCs w:val="22"/>
        </w:rPr>
        <w:t xml:space="preserve">Required Network Documentation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Element</w:t>
            </w:r>
          </w:p>
        </w:tc>
        <w:tc>
          <w:tcPr>
            <w:tcW w:type="dxa" w:w="348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c>
          <w:tcPr>
            <w:tcW w:type="dxa" w:w="348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Audit Expectation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Network Diagram</w:t>
            </w:r>
          </w:p>
        </w:tc>
        <w:tc>
          <w:tcPr>
            <w:tcW w:type="dxa" w:w="34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Layer 3/7 diagram showing VPCs, subnets, DMZ, firewalls, load balancers</w:t>
            </w:r>
          </w:p>
        </w:tc>
        <w:tc>
          <w:tcPr>
            <w:tcW w:type="dxa" w:w="34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Updated within 6 months; includes all production environments</w:t>
            </w:r>
          </w:p>
        </w:tc>
      </w:tr>
      <w:tr>
        <w:tc>
          <w:tcPr>
            <w:tcW w:type="dxa" w:w="2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Firewall Rule Sets</w:t>
            </w:r>
          </w:p>
        </w:tc>
        <w:tc>
          <w:tcPr>
            <w:tcW w:type="dxa" w:w="34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Documented ingress/egress rules, default-deny policies</w:t>
            </w:r>
          </w:p>
        </w:tc>
        <w:tc>
          <w:tcPr>
            <w:tcW w:type="dxa" w:w="34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Evidence that rules are reviewed quarterly; unauthorized rules identified</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Network Segmentation</w:t>
            </w:r>
          </w:p>
        </w:tc>
        <w:tc>
          <w:tcPr>
            <w:tcW w:type="dxa" w:w="34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Separation of production, staging, dev, management planes</w:t>
            </w:r>
          </w:p>
        </w:tc>
        <w:tc>
          <w:tcPr>
            <w:tcW w:type="dxa" w:w="34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Logical or physical isolation; VLAN documentation</w:t>
            </w:r>
          </w:p>
        </w:tc>
      </w:tr>
      <w:tr>
        <w:tc>
          <w:tcPr>
            <w:tcW w:type="dxa" w:w="2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Intrusion Detection</w:t>
            </w:r>
          </w:p>
        </w:tc>
        <w:tc>
          <w:tcPr>
            <w:tcW w:type="dxa" w:w="34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IDS/IPS placement, alert thresholds, monitoring scope</w:t>
            </w:r>
          </w:p>
        </w:tc>
        <w:tc>
          <w:tcPr>
            <w:tcW w:type="dxa" w:w="34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Logs showing alerts reviewed; SIEM integration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DNS &amp; CDN Configuration</w:t>
            </w:r>
          </w:p>
        </w:tc>
        <w:tc>
          <w:tcPr>
            <w:tcW w:type="dxa" w:w="34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External DNS, CDN edge locations, DDoS protection</w:t>
            </w:r>
          </w:p>
        </w:tc>
        <w:tc>
          <w:tcPr>
            <w:tcW w:type="dxa" w:w="34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Documentation of DDoS mitigation; CDN security headers</w:t>
            </w:r>
          </w:p>
        </w:tc>
      </w:tr>
      <w:tr>
        <w:tc>
          <w:tcPr>
            <w:tcW w:type="dxa" w:w="2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VPN &amp; Remote Access</w:t>
            </w:r>
          </w:p>
        </w:tc>
        <w:tc>
          <w:tcPr>
            <w:tcW w:type="dxa" w:w="34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Site-to-site VPN, client VPN, jump host/bastion configuration</w:t>
            </w:r>
          </w:p>
        </w:tc>
        <w:tc>
          <w:tcPr>
            <w:tcW w:type="dxa" w:w="34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MFA enforcement; session logging; access reviews</w:t>
            </w:r>
          </w:p>
        </w:tc>
      </w:tr>
    </w:tbl>
    <w:p>
      <w:pPr>
        <w:pBdr>
          <w:left w:val="single" w:color="2E75B6" w:sz="12"/>
        </w:pBdr>
        <w:shd w:fill="D6E4F0" w:val="clear"/>
        <w:spacing w:before="120" w:after="120"/>
        <w:ind w:left="360" w:right="360"/>
      </w:pPr>
      <w:r>
        <w:rPr>
          <w:rFonts w:ascii="Arial" w:cs="Arial" w:eastAsia="Arial" w:hAnsi="Arial"/>
          <w:b/>
          <w:bCs/>
          <w:color w:val="2E75B6"/>
          <w:sz w:val="20"/>
          <w:szCs w:val="20"/>
        </w:rPr>
        <w:t xml:space="preserve">AUDITOR TIP: </w:t>
      </w:r>
      <w:r>
        <w:rPr>
          <w:rFonts w:ascii="Arial" w:cs="Arial" w:eastAsia="Arial" w:hAnsi="Arial"/>
          <w:color w:val="1F1F1F"/>
          <w:sz w:val="20"/>
          <w:szCs w:val="20"/>
        </w:rPr>
        <w:t xml:space="preserve">Network diagrams must be maintained as living documents. Auditors will cross-reference them against actual infrastructure configurations — discrepancies are a common finding.</w:t>
      </w:r>
    </w:p>
    <w:p>
      <w:pPr>
        <w:pStyle w:val="Heading3"/>
        <w:spacing w:before="200" w:after="80"/>
      </w:pPr>
      <w:r>
        <w:rPr>
          <w:rFonts w:ascii="Arial" w:cs="Arial" w:eastAsia="Arial" w:hAnsi="Arial"/>
          <w:b/>
          <w:bCs/>
          <w:color w:val="2E75B6"/>
          <w:sz w:val="22"/>
          <w:szCs w:val="22"/>
        </w:rPr>
        <w:t xml:space="preserve">Example Network Architecture (SaaS Company — AWS)</w:t>
      </w:r>
    </w:p>
    <w:p>
      <w:pPr>
        <w:spacing w:before="80" w:after="100"/>
      </w:pPr>
      <w:r>
        <w:rPr>
          <w:rFonts w:ascii="Arial" w:cs="Arial" w:eastAsia="Arial" w:hAnsi="Arial"/>
          <w:color w:val="1F1F1F"/>
          <w:sz w:val="20"/>
          <w:szCs w:val="20"/>
        </w:rPr>
        <w:t xml:space="preserve">The following structural layout represents a typical cloud-native SaaS architecture:</w:t>
      </w:r>
    </w:p>
    <w:p>
      <w:pPr>
        <w:spacing w:before="80" w:after="100"/>
      </w:pPr>
      <w:r>
        <w:rPr>
          <w:rFonts w:ascii="Arial" w:cs="Arial" w:eastAsia="Arial" w:hAnsi="Arial"/>
          <w:color w:val="1F1F1F"/>
          <w:sz w:val="20"/>
          <w:szCs w:val="20"/>
        </w:rPr>
        <w:t xml:space="preserve"/>
      </w:r>
    </w:p>
    <w:p>
      <w:pPr>
        <w:pStyle w:val="Heading2"/>
        <w:pBdr>
          <w:left w:val="single" w:color="2E75B6" w:sz="8"/>
        </w:pBdr>
        <w:spacing w:before="280" w:after="120"/>
        <w:ind w:left="200"/>
      </w:pPr>
      <w:r>
        <w:rPr>
          <w:rFonts w:ascii="Arial" w:cs="Arial" w:eastAsia="Arial" w:hAnsi="Arial"/>
          <w:b/>
          <w:bCs/>
          <w:color w:val="1B3A6B"/>
          <w:sz w:val="28"/>
          <w:szCs w:val="28"/>
        </w:rPr>
        <w:t xml:space="preserve">1.2 Application Architecture</w:t>
      </w:r>
    </w:p>
    <w:p>
      <w:pPr>
        <w:spacing w:before="80" w:after="100"/>
      </w:pPr>
      <w:r>
        <w:rPr>
          <w:rFonts w:ascii="Arial" w:cs="Arial" w:eastAsia="Arial" w:hAnsi="Arial"/>
          <w:color w:val="1F1F1F"/>
          <w:sz w:val="20"/>
          <w:szCs w:val="20"/>
        </w:rPr>
        <w:t xml:space="preserve">Application architecture documentation explains what the system does, how components interact, and what data is processed. The System Description in a SOC 2 report draws directly from this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358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Documentation Required</w:t>
            </w:r>
          </w:p>
        </w:tc>
        <w:tc>
          <w:tcPr>
            <w:tcW w:type="dxa" w:w="358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Example</w:t>
            </w:r>
          </w:p>
        </w:tc>
      </w:tr>
      <w:tr>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Service Inventory</w:t>
            </w:r>
          </w:p>
        </w:tc>
        <w:tc>
          <w:tcPr>
            <w:tcW w:type="dxa" w:w="35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Complete list of microservices/applications with ownership</w:t>
            </w:r>
          </w:p>
        </w:tc>
        <w:tc>
          <w:tcPr>
            <w:tcW w:type="dxa" w:w="35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Auth Service, Payment Service, Reporting API, Admin Portal</w:t>
            </w:r>
          </w:p>
        </w:tc>
      </w:tr>
      <w:tr>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Authentication Flow</w:t>
            </w:r>
          </w:p>
        </w:tc>
        <w:tc>
          <w:tcPr>
            <w:tcW w:type="dxa" w:w="35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Identity provider integration, session management, token lifecycle</w:t>
            </w:r>
          </w:p>
        </w:tc>
        <w:tc>
          <w:tcPr>
            <w:tcW w:type="dxa" w:w="35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OAuth 2.0 / OIDC via Auth0; JWT with 1-hour expiry; refresh tokens</w:t>
            </w:r>
          </w:p>
        </w:tc>
      </w:tr>
      <w:tr>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API Architecture</w:t>
            </w:r>
          </w:p>
        </w:tc>
        <w:tc>
          <w:tcPr>
            <w:tcW w:type="dxa" w:w="35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Public vs internal APIs, authentication methods, rate limiting</w:t>
            </w:r>
          </w:p>
        </w:tc>
        <w:tc>
          <w:tcPr>
            <w:tcW w:type="dxa" w:w="35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REST APIs (external); gRPC (internal); API keys with RBAC</w:t>
            </w:r>
          </w:p>
        </w:tc>
      </w:tr>
      <w:tr>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Third-Party Integrations</w:t>
            </w:r>
          </w:p>
        </w:tc>
        <w:tc>
          <w:tcPr>
            <w:tcW w:type="dxa" w:w="35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 external SaaS tools with data access scope</w:t>
            </w:r>
          </w:p>
        </w:tc>
        <w:tc>
          <w:tcPr>
            <w:tcW w:type="dxa" w:w="35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Salesforce (CRM), Stripe (payments), Twilio (SMS), Datadog (monitoring)</w:t>
            </w:r>
          </w:p>
        </w:tc>
      </w:tr>
      <w:tr>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Error Handling &amp; Logging</w:t>
            </w:r>
          </w:p>
        </w:tc>
        <w:tc>
          <w:tcPr>
            <w:tcW w:type="dxa" w:w="35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Where application errors are logged, log retention policy</w:t>
            </w:r>
          </w:p>
        </w:tc>
        <w:tc>
          <w:tcPr>
            <w:tcW w:type="dxa" w:w="35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 errors → CloudWatch Logs → Datadog SIEM (retained 1 year)</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1.3 Infrastructure Architecture</w:t>
      </w:r>
    </w:p>
    <w:p>
      <w:pPr>
        <w:spacing w:before="80" w:after="100"/>
      </w:pPr>
      <w:r>
        <w:rPr>
          <w:rFonts w:ascii="Arial" w:cs="Arial" w:eastAsia="Arial" w:hAnsi="Arial"/>
          <w:color w:val="1F1F1F"/>
          <w:sz w:val="20"/>
          <w:szCs w:val="20"/>
        </w:rPr>
        <w:t xml:space="preserve">Infrastructure documentation covers the physical and virtual compute, storage, and networking resources. For cloud environments, this includes IaC (Infrastructure as Code) configuration.</w:t>
      </w:r>
    </w:p>
    <w:p>
      <w:pPr>
        <w:pStyle w:val="Heading2"/>
        <w:pBdr>
          <w:left w:val="single" w:color="2E75B6" w:sz="8"/>
        </w:pBdr>
        <w:spacing w:before="280" w:after="120"/>
        <w:ind w:left="200"/>
      </w:pPr>
      <w:r>
        <w:rPr>
          <w:rFonts w:ascii="Arial" w:cs="Arial" w:eastAsia="Arial" w:hAnsi="Arial"/>
          <w:b/>
          <w:bCs/>
          <w:color w:val="1B3A6B"/>
          <w:sz w:val="28"/>
          <w:szCs w:val="28"/>
        </w:rPr>
        <w:t xml:space="preserve">1.4 Data Flow Architecture</w:t>
      </w:r>
    </w:p>
    <w:p>
      <w:pPr>
        <w:spacing w:before="80" w:after="100"/>
      </w:pPr>
      <w:r>
        <w:rPr>
          <w:rFonts w:ascii="Arial" w:cs="Arial" w:eastAsia="Arial" w:hAnsi="Arial"/>
          <w:color w:val="1F1F1F"/>
          <w:sz w:val="20"/>
          <w:szCs w:val="20"/>
        </w:rPr>
        <w:t xml:space="preserve">Data flow diagrams (DFDs) document how data enters, moves through, and exits the system. These are critical for SOC 2 Privacy and Confidentiality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80"/>
        <w:gridCol w:w="2280"/>
      </w:tblGrid>
      <w:tr>
        <w:trPr>
          <w:tblHeader/>
        </w:trPr>
        <w:tc>
          <w:tcPr>
            <w:tcW w:type="dxa" w:w="2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Data Type</w:t>
            </w:r>
          </w:p>
        </w:tc>
        <w:tc>
          <w:tcPr>
            <w:tcW w:type="dxa" w:w="2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Entry Point</w:t>
            </w:r>
          </w:p>
        </w:tc>
        <w:tc>
          <w:tcPr>
            <w:tcW w:type="dxa" w:w="228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Processing</w:t>
            </w:r>
          </w:p>
        </w:tc>
        <w:tc>
          <w:tcPr>
            <w:tcW w:type="dxa" w:w="228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Exit / Storage</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PII (Name, Email)</w:t>
            </w:r>
          </w:p>
        </w:tc>
        <w:tc>
          <w:tcPr>
            <w:tcW w:type="dxa" w:w="2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Web Registration Form (HTTPS)</w:t>
            </w:r>
          </w:p>
        </w:tc>
        <w:tc>
          <w:tcPr>
            <w:tcW w:type="dxa" w:w="22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Auth Service → User DB (encrypted)</w:t>
            </w:r>
          </w:p>
        </w:tc>
        <w:tc>
          <w:tcPr>
            <w:tcW w:type="dxa" w:w="22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RDS Aurora (AES-256); exported to Salesforce with consent</w:t>
            </w:r>
          </w:p>
        </w:tc>
      </w:tr>
      <w:tr>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Payment Data</w:t>
            </w:r>
          </w:p>
        </w:tc>
        <w:tc>
          <w:tcPr>
            <w:tcW w:type="dxa" w:w="2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Checkout Page → Stripe.js</w:t>
            </w:r>
          </w:p>
        </w:tc>
        <w:tc>
          <w:tcPr>
            <w:tcW w:type="dxa" w:w="22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Tokenized by Stripe; token stored only</w:t>
            </w:r>
          </w:p>
        </w:tc>
        <w:tc>
          <w:tcPr>
            <w:tcW w:type="dxa" w:w="22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Stripe vault; PCI scope excluded from SOC 2</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Audit Logs</w:t>
            </w:r>
          </w:p>
        </w:tc>
        <w:tc>
          <w:tcPr>
            <w:tcW w:type="dxa" w:w="2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Application Events → CloudWatch</w:t>
            </w:r>
          </w:p>
        </w:tc>
        <w:tc>
          <w:tcPr>
            <w:tcW w:type="dxa" w:w="22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Aggregated in Datadog SIEM</w:t>
            </w:r>
          </w:p>
        </w:tc>
        <w:tc>
          <w:tcPr>
            <w:tcW w:type="dxa" w:w="22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S3 (1-year hot; 7-year cold via Glacier)</w:t>
            </w:r>
          </w:p>
        </w:tc>
      </w:tr>
      <w:tr>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API Requests</w:t>
            </w:r>
          </w:p>
        </w:tc>
        <w:tc>
          <w:tcPr>
            <w:tcW w:type="dxa" w:w="2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REST API Gateway</w:t>
            </w:r>
          </w:p>
        </w:tc>
        <w:tc>
          <w:tcPr>
            <w:tcW w:type="dxa" w:w="22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Auth validation → microservices</w:t>
            </w:r>
          </w:p>
        </w:tc>
        <w:tc>
          <w:tcPr>
            <w:tcW w:type="dxa" w:w="22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Request logs in CloudWatch (90-day retention)</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Backup Data</w:t>
            </w:r>
          </w:p>
        </w:tc>
        <w:tc>
          <w:tcPr>
            <w:tcW w:type="dxa" w:w="2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RDS Automated Backup</w:t>
            </w:r>
          </w:p>
        </w:tc>
        <w:tc>
          <w:tcPr>
            <w:tcW w:type="dxa" w:w="22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Encrypted backup snapshot</w:t>
            </w:r>
          </w:p>
        </w:tc>
        <w:tc>
          <w:tcPr>
            <w:tcW w:type="dxa" w:w="22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S3 cross-region (AES-256, 30-day retention)</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1.5 Trust Boundaries</w:t>
      </w:r>
    </w:p>
    <w:p>
      <w:pPr>
        <w:spacing w:before="80" w:after="100"/>
      </w:pPr>
      <w:r>
        <w:rPr>
          <w:rFonts w:ascii="Arial" w:cs="Arial" w:eastAsia="Arial" w:hAnsi="Arial"/>
          <w:color w:val="1F1F1F"/>
          <w:sz w:val="20"/>
          <w:szCs w:val="20"/>
        </w:rPr>
        <w:t xml:space="preserve">Trust boundaries define where different levels of trust exist within and outside the system. Auditors examine controls at each boundary crossing.</w:t>
      </w:r>
    </w:p>
    <w:p>
      <w:pPr>
        <w:pStyle w:val="Heading2"/>
        <w:pBdr>
          <w:left w:val="single" w:color="2E75B6" w:sz="8"/>
        </w:pBdr>
        <w:spacing w:before="280" w:after="120"/>
        <w:ind w:left="200"/>
      </w:pPr>
      <w:r>
        <w:rPr>
          <w:rFonts w:ascii="Arial" w:cs="Arial" w:eastAsia="Arial" w:hAnsi="Arial"/>
          <w:b/>
          <w:bCs/>
          <w:color w:val="1B3A6B"/>
          <w:sz w:val="28"/>
          <w:szCs w:val="28"/>
        </w:rPr>
        <w:t xml:space="preserve">1.6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800"/>
        <w:gridCol w:w="1760"/>
      </w:tblGrid>
      <w:tr>
        <w:trPr>
          <w:tblHeader/>
        </w:trPr>
        <w:tc>
          <w:tcPr>
            <w:tcW w:type="dxa" w:w="2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Vendor</w:t>
            </w:r>
          </w:p>
        </w:tc>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2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Data Shared</w:t>
            </w:r>
          </w:p>
        </w:tc>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Controls</w:t>
            </w:r>
          </w:p>
        </w:tc>
        <w:tc>
          <w:tcPr>
            <w:tcW w:type="dxa" w:w="17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SOC 2 Report</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AWS</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Cloud Infrastructure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 system data</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IAM, VPC, KMS, CloudTrail</w:t>
            </w:r>
          </w:p>
        </w:tc>
        <w:tc>
          <w:tcPr>
            <w:tcW w:type="dxa" w:w="17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SOC 2 Type II (Annual)</w:t>
            </w:r>
          </w:p>
        </w:tc>
      </w:tr>
      <w:tr>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Stripe</w:t>
            </w:r>
          </w:p>
        </w:tc>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Payment Processor</w:t>
            </w:r>
          </w:p>
        </w:tc>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Payment tokens only</w:t>
            </w:r>
          </w:p>
        </w:tc>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PCI DSS Level 1</w:t>
            </w:r>
          </w:p>
        </w:tc>
        <w:tc>
          <w:tcPr>
            <w:tcW w:type="dxa" w:w="17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SOC 1 Type II + PCI</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Auth0 / Okta</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Identity Provider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User identities</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SSO + MFA enforcement</w:t>
            </w:r>
          </w:p>
        </w:tc>
        <w:tc>
          <w:tcPr>
            <w:tcW w:type="dxa" w:w="17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SOC 2 Type II</w:t>
            </w:r>
          </w:p>
        </w:tc>
      </w:tr>
      <w:tr>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Datadog</w:t>
            </w:r>
          </w:p>
        </w:tc>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Observability</w:t>
            </w:r>
          </w:p>
        </w:tc>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Log/metric data</w:t>
            </w:r>
          </w:p>
        </w:tc>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IP allowlist; API key scoping</w:t>
            </w:r>
          </w:p>
        </w:tc>
        <w:tc>
          <w:tcPr>
            <w:tcW w:type="dxa" w:w="17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SOC 2 Type II</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GitHub</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Source 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Code (no prod data)</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SAML SSO; branch protection</w:t>
            </w:r>
          </w:p>
        </w:tc>
        <w:tc>
          <w:tcPr>
            <w:tcW w:type="dxa" w:w="17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SOC 2 Type II</w:t>
            </w:r>
          </w:p>
        </w:tc>
      </w:tr>
    </w:tbl>
    <w:p>
      <w:pPr>
        <w:pBdr>
          <w:left w:val="single" w:color="2E75B6" w:sz="12"/>
        </w:pBdr>
        <w:shd w:fill="D6E4F0" w:val="clear"/>
        <w:spacing w:before="120" w:after="120"/>
        <w:ind w:left="360" w:right="360"/>
      </w:pPr>
      <w:r>
        <w:rPr>
          <w:rFonts w:ascii="Arial" w:cs="Arial" w:eastAsia="Arial" w:hAnsi="Arial"/>
          <w:b/>
          <w:bCs/>
          <w:color w:val="2E75B6"/>
          <w:sz w:val="20"/>
          <w:szCs w:val="20"/>
        </w:rPr>
        <w:t xml:space="preserve">BEST PRACTICE: </w:t>
      </w:r>
      <w:r>
        <w:rPr>
          <w:rFonts w:ascii="Arial" w:cs="Arial" w:eastAsia="Arial" w:hAnsi="Arial"/>
          <w:color w:val="1F1F1F"/>
          <w:sz w:val="20"/>
          <w:szCs w:val="20"/>
        </w:rPr>
        <w:t xml:space="preserve">Maintain a Vendor Risk Register with SOC 2 reports, DPAs, and annual review dates for all third parties with access to your systems or data.</w:t>
      </w:r>
    </w:p>
    <w:p>
      <w:r>
        <w:br w:type="page"/>
      </w:r>
    </w:p>
    <w:p>
      <w:pPr>
        <w:pStyle w:val="Heading1"/>
        <w:pBdr>
          <w:bottom w:val="single" w:color="2E75B6" w:sz="4"/>
        </w:pBdr>
        <w:shd w:fill="1B3A6B" w:val="clear"/>
        <w:spacing w:before="360" w:after="180"/>
        <w:ind w:left="180"/>
      </w:pPr>
      <w:r>
        <w:rPr>
          <w:rFonts w:ascii="Arial" w:cs="Arial" w:eastAsia="Arial" w:hAnsi="Arial"/>
          <w:b/>
          <w:bCs/>
          <w:color w:val="FFFFFF"/>
          <w:sz w:val="36"/>
          <w:szCs w:val="36"/>
        </w:rPr>
        <w:t xml:space="preserve">2. SOC 2 CONTROL FRAMEWORK STRUCTURE</w:t>
      </w:r>
    </w:p>
    <w:p>
      <w:pPr>
        <w:spacing w:before="80" w:after="100"/>
      </w:pPr>
      <w:r>
        <w:rPr>
          <w:rFonts w:ascii="Arial" w:cs="Arial" w:eastAsia="Arial" w:hAnsi="Arial"/>
          <w:color w:val="1F1F1F"/>
          <w:sz w:val="20"/>
          <w:szCs w:val="20"/>
        </w:rPr>
        <w:t xml:space="preserve">The Trust Services Criteria (TSC) align with the COSO Internal Control Integrated Framework. The nine control domains below form the backbone of any SOC 2 examination. The Common Criteria (CC) apply to ALL trust service categories; category-specific criteria apply only when that category is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2760"/>
        <w:gridCol w:w="2960"/>
      </w:tblGrid>
      <w:tr>
        <w:trPr>
          <w:tblHeader/>
        </w:trPr>
        <w:tc>
          <w:tcPr>
            <w:tcW w:type="dxa" w:w="144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Domain</w:t>
            </w:r>
          </w:p>
        </w:tc>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Ref</w:t>
            </w:r>
          </w:p>
        </w:tc>
        <w:tc>
          <w:tcPr>
            <w:tcW w:type="dxa" w:w="27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Purpose</w:t>
            </w:r>
          </w:p>
        </w:tc>
        <w:tc>
          <w:tcPr>
            <w:tcW w:type="dxa" w:w="29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Categories Applicable</w:t>
            </w:r>
          </w:p>
        </w:tc>
      </w:tr>
      <w:tr>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Control Environment</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CC1.1–CC1.5</w:t>
            </w:r>
          </w:p>
        </w:tc>
        <w:tc>
          <w:tcPr>
            <w:tcW w:type="dxa" w:w="27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Tone at the top; governance; accountability</w:t>
            </w:r>
          </w:p>
        </w:tc>
        <w:tc>
          <w:tcPr>
            <w:tcW w:type="dxa" w:w="29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 (Security, Avail., PI, Conf., Privacy)</w:t>
            </w:r>
          </w:p>
        </w:tc>
      </w:tr>
      <w:tr>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Communication &amp; Information</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CC2.1–CC2.3</w:t>
            </w:r>
          </w:p>
        </w:tc>
        <w:tc>
          <w:tcPr>
            <w:tcW w:type="dxa" w:w="27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Information quality; internal/external communication</w:t>
            </w:r>
          </w:p>
        </w:tc>
        <w:tc>
          <w:tcPr>
            <w:tcW w:type="dxa" w:w="29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w:t>
            </w:r>
          </w:p>
        </w:tc>
      </w:tr>
      <w:tr>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Risk Assessment</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CC3.1–CC3.4</w:t>
            </w:r>
          </w:p>
        </w:tc>
        <w:tc>
          <w:tcPr>
            <w:tcW w:type="dxa" w:w="27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Objective setting; threat identification; fraud risk</w:t>
            </w:r>
          </w:p>
        </w:tc>
        <w:tc>
          <w:tcPr>
            <w:tcW w:type="dxa" w:w="29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w:t>
            </w:r>
          </w:p>
        </w:tc>
      </w:tr>
      <w:tr>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Monitoring Activities</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CC4.1–CC4.2</w:t>
            </w:r>
          </w:p>
        </w:tc>
        <w:tc>
          <w:tcPr>
            <w:tcW w:type="dxa" w:w="27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Ongoing and periodic control evaluation</w:t>
            </w:r>
          </w:p>
        </w:tc>
        <w:tc>
          <w:tcPr>
            <w:tcW w:type="dxa" w:w="29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w:t>
            </w:r>
          </w:p>
        </w:tc>
      </w:tr>
      <w:tr>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Control Activities</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CC5.1–CC5.3</w:t>
            </w:r>
          </w:p>
        </w:tc>
        <w:tc>
          <w:tcPr>
            <w:tcW w:type="dxa" w:w="27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Policy deployment; technology controls</w:t>
            </w:r>
          </w:p>
        </w:tc>
        <w:tc>
          <w:tcPr>
            <w:tcW w:type="dxa" w:w="29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w:t>
            </w:r>
          </w:p>
        </w:tc>
      </w:tr>
      <w:tr>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Logical Access</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CC6.1–CC6.8</w:t>
            </w:r>
          </w:p>
        </w:tc>
        <w:tc>
          <w:tcPr>
            <w:tcW w:type="dxa" w:w="27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Authentication; authorization; encryption; boundary protection</w:t>
            </w:r>
          </w:p>
        </w:tc>
        <w:tc>
          <w:tcPr>
            <w:tcW w:type="dxa" w:w="29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w:t>
            </w:r>
          </w:p>
        </w:tc>
      </w:tr>
      <w:tr>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System Operations</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CC7.1–CC7.5</w:t>
            </w:r>
          </w:p>
        </w:tc>
        <w:tc>
          <w:tcPr>
            <w:tcW w:type="dxa" w:w="27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Vulnerability management; incident response; recovery</w:t>
            </w:r>
          </w:p>
        </w:tc>
        <w:tc>
          <w:tcPr>
            <w:tcW w:type="dxa" w:w="29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w:t>
            </w:r>
          </w:p>
        </w:tc>
      </w:tr>
      <w:tr>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Change Management</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CC8.1</w:t>
            </w:r>
          </w:p>
        </w:tc>
        <w:tc>
          <w:tcPr>
            <w:tcW w:type="dxa" w:w="27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Authorized change lifecycle; emergency changes</w:t>
            </w:r>
          </w:p>
        </w:tc>
        <w:tc>
          <w:tcPr>
            <w:tcW w:type="dxa" w:w="29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w:t>
            </w:r>
          </w:p>
        </w:tc>
      </w:tr>
      <w:tr>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Risk Mitigation</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CC9.1–CC9.2</w:t>
            </w:r>
          </w:p>
        </w:tc>
        <w:tc>
          <w:tcPr>
            <w:tcW w:type="dxa" w:w="27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Business continuity; vendor risk management</w:t>
            </w:r>
          </w:p>
        </w:tc>
        <w:tc>
          <w:tcPr>
            <w:tcW w:type="dxa" w:w="29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2.1 CC1 — Control Environment</w:t>
      </w:r>
    </w:p>
    <w:p>
      <w:pPr>
        <w:spacing w:before="80" w:after="100"/>
      </w:pPr>
      <w:r>
        <w:rPr>
          <w:rFonts w:ascii="Arial" w:cs="Arial" w:eastAsia="Arial" w:hAnsi="Arial"/>
          <w:color w:val="1F1F1F"/>
          <w:sz w:val="20"/>
          <w:szCs w:val="20"/>
        </w:rPr>
        <w:t xml:space="preserve">The control environment is the foundation of SOC 2. It addresses organizational governance, ethics, competence, accountability, and oversight. Auditors evaluate whether the 'tone at the top' supports effective internal control.</w:t>
      </w:r>
    </w:p>
    <w:p>
      <w:pPr>
        <w:pStyle w:val="Heading3"/>
        <w:spacing w:before="200" w:after="80"/>
      </w:pPr>
      <w:r>
        <w:rPr>
          <w:rFonts w:ascii="Arial" w:cs="Arial" w:eastAsia="Arial" w:hAnsi="Arial"/>
          <w:b/>
          <w:bCs/>
          <w:color w:val="2E75B6"/>
          <w:sz w:val="22"/>
          <w:szCs w:val="22"/>
        </w:rPr>
        <w:t xml:space="preserve">Key Criteria: CC1.1 – CC1.5</w:t>
      </w:r>
    </w:p>
    <w:p>
      <w:pPr>
        <w:pStyle w:val="Heading3"/>
        <w:spacing w:before="200" w:after="80"/>
      </w:pPr>
      <w:r>
        <w:rPr>
          <w:rFonts w:ascii="Arial" w:cs="Arial" w:eastAsia="Arial" w:hAnsi="Arial"/>
          <w:b/>
          <w:bCs/>
          <w:color w:val="2E75B6"/>
          <w:sz w:val="22"/>
          <w:szCs w:val="22"/>
        </w:rPr>
        <w:t xml:space="preserve">Example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Control Ref</w:t>
            </w:r>
          </w:p>
        </w:tc>
        <w:tc>
          <w:tcPr>
            <w:tcW w:type="dxa" w:w="4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Control Description</w:t>
            </w:r>
          </w:p>
        </w:tc>
        <w:tc>
          <w:tcPr>
            <w:tcW w:type="dxa" w:w="35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Evidence Example</w:t>
            </w:r>
          </w:p>
        </w:tc>
      </w:tr>
      <w:tr>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CC1.1-01</w:t>
            </w:r>
          </w:p>
        </w:tc>
        <w:tc>
          <w:tcPr>
            <w:tcW w:type="dxa" w:w="4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 Code of Conduct training required for all employees and contractors</w:t>
            </w:r>
          </w:p>
        </w:tc>
        <w:tc>
          <w:tcPr>
            <w:tcW w:type="dxa" w:w="3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LMS completion report showing 100% completion within 30 days of hire and annually</w:t>
            </w:r>
          </w:p>
        </w:tc>
      </w:tr>
      <w:tr>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CC1.2-01</w:t>
            </w:r>
          </w:p>
        </w:tc>
        <w:tc>
          <w:tcPr>
            <w:tcW w:type="dxa" w:w="4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Quarterly board/audit committee meetings include security and risk review</w:t>
            </w:r>
          </w:p>
        </w:tc>
        <w:tc>
          <w:tcPr>
            <w:tcW w:type="dxa" w:w="3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Signed board meeting minutes with security agenda item</w:t>
            </w:r>
          </w:p>
        </w:tc>
      </w:tr>
      <w:tr>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CC1.3-01</w:t>
            </w:r>
          </w:p>
        </w:tc>
        <w:tc>
          <w:tcPr>
            <w:tcW w:type="dxa" w:w="4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RACI matrix maintained for all SOC 2 in-scope roles and responsibilities</w:t>
            </w:r>
          </w:p>
        </w:tc>
        <w:tc>
          <w:tcPr>
            <w:tcW w:type="dxa" w:w="3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Current RACI document approved by CISO, reviewed annually</w:t>
            </w:r>
          </w:p>
        </w:tc>
      </w:tr>
      <w:tr>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CC1.4-01</w:t>
            </w:r>
          </w:p>
        </w:tc>
        <w:tc>
          <w:tcPr>
            <w:tcW w:type="dxa" w:w="4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Background screening completed for all new hires before system access granted</w:t>
            </w:r>
          </w:p>
        </w:tc>
        <w:tc>
          <w:tcPr>
            <w:tcW w:type="dxa" w:w="3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HR onboarding checklist showing background check cleared before Day 1 access</w:t>
            </w:r>
          </w:p>
        </w:tc>
      </w:tr>
      <w:tr>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CC1.5-01</w:t>
            </w:r>
          </w:p>
        </w:tc>
        <w:tc>
          <w:tcPr>
            <w:tcW w:type="dxa" w:w="4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 performance reviews include security responsibilities assessment</w:t>
            </w:r>
          </w:p>
        </w:tc>
        <w:tc>
          <w:tcPr>
            <w:tcW w:type="dxa" w:w="3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Performance review templates with security metrics; documented corrective actions</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2.2 CC2 — Communication &amp; Information</w:t>
      </w:r>
    </w:p>
    <w:p>
      <w:pPr>
        <w:spacing w:before="80" w:after="100"/>
      </w:pPr>
      <w:r>
        <w:rPr>
          <w:rFonts w:ascii="Arial" w:cs="Arial" w:eastAsia="Arial" w:hAnsi="Arial"/>
          <w:color w:val="1F1F1F"/>
          <w:sz w:val="20"/>
          <w:szCs w:val="20"/>
        </w:rPr>
        <w:t xml:space="preserve">This domain covers how the organization obtains, uses, and communicates quality information internally and externally. It includes security awareness training, incident reporting channels, and stakeholder communications.</w:t>
      </w:r>
    </w:p>
    <w:p>
      <w:pPr>
        <w:pStyle w:val="Heading3"/>
        <w:spacing w:before="200" w:after="80"/>
      </w:pPr>
      <w:r>
        <w:rPr>
          <w:rFonts w:ascii="Arial" w:cs="Arial" w:eastAsia="Arial" w:hAnsi="Arial"/>
          <w:b/>
          <w:bCs/>
          <w:color w:val="2E75B6"/>
          <w:sz w:val="22"/>
          <w:szCs w:val="22"/>
        </w:rPr>
        <w:t xml:space="preserve">Example Controls</w:t>
      </w:r>
    </w:p>
    <w:p>
      <w:pPr>
        <w:pStyle w:val="Heading2"/>
        <w:pBdr>
          <w:left w:val="single" w:color="2E75B6" w:sz="8"/>
        </w:pBdr>
        <w:spacing w:before="280" w:after="120"/>
        <w:ind w:left="200"/>
      </w:pPr>
      <w:r>
        <w:rPr>
          <w:rFonts w:ascii="Arial" w:cs="Arial" w:eastAsia="Arial" w:hAnsi="Arial"/>
          <w:b/>
          <w:bCs/>
          <w:color w:val="1B3A6B"/>
          <w:sz w:val="28"/>
          <w:szCs w:val="28"/>
        </w:rPr>
        <w:t xml:space="preserve">2.3 CC3 — Risk Assessment</w:t>
      </w:r>
    </w:p>
    <w:p>
      <w:pPr>
        <w:spacing w:before="80" w:after="100"/>
      </w:pPr>
      <w:r>
        <w:rPr>
          <w:rFonts w:ascii="Arial" w:cs="Arial" w:eastAsia="Arial" w:hAnsi="Arial"/>
          <w:color w:val="1F1F1F"/>
          <w:sz w:val="20"/>
          <w:szCs w:val="20"/>
        </w:rPr>
        <w:t xml:space="preserve">Risk assessment requires identifying threats, vulnerabilities, and the likelihood/impact of risks. It must be formal, periodic, and include IT-specific risks such as third-party vulnerabilities and fraud via IT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rPr>
          <w:tblHeader/>
        </w:trPr>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Criterion</w:t>
            </w:r>
          </w:p>
        </w:tc>
        <w:tc>
          <w:tcPr>
            <w:tcW w:type="dxa" w:w="27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Requirement</w:t>
            </w:r>
          </w:p>
        </w:tc>
        <w:tc>
          <w:tcPr>
            <w:tcW w:type="dxa" w:w="4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Implementation Example</w:t>
            </w:r>
          </w:p>
        </w:tc>
      </w:tr>
      <w:tr>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CC3.1</w:t>
            </w:r>
          </w:p>
        </w:tc>
        <w:tc>
          <w:tcPr>
            <w:tcW w:type="dxa" w:w="27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Specify objectives for risk assessment</w:t>
            </w:r>
          </w:p>
        </w:tc>
        <w:tc>
          <w:tcPr>
            <w:tcW w:type="dxa" w:w="4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 risk assessment defines objectives aligned to SOC 2 categories (Security, Availability, etc.)</w:t>
            </w:r>
          </w:p>
        </w:tc>
      </w:tr>
      <w:tr>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CC3.2</w:t>
            </w:r>
          </w:p>
        </w:tc>
        <w:tc>
          <w:tcPr>
            <w:tcW w:type="dxa" w:w="27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Identify and analyze risks across entity</w:t>
            </w:r>
          </w:p>
        </w:tc>
        <w:tc>
          <w:tcPr>
            <w:tcW w:type="dxa" w:w="4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Risk register with likelihood/impact ratings; updated upon material changes; reviewed quarterly</w:t>
            </w:r>
          </w:p>
        </w:tc>
      </w:tr>
      <w:tr>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CC3.3</w:t>
            </w:r>
          </w:p>
        </w:tc>
        <w:tc>
          <w:tcPr>
            <w:tcW w:type="dxa" w:w="27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Consider potential for fraud in risk assessment</w:t>
            </w:r>
          </w:p>
        </w:tc>
        <w:tc>
          <w:tcPr>
            <w:tcW w:type="dxa" w:w="4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Fraud risk matrix covering data manipulation, unauthorized access, insider threat; annual review</w:t>
            </w:r>
          </w:p>
        </w:tc>
      </w:tr>
      <w:tr>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CC3.4</w:t>
            </w:r>
          </w:p>
        </w:tc>
        <w:tc>
          <w:tcPr>
            <w:tcW w:type="dxa" w:w="27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Identify changes that impact internal control</w:t>
            </w:r>
          </w:p>
        </w:tc>
        <w:tc>
          <w:tcPr>
            <w:tcW w:type="dxa" w:w="4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Change management triggers risk re-assessment; technology changes reviewed through Security Review Board</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2.4 CC4 — Monitoring Activities</w:t>
      </w:r>
    </w:p>
    <w:p>
      <w:pPr>
        <w:spacing w:before="80" w:after="100"/>
      </w:pPr>
      <w:r>
        <w:rPr>
          <w:rFonts w:ascii="Arial" w:cs="Arial" w:eastAsia="Arial" w:hAnsi="Arial"/>
          <w:color w:val="1F1F1F"/>
          <w:sz w:val="20"/>
          <w:szCs w:val="20"/>
        </w:rPr>
        <w:t xml:space="preserve">Monitoring ensures controls are present and functioning. It includes both ongoing monitoring (continuous logs, automated alerts) and separate evaluations (internal audits, penetration tests, vulnerability scans).</w:t>
      </w:r>
    </w:p>
    <w:p>
      <w:pPr>
        <w:pStyle w:val="Heading2"/>
        <w:pBdr>
          <w:left w:val="single" w:color="2E75B6" w:sz="8"/>
        </w:pBdr>
        <w:spacing w:before="280" w:after="120"/>
        <w:ind w:left="200"/>
      </w:pPr>
      <w:r>
        <w:rPr>
          <w:rFonts w:ascii="Arial" w:cs="Arial" w:eastAsia="Arial" w:hAnsi="Arial"/>
          <w:b/>
          <w:bCs/>
          <w:color w:val="1B3A6B"/>
          <w:sz w:val="28"/>
          <w:szCs w:val="28"/>
        </w:rPr>
        <w:t xml:space="preserve">2.5 CC5 — Control Activities</w:t>
      </w:r>
    </w:p>
    <w:p>
      <w:pPr>
        <w:spacing w:before="80" w:after="100"/>
      </w:pPr>
      <w:r>
        <w:rPr>
          <w:rFonts w:ascii="Arial" w:cs="Arial" w:eastAsia="Arial" w:hAnsi="Arial"/>
          <w:color w:val="1F1F1F"/>
          <w:sz w:val="20"/>
          <w:szCs w:val="20"/>
        </w:rPr>
        <w:t xml:space="preserve">Control activities are the specific policies and procedures that mitigate risks. They include manual and automated controls, preventive and detective controls, and technology general controls (TGCs).</w:t>
      </w:r>
    </w:p>
    <w:p>
      <w:pPr>
        <w:pStyle w:val="Heading2"/>
        <w:pBdr>
          <w:left w:val="single" w:color="2E75B6" w:sz="8"/>
        </w:pBdr>
        <w:spacing w:before="280" w:after="120"/>
        <w:ind w:left="200"/>
      </w:pPr>
      <w:r>
        <w:rPr>
          <w:rFonts w:ascii="Arial" w:cs="Arial" w:eastAsia="Arial" w:hAnsi="Arial"/>
          <w:b/>
          <w:bCs/>
          <w:color w:val="1B3A6B"/>
          <w:sz w:val="28"/>
          <w:szCs w:val="28"/>
        </w:rPr>
        <w:t xml:space="preserve">2.6 CC6 — Logical and Physical Access Controls</w:t>
      </w:r>
    </w:p>
    <w:p>
      <w:pPr>
        <w:spacing w:before="80" w:after="100"/>
      </w:pPr>
      <w:r>
        <w:rPr>
          <w:rFonts w:ascii="Arial" w:cs="Arial" w:eastAsia="Arial" w:hAnsi="Arial"/>
          <w:color w:val="1F1F1F"/>
          <w:sz w:val="20"/>
          <w:szCs w:val="20"/>
        </w:rPr>
        <w:t xml:space="preserve">CC6 is typically the most evidence-rich domain. It covers access provisioning, authentication, physical security, encryption, and boundary protection across eight specific criteria (CC6.1–CC6.8).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720"/>
        <w:gridCol w:w="4200"/>
      </w:tblGrid>
      <w:tr>
        <w:trPr>
          <w:tblHeader/>
        </w:trPr>
        <w:tc>
          <w:tcPr>
            <w:tcW w:type="dxa" w:w="144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Ref</w:t>
            </w:r>
          </w:p>
        </w:tc>
        <w:tc>
          <w:tcPr>
            <w:tcW w:type="dxa" w:w="372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Control Area</w:t>
            </w:r>
          </w:p>
        </w:tc>
        <w:tc>
          <w:tcPr>
            <w:tcW w:type="dxa" w:w="4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Implementation</w:t>
            </w:r>
          </w:p>
        </w:tc>
      </w:tr>
      <w:tr>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CC6.1</w:t>
            </w:r>
          </w:p>
        </w:tc>
        <w:tc>
          <w:tcPr>
            <w:tcW w:type="dxa" w:w="37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Logical access security over protected assets</w:t>
            </w:r>
          </w:p>
        </w:tc>
        <w:tc>
          <w:tcPr>
            <w:tcW w:type="dxa" w:w="4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IAM roles with least privilege; MFA on all accounts; SSO via Okta; API key rotation every 90 days</w:t>
            </w:r>
          </w:p>
        </w:tc>
      </w:tr>
      <w:tr>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CC6.2</w:t>
            </w:r>
          </w:p>
        </w:tc>
        <w:tc>
          <w:tcPr>
            <w:tcW w:type="dxa" w:w="37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User provisioning and de-provisioning</w:t>
            </w:r>
          </w:p>
        </w:tc>
        <w:tc>
          <w:tcPr>
            <w:tcW w:type="dxa" w:w="4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Automated provisioning via SCIM; access removed within 24 hours of termination; quarterly access reviews</w:t>
            </w:r>
          </w:p>
        </w:tc>
      </w:tr>
      <w:tr>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CC6.3</w:t>
            </w:r>
          </w:p>
        </w:tc>
        <w:tc>
          <w:tcPr>
            <w:tcW w:type="dxa" w:w="37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Role-based access control</w:t>
            </w:r>
          </w:p>
        </w:tc>
        <w:tc>
          <w:tcPr>
            <w:tcW w:type="dxa" w:w="4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RBAC enforced across all systems; roles reviewed quarterly; separation of duties for financial systems</w:t>
            </w:r>
          </w:p>
        </w:tc>
      </w:tr>
      <w:tr>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CC6.4</w:t>
            </w:r>
          </w:p>
        </w:tc>
        <w:tc>
          <w:tcPr>
            <w:tcW w:type="dxa" w:w="37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Physical access to facilities</w:t>
            </w:r>
          </w:p>
        </w:tc>
        <w:tc>
          <w:tcPr>
            <w:tcW w:type="dxa" w:w="4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Badge access to data centers; CCTV; visitor logs; co-location provider SOC 2 reports reviewed annually</w:t>
            </w:r>
          </w:p>
        </w:tc>
      </w:tr>
      <w:tr>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CC6.5</w:t>
            </w:r>
          </w:p>
        </w:tc>
        <w:tc>
          <w:tcPr>
            <w:tcW w:type="dxa" w:w="37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Disposal of information assets</w:t>
            </w:r>
          </w:p>
        </w:tc>
        <w:tc>
          <w:tcPr>
            <w:tcW w:type="dxa" w:w="4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 destruction policy; DoD 5220.22-M wiping for SSDs; certificates of destruction retained</w:t>
            </w:r>
          </w:p>
        </w:tc>
      </w:tr>
      <w:tr>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CC6.6</w:t>
            </w:r>
          </w:p>
        </w:tc>
        <w:tc>
          <w:tcPr>
            <w:tcW w:type="dxa" w:w="37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Boundary protection from external threats</w:t>
            </w:r>
          </w:p>
        </w:tc>
        <w:tc>
          <w:tcPr>
            <w:tcW w:type="dxa" w:w="4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WAF + IDS/IPS; firewall rules reviewed quarterly; vulnerability scanning monthly</w:t>
            </w:r>
          </w:p>
        </w:tc>
      </w:tr>
      <w:tr>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CC6.7</w:t>
            </w:r>
          </w:p>
        </w:tc>
        <w:tc>
          <w:tcPr>
            <w:tcW w:type="dxa" w:w="37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Transmission and movement of information</w:t>
            </w:r>
          </w:p>
        </w:tc>
        <w:tc>
          <w:tcPr>
            <w:tcW w:type="dxa" w:w="4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TLS 1.2+ for all data in transit; DLP tools; encrypted email for sensitive communications</w:t>
            </w:r>
          </w:p>
        </w:tc>
      </w:tr>
      <w:tr>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CC6.8</w:t>
            </w:r>
          </w:p>
        </w:tc>
        <w:tc>
          <w:tcPr>
            <w:tcW w:type="dxa" w:w="37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Prevention of malicious software</w:t>
            </w:r>
          </w:p>
        </w:tc>
        <w:tc>
          <w:tcPr>
            <w:tcW w:type="dxa" w:w="4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EDR on all endpoints (CrowdStrike); SAST/DAST in pipeline; container image scanning</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2.7 CC7 — System Operations</w:t>
      </w:r>
    </w:p>
    <w:p>
      <w:pPr>
        <w:spacing w:before="80" w:after="100"/>
      </w:pPr>
      <w:r>
        <w:rPr>
          <w:rFonts w:ascii="Arial" w:cs="Arial" w:eastAsia="Arial" w:hAnsi="Arial"/>
          <w:color w:val="1F1F1F"/>
          <w:sz w:val="20"/>
          <w:szCs w:val="20"/>
        </w:rPr>
        <w:t xml:space="preserve">System Operations covers vulnerability management, anomaly detection, security incident response, and recovery. This domain requires both preventive controls and documented, tested response procedures.</w:t>
      </w:r>
    </w:p>
    <w:p>
      <w:pPr>
        <w:pStyle w:val="Heading2"/>
        <w:pBdr>
          <w:left w:val="single" w:color="2E75B6" w:sz="8"/>
        </w:pBdr>
        <w:spacing w:before="280" w:after="120"/>
        <w:ind w:left="200"/>
      </w:pPr>
      <w:r>
        <w:rPr>
          <w:rFonts w:ascii="Arial" w:cs="Arial" w:eastAsia="Arial" w:hAnsi="Arial"/>
          <w:b/>
          <w:bCs/>
          <w:color w:val="1B3A6B"/>
          <w:sz w:val="28"/>
          <w:szCs w:val="28"/>
        </w:rPr>
        <w:t xml:space="preserve">2.8 CC8 — Change Management</w:t>
      </w:r>
    </w:p>
    <w:p>
      <w:pPr>
        <w:spacing w:before="80" w:after="100"/>
      </w:pPr>
      <w:r>
        <w:rPr>
          <w:rFonts w:ascii="Arial" w:cs="Arial" w:eastAsia="Arial" w:hAnsi="Arial"/>
          <w:color w:val="1F1F1F"/>
          <w:sz w:val="20"/>
          <w:szCs w:val="20"/>
        </w:rPr>
        <w:t xml:space="preserve">Change management ensures that all changes to infrastructure, software, data, and procedures are authorized, tested, documented, and deployed in a controlled manner — preventing unauthorized or unintended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Change Type</w:t>
            </w:r>
          </w:p>
        </w:tc>
        <w:tc>
          <w:tcPr>
            <w:tcW w:type="dxa" w:w="328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Required Process</w:t>
            </w:r>
          </w:p>
        </w:tc>
        <w:tc>
          <w:tcPr>
            <w:tcW w:type="dxa" w:w="328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Evidence</w:t>
            </w:r>
          </w:p>
        </w:tc>
      </w:tr>
      <w:tr>
        <w:tc>
          <w:tcPr>
            <w:tcW w:type="dxa" w:w="2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Standard Change (Code)</w:t>
            </w:r>
          </w:p>
        </w:tc>
        <w:tc>
          <w:tcPr>
            <w:tcW w:type="dxa" w:w="32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 → Peer review (2 approvals) → CI/CD pipeline → Staging → Production</w:t>
            </w:r>
          </w:p>
        </w:tc>
        <w:tc>
          <w:tcPr>
            <w:tcW w:type="dxa" w:w="32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GitHub PR history; CI/CD build logs; deployment records</w:t>
            </w:r>
          </w:p>
        </w:tc>
      </w:tr>
      <w:tr>
        <w:tc>
          <w:tcPr>
            <w:tcW w:type="dxa" w:w="2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Infrastructure Change</w:t>
            </w:r>
          </w:p>
        </w:tc>
        <w:tc>
          <w:tcPr>
            <w:tcW w:type="dxa" w:w="32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RFC ticket → Security review → Change Advisory Board approval → IaC apply</w:t>
            </w:r>
          </w:p>
        </w:tc>
        <w:tc>
          <w:tcPr>
            <w:tcW w:type="dxa" w:w="32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Jira/ServiceNow ticket; Terraform plan output; CAB meeting minutes</w:t>
            </w:r>
          </w:p>
        </w:tc>
      </w:tr>
      <w:tr>
        <w:tc>
          <w:tcPr>
            <w:tcW w:type="dxa" w:w="2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Emergency Change</w:t>
            </w:r>
          </w:p>
        </w:tc>
        <w:tc>
          <w:tcPr>
            <w:tcW w:type="dxa" w:w="32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Emergency change request → Senior approval (documented) → Deploy → Post-change review within 24h</w:t>
            </w:r>
          </w:p>
        </w:tc>
        <w:tc>
          <w:tcPr>
            <w:tcW w:type="dxa" w:w="32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Emergency ticket with approvals; post-change review record</w:t>
            </w:r>
          </w:p>
        </w:tc>
      </w:tr>
      <w:tr>
        <w:tc>
          <w:tcPr>
            <w:tcW w:type="dxa" w:w="2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Configuration Change</w:t>
            </w:r>
          </w:p>
        </w:tc>
        <w:tc>
          <w:tcPr>
            <w:tcW w:type="dxa" w:w="32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Config change request → Test in non-prod → Peer approval → Deploy with rollback plan</w:t>
            </w:r>
          </w:p>
        </w:tc>
        <w:tc>
          <w:tcPr>
            <w:tcW w:type="dxa" w:w="32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Change ticket; test results; rollback documentation</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2.9 CC9 — Risk Mitigation</w:t>
      </w:r>
    </w:p>
    <w:p>
      <w:pPr>
        <w:spacing w:before="80" w:after="100"/>
      </w:pPr>
      <w:r>
        <w:rPr>
          <w:rFonts w:ascii="Arial" w:cs="Arial" w:eastAsia="Arial" w:hAnsi="Arial"/>
          <w:color w:val="1F1F1F"/>
          <w:sz w:val="20"/>
          <w:szCs w:val="20"/>
        </w:rPr>
        <w:t xml:space="preserve">Risk mitigation addresses business continuity planning and vendor/business partner risk management. It requires proactive identification and management of risks from third parties and operational disruptions.</w:t>
      </w:r>
    </w:p>
    <w:p>
      <w:r>
        <w:br w:type="page"/>
      </w:r>
    </w:p>
    <w:p>
      <w:pPr>
        <w:pStyle w:val="Heading1"/>
        <w:pBdr>
          <w:bottom w:val="single" w:color="2E75B6" w:sz="4"/>
        </w:pBdr>
        <w:shd w:fill="1B3A6B" w:val="clear"/>
        <w:spacing w:before="360" w:after="180"/>
        <w:ind w:left="180"/>
      </w:pPr>
      <w:r>
        <w:rPr>
          <w:rFonts w:ascii="Arial" w:cs="Arial" w:eastAsia="Arial" w:hAnsi="Arial"/>
          <w:b/>
          <w:bCs/>
          <w:color w:val="FFFFFF"/>
          <w:sz w:val="36"/>
          <w:szCs w:val="36"/>
        </w:rPr>
        <w:t xml:space="preserve">3. CONTROL IMPLEMENTATION DESIGN</w:t>
      </w:r>
    </w:p>
    <w:p>
      <w:pPr>
        <w:spacing w:before="80" w:after="100"/>
      </w:pPr>
      <w:r>
        <w:rPr>
          <w:rFonts w:ascii="Arial" w:cs="Arial" w:eastAsia="Arial" w:hAnsi="Arial"/>
          <w:color w:val="1F1F1F"/>
          <w:sz w:val="20"/>
          <w:szCs w:val="20"/>
        </w:rPr>
        <w:t xml:space="preserve">This section provides a complete control matrix for a SaaS company. Each control includes its implementation method, responsible team, frequency, and related system. This matrix should be maintained as a living document and serves as the primary reference during an audit.</w:t>
      </w:r>
    </w:p>
    <w:p>
      <w:pPr>
        <w:pStyle w:val="Heading2"/>
        <w:pBdr>
          <w:left w:val="single" w:color="2E75B6" w:sz="8"/>
        </w:pBdr>
        <w:spacing w:before="280" w:after="120"/>
        <w:ind w:left="200"/>
      </w:pPr>
      <w:r>
        <w:rPr>
          <w:rFonts w:ascii="Arial" w:cs="Arial" w:eastAsia="Arial" w:hAnsi="Arial"/>
          <w:b/>
          <w:bCs/>
          <w:color w:val="1B3A6B"/>
          <w:sz w:val="28"/>
          <w:szCs w:val="28"/>
        </w:rPr>
        <w:t xml:space="preserve">3.1 Control Implementation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2200"/>
        <w:gridCol w:w="1680"/>
        <w:gridCol w:w="1320"/>
        <w:gridCol w:w="1400"/>
      </w:tblGrid>
      <w:tr>
        <w:trPr>
          <w:tblHeader/>
        </w:trPr>
        <w:tc>
          <w:tcPr>
            <w:tcW w:type="dxa" w:w="1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Control ID</w:t>
            </w:r>
          </w:p>
        </w:tc>
        <w:tc>
          <w:tcPr>
            <w:tcW w:type="dxa" w:w="15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Domain</w:t>
            </w:r>
          </w:p>
        </w:tc>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Control Description</w:t>
            </w:r>
          </w:p>
        </w:tc>
        <w:tc>
          <w:tcPr>
            <w:tcW w:type="dxa" w:w="168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Implementation Method</w:t>
            </w:r>
          </w:p>
        </w:tc>
        <w:tc>
          <w:tcPr>
            <w:tcW w:type="dxa" w:w="132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Owner</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Frequency</w:t>
            </w:r>
          </w:p>
        </w:tc>
      </w:tr>
      <w:tr>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CC1.1-01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Ctrl Env</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Code of Conduct training for all personnel</w:t>
            </w:r>
          </w:p>
        </w:tc>
        <w:tc>
          <w:tcPr>
            <w:tcW w:type="dxa" w:w="16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LMS (Workday Learning); auto-enrollment at hire + annual</w:t>
            </w:r>
          </w:p>
        </w:tc>
        <w:tc>
          <w:tcPr>
            <w:tcW w:type="dxa" w:w="13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HR / Legal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 + New Hire</w:t>
            </w:r>
          </w:p>
        </w:tc>
      </w:tr>
      <w:tr>
        <w:tc>
          <w:tcPr>
            <w:tcW w:type="dxa" w:w="1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CC1.4-01</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Ctrl Env</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Background check before system access</w:t>
            </w:r>
          </w:p>
        </w:tc>
        <w:tc>
          <w:tcPr>
            <w:tcW w:type="dxa" w:w="16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HR initiates via Sterling; access held until cleared</w:t>
            </w:r>
          </w:p>
        </w:tc>
        <w:tc>
          <w:tcPr>
            <w:tcW w:type="dxa" w:w="13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HR</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 Hire</w:t>
            </w:r>
          </w:p>
        </w:tc>
      </w:tr>
      <w:tr>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CC2.2-01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Comm &amp; Info</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 awareness training + phishing simulations</w:t>
            </w:r>
          </w:p>
        </w:tc>
        <w:tc>
          <w:tcPr>
            <w:tcW w:type="dxa" w:w="16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KnowBe4 platform; monthly phishing; quarterly training</w:t>
            </w:r>
          </w:p>
        </w:tc>
        <w:tc>
          <w:tcPr>
            <w:tcW w:type="dxa" w:w="13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Monthly / Quarterly</w:t>
            </w:r>
          </w:p>
        </w:tc>
      </w:tr>
      <w:tr>
        <w:tc>
          <w:tcPr>
            <w:tcW w:type="dxa" w:w="1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CC2.1-01</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Comm &amp; Info</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Asset inventory classification and management</w:t>
            </w:r>
          </w:p>
        </w:tc>
        <w:tc>
          <w:tcPr>
            <w:tcW w:type="dxa" w:w="16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AWS Config + CMDB (ServiceNow); auto-discovery + tagging</w:t>
            </w:r>
          </w:p>
        </w:tc>
        <w:tc>
          <w:tcPr>
            <w:tcW w:type="dxa" w:w="13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IT / DevOps</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Continuous</w:t>
            </w:r>
          </w:p>
        </w:tc>
      </w:tr>
      <w:tr>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CC3.2-01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Risk Assess</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 formal risk assessment</w:t>
            </w:r>
          </w:p>
        </w:tc>
        <w:tc>
          <w:tcPr>
            <w:tcW w:type="dxa" w:w="16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Facilitated workshops + Risk register in GRC tool (Vanta)</w:t>
            </w:r>
          </w:p>
        </w:tc>
        <w:tc>
          <w:tcPr>
            <w:tcW w:type="dxa" w:w="13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CISO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w:t>
            </w:r>
          </w:p>
        </w:tc>
      </w:tr>
      <w:tr>
        <w:tc>
          <w:tcPr>
            <w:tcW w:type="dxa" w:w="1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CC4.1-01</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Monitoring</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Continuous control monitoring via SIEM</w:t>
            </w:r>
          </w:p>
        </w:tc>
        <w:tc>
          <w:tcPr>
            <w:tcW w:type="dxa" w:w="16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Datadog + AWS GuardDuty + CloudTrail; alert rules defined</w:t>
            </w:r>
          </w:p>
        </w:tc>
        <w:tc>
          <w:tcPr>
            <w:tcW w:type="dxa" w:w="13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 Ops</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Continuous</w:t>
            </w:r>
          </w:p>
        </w:tc>
      </w:tr>
      <w:tr>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CC4.1-02</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Monitoring</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 penetration test by qualified external party</w:t>
            </w:r>
          </w:p>
        </w:tc>
        <w:tc>
          <w:tcPr>
            <w:tcW w:type="dxa" w:w="16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Third-party pentest firm; scope: production applications + infra</w:t>
            </w:r>
          </w:p>
        </w:tc>
        <w:tc>
          <w:tcPr>
            <w:tcW w:type="dxa" w:w="13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CISO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w:t>
            </w:r>
          </w:p>
        </w:tc>
      </w:tr>
      <w:tr>
        <w:tc>
          <w:tcPr>
            <w:tcW w:type="dxa" w:w="1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CC5.3-01</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Ctrl Act</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Policy review and acknowledgment</w:t>
            </w:r>
          </w:p>
        </w:tc>
        <w:tc>
          <w:tcPr>
            <w:tcW w:type="dxa" w:w="16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Policies in Confluence; annual acknowledgment via DocuSign</w:t>
            </w:r>
          </w:p>
        </w:tc>
        <w:tc>
          <w:tcPr>
            <w:tcW w:type="dxa" w:w="13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Legal / CISO</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w:t>
            </w:r>
          </w:p>
        </w:tc>
      </w:tr>
      <w:tr>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CC6.1-01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 Access</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MFA enforced for all user accounts</w:t>
            </w:r>
          </w:p>
        </w:tc>
        <w:tc>
          <w:tcPr>
            <w:tcW w:type="dxa" w:w="16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Okta SSO with TOTP/WebAuthn; MFA required at login</w:t>
            </w:r>
          </w:p>
        </w:tc>
        <w:tc>
          <w:tcPr>
            <w:tcW w:type="dxa" w:w="13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IT / Security</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Continuous</w:t>
            </w:r>
          </w:p>
        </w:tc>
      </w:tr>
      <w:tr>
        <w:tc>
          <w:tcPr>
            <w:tcW w:type="dxa" w:w="1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CC6.1-02</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 Access</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Encryption of data at rest and in transit</w:t>
            </w:r>
          </w:p>
        </w:tc>
        <w:tc>
          <w:tcPr>
            <w:tcW w:type="dxa" w:w="16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AWS KMS (AES-256 at rest); TLS 1.2+ (in transit); enforced via policy</w:t>
            </w:r>
          </w:p>
        </w:tc>
        <w:tc>
          <w:tcPr>
            <w:tcW w:type="dxa" w:w="13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DevOps / Security</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Continuous</w:t>
            </w:r>
          </w:p>
        </w:tc>
      </w:tr>
      <w:tr>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CC6.2-01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 Access</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Access provisioning via approved request</w:t>
            </w:r>
          </w:p>
        </w:tc>
        <w:tc>
          <w:tcPr>
            <w:tcW w:type="dxa" w:w="16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JIRA ticket → Manager approval → IT provisions via Okta SCIM</w:t>
            </w:r>
          </w:p>
        </w:tc>
        <w:tc>
          <w:tcPr>
            <w:tcW w:type="dxa" w:w="13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 Request</w:t>
            </w:r>
          </w:p>
        </w:tc>
      </w:tr>
      <w:tr>
        <w:tc>
          <w:tcPr>
            <w:tcW w:type="dxa" w:w="1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CC6.2-02</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 Access</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Access de-provisioning within 24h of termination</w:t>
            </w:r>
          </w:p>
        </w:tc>
        <w:tc>
          <w:tcPr>
            <w:tcW w:type="dxa" w:w="16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HR sends termination notice → automated Okta deactivation</w:t>
            </w:r>
          </w:p>
        </w:tc>
        <w:tc>
          <w:tcPr>
            <w:tcW w:type="dxa" w:w="13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HR / IT</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 Termination</w:t>
            </w:r>
          </w:p>
        </w:tc>
      </w:tr>
      <w:tr>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CC6.3-01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 Access</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Quarterly access reviews (user access certification)</w:t>
            </w:r>
          </w:p>
        </w:tc>
        <w:tc>
          <w:tcPr>
            <w:tcW w:type="dxa" w:w="16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Vanta generates access list; managers certify or revoke</w:t>
            </w:r>
          </w:p>
        </w:tc>
        <w:tc>
          <w:tcPr>
            <w:tcW w:type="dxa" w:w="13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IT / Managers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Quarterly</w:t>
            </w:r>
          </w:p>
        </w:tc>
      </w:tr>
      <w:tr>
        <w:tc>
          <w:tcPr>
            <w:tcW w:type="dxa" w:w="1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CC6.6-01</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 Access</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Quarterly firewall rule review</w:t>
            </w:r>
          </w:p>
        </w:tc>
        <w:tc>
          <w:tcPr>
            <w:tcW w:type="dxa" w:w="16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Network team reviews AWS Security Groups; unused rules removed</w:t>
            </w:r>
          </w:p>
        </w:tc>
        <w:tc>
          <w:tcPr>
            <w:tcW w:type="dxa" w:w="13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DevOps / Network</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Quarterly</w:t>
            </w:r>
          </w:p>
        </w:tc>
      </w:tr>
      <w:tr>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CC6.8-01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 Access</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Endpoint detection and response (EDR)</w:t>
            </w:r>
          </w:p>
        </w:tc>
        <w:tc>
          <w:tcPr>
            <w:tcW w:type="dxa" w:w="16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CrowdStrike Falcon on all endpoints; alerts → SecOps on-call</w:t>
            </w:r>
          </w:p>
        </w:tc>
        <w:tc>
          <w:tcPr>
            <w:tcW w:type="dxa" w:w="13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 / IT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Continuous</w:t>
            </w:r>
          </w:p>
        </w:tc>
      </w:tr>
      <w:tr>
        <w:tc>
          <w:tcPr>
            <w:tcW w:type="dxa" w:w="1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CC7.1-01</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Sys Ops</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Monthly vulnerability scanning</w:t>
            </w:r>
          </w:p>
        </w:tc>
        <w:tc>
          <w:tcPr>
            <w:tcW w:type="dxa" w:w="16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Tenable.io scans production; critical vulns → Jira within 24h</w:t>
            </w:r>
          </w:p>
        </w:tc>
        <w:tc>
          <w:tcPr>
            <w:tcW w:type="dxa" w:w="13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 Eng</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Monthly</w:t>
            </w:r>
          </w:p>
        </w:tc>
      </w:tr>
      <w:tr>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CC7.3-01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Sys Ops</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 incident classification and response</w:t>
            </w:r>
          </w:p>
        </w:tc>
        <w:tc>
          <w:tcPr>
            <w:tcW w:type="dxa" w:w="16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IRP defines P1–P4 severity; P1/P2 escalated to CISO within 1 hour</w:t>
            </w:r>
          </w:p>
        </w:tc>
        <w:tc>
          <w:tcPr>
            <w:tcW w:type="dxa" w:w="13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 Ops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 Incident</w:t>
            </w:r>
          </w:p>
        </w:tc>
      </w:tr>
      <w:tr>
        <w:tc>
          <w:tcPr>
            <w:tcW w:type="dxa" w:w="1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CC7.4-01</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Sys Ops</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Semi-annual incident response tabletop exercise</w:t>
            </w:r>
          </w:p>
        </w:tc>
        <w:tc>
          <w:tcPr>
            <w:tcW w:type="dxa" w:w="16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Facilitated scenario exercise; findings documented; IRP updated</w:t>
            </w:r>
          </w:p>
        </w:tc>
        <w:tc>
          <w:tcPr>
            <w:tcW w:type="dxa" w:w="13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CISO / SecOps</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Semi-Annual</w:t>
            </w:r>
          </w:p>
        </w:tc>
      </w:tr>
      <w:tr>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CC7.5-01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Sys Ops</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Disaster recovery testing</w:t>
            </w:r>
          </w:p>
        </w:tc>
        <w:tc>
          <w:tcPr>
            <w:tcW w:type="dxa" w:w="16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 DR drill; RTO/RPO validated; results documented</w:t>
            </w:r>
          </w:p>
        </w:tc>
        <w:tc>
          <w:tcPr>
            <w:tcW w:type="dxa" w:w="13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DevOps / CISO</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w:t>
            </w:r>
          </w:p>
        </w:tc>
      </w:tr>
      <w:tr>
        <w:tc>
          <w:tcPr>
            <w:tcW w:type="dxa" w:w="1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CC8.1-01</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Change Mgmt</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Code change review (2-person review)</w:t>
            </w:r>
          </w:p>
        </w:tc>
        <w:tc>
          <w:tcPr>
            <w:tcW w:type="dxa" w:w="16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GitHub branch protection; 2 required reviewers; CI/CD gates</w:t>
            </w:r>
          </w:p>
        </w:tc>
        <w:tc>
          <w:tcPr>
            <w:tcW w:type="dxa" w:w="13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Engineering</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 Change</w:t>
            </w:r>
          </w:p>
        </w:tc>
      </w:tr>
      <w:tr>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CC8.1-02</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Change Mgmt</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Change Advisory Board (CAB) for major changes</w:t>
            </w:r>
          </w:p>
        </w:tc>
        <w:tc>
          <w:tcPr>
            <w:tcW w:type="dxa" w:w="16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Weekly CAB meeting; Jira RFC tickets reviewed; minutes recorded</w:t>
            </w:r>
          </w:p>
        </w:tc>
        <w:tc>
          <w:tcPr>
            <w:tcW w:type="dxa" w:w="13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IT / DevOps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Weekly</w:t>
            </w:r>
          </w:p>
        </w:tc>
      </w:tr>
      <w:tr>
        <w:tc>
          <w:tcPr>
            <w:tcW w:type="dxa" w:w="1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CC9.1-01</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Risk Mitig</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Business Continuity Plan (BCP) maintenance and testing</w:t>
            </w:r>
          </w:p>
        </w:tc>
        <w:tc>
          <w:tcPr>
            <w:tcW w:type="dxa" w:w="16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BCP stored in shared drive; tested bi-annually; BIA refreshed annually</w:t>
            </w:r>
          </w:p>
        </w:tc>
        <w:tc>
          <w:tcPr>
            <w:tcW w:type="dxa" w:w="13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CISO / BizOps</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 + Bi-Annual Test</w:t>
            </w:r>
          </w:p>
        </w:tc>
      </w:tr>
      <w:tr>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CC9.2-01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Risk Mitig</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 vendor SOC 2 report review</w:t>
            </w:r>
          </w:p>
        </w:tc>
        <w:tc>
          <w:tcPr>
            <w:tcW w:type="dxa" w:w="16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Critical vendors submit SOC 2; Security reviews + records finding</w:t>
            </w:r>
          </w:p>
        </w:tc>
        <w:tc>
          <w:tcPr>
            <w:tcW w:type="dxa" w:w="13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 / Procurement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w:t>
            </w:r>
          </w:p>
        </w:tc>
      </w:tr>
      <w:tr>
        <w:tc>
          <w:tcPr>
            <w:tcW w:type="dxa" w:w="1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A1.2-01</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Availability</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Automated data backups with restore testing</w:t>
            </w:r>
          </w:p>
        </w:tc>
        <w:tc>
          <w:tcPr>
            <w:tcW w:type="dxa" w:w="16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RDS automated backups (daily); restore test quarterly; logs retained</w:t>
            </w:r>
          </w:p>
        </w:tc>
        <w:tc>
          <w:tcPr>
            <w:tcW w:type="dxa" w:w="13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DevOps</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Daily + Quarterly Test</w:t>
            </w:r>
          </w:p>
        </w:tc>
      </w:tr>
      <w:tr>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C1.1-01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Confidentiality</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 classification and handling procedures</w:t>
            </w:r>
          </w:p>
        </w:tc>
        <w:tc>
          <w:tcPr>
            <w:tcW w:type="dxa" w:w="168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Classification policy (Public/Internal/Confidential/Restricted); training</w:t>
            </w:r>
          </w:p>
        </w:tc>
        <w:tc>
          <w:tcPr>
            <w:tcW w:type="dxa" w:w="132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CISO / Legal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w:t>
            </w:r>
          </w:p>
        </w:tc>
      </w:tr>
      <w:tr>
        <w:tc>
          <w:tcPr>
            <w:tcW w:type="dxa" w:w="1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P1.1-01</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Privacy</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Privacy notice published and maintained</w:t>
            </w:r>
          </w:p>
        </w:tc>
        <w:tc>
          <w:tcPr>
            <w:tcW w:type="dxa" w:w="168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Privacy policy on website; reviewed annually with legal counsel</w:t>
            </w:r>
          </w:p>
        </w:tc>
        <w:tc>
          <w:tcPr>
            <w:tcW w:type="dxa" w:w="132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Legal / DPO</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w:t>
            </w:r>
          </w:p>
        </w:tc>
      </w:tr>
    </w:tbl>
    <w:p>
      <w:pPr>
        <w:pBdr>
          <w:left w:val="single" w:color="2E75B6" w:sz="12"/>
        </w:pBdr>
        <w:shd w:fill="D6E4F0" w:val="clear"/>
        <w:spacing w:before="120" w:after="120"/>
        <w:ind w:left="360" w:right="360"/>
      </w:pPr>
      <w:r>
        <w:rPr>
          <w:rFonts w:ascii="Arial" w:cs="Arial" w:eastAsia="Arial" w:hAnsi="Arial"/>
          <w:b/>
          <w:bCs/>
          <w:color w:val="2E75B6"/>
          <w:sz w:val="20"/>
          <w:szCs w:val="20"/>
        </w:rPr>
        <w:t xml:space="preserve">IMPLEMENTATION NOTE: </w:t>
      </w:r>
      <w:r>
        <w:rPr>
          <w:rFonts w:ascii="Arial" w:cs="Arial" w:eastAsia="Arial" w:hAnsi="Arial"/>
          <w:color w:val="1F1F1F"/>
          <w:sz w:val="20"/>
          <w:szCs w:val="20"/>
        </w:rPr>
        <w:t xml:space="preserve">This control matrix should be maintained in your GRC tool (e.g., Vanta, Drata, Tugboat Logic, or Hyperproof). Map each control to the TSC criterion and link evidence automatically.</w:t>
      </w:r>
    </w:p>
    <w:p>
      <w:r>
        <w:br w:type="page"/>
      </w:r>
    </w:p>
    <w:p>
      <w:pPr>
        <w:pStyle w:val="Heading1"/>
        <w:pBdr>
          <w:bottom w:val="single" w:color="2E75B6" w:sz="4"/>
        </w:pBdr>
        <w:shd w:fill="1B3A6B" w:val="clear"/>
        <w:spacing w:before="360" w:after="180"/>
        <w:ind w:left="180"/>
      </w:pPr>
      <w:r>
        <w:rPr>
          <w:rFonts w:ascii="Arial" w:cs="Arial" w:eastAsia="Arial" w:hAnsi="Arial"/>
          <w:b/>
          <w:bCs/>
          <w:color w:val="FFFFFF"/>
          <w:sz w:val="36"/>
          <w:szCs w:val="36"/>
        </w:rPr>
        <w:t xml:space="preserve">4. EVIDENCE COLLECTION MODEL (SOC 2 TYPE II)</w:t>
      </w:r>
    </w:p>
    <w:p>
      <w:pPr>
        <w:spacing w:before="80" w:after="100"/>
      </w:pPr>
      <w:r>
        <w:rPr>
          <w:rFonts w:ascii="Arial" w:cs="Arial" w:eastAsia="Arial" w:hAnsi="Arial"/>
          <w:color w:val="1F1F1F"/>
          <w:sz w:val="20"/>
          <w:szCs w:val="20"/>
        </w:rPr>
        <w:t xml:space="preserve">SOC 2 Type II differs from Type I in that it requires evidence of controls operating effectively over a defined audit period (typically 3–12 months). Auditors will sample evidence across the entire period — not just at a point in time. The evidence model below defines what auditors request, how it is generated, where it is stored, and its expected format.</w:t>
      </w:r>
    </w:p>
    <w:p>
      <w:pPr>
        <w:pBdr>
          <w:left w:val="single" w:color="2E75B6" w:sz="12"/>
        </w:pBdr>
        <w:shd w:fill="D6E4F0" w:val="clear"/>
        <w:spacing w:before="120" w:after="120"/>
        <w:ind w:left="360" w:right="360"/>
      </w:pPr>
      <w:r>
        <w:rPr>
          <w:rFonts w:ascii="Arial" w:cs="Arial" w:eastAsia="Arial" w:hAnsi="Arial"/>
          <w:b/>
          <w:bCs/>
          <w:color w:val="2E75B6"/>
          <w:sz w:val="20"/>
          <w:szCs w:val="20"/>
        </w:rPr>
        <w:t xml:space="preserve">CRITICAL GUIDANCE: </w:t>
      </w:r>
      <w:r>
        <w:rPr>
          <w:rFonts w:ascii="Arial" w:cs="Arial" w:eastAsia="Arial" w:hAnsi="Arial"/>
          <w:color w:val="1F1F1F"/>
          <w:sz w:val="20"/>
          <w:szCs w:val="20"/>
        </w:rPr>
        <w:t xml:space="preserve">For a 12-month audit period, auditors typically sample 25–30 instances of each periodic control. For continuous controls (logs, monitoring), they will select specific date/time ranges. Design your evidence collection to support this sampling approach.</w:t>
      </w:r>
    </w:p>
    <w:p>
      <w:pPr>
        <w:pStyle w:val="Heading2"/>
        <w:pBdr>
          <w:left w:val="single" w:color="2E75B6" w:sz="8"/>
        </w:pBdr>
        <w:spacing w:before="280" w:after="120"/>
        <w:ind w:left="200"/>
      </w:pPr>
      <w:r>
        <w:rPr>
          <w:rFonts w:ascii="Arial" w:cs="Arial" w:eastAsia="Arial" w:hAnsi="Arial"/>
          <w:b/>
          <w:bCs/>
          <w:color w:val="1B3A6B"/>
          <w:sz w:val="28"/>
          <w:szCs w:val="28"/>
        </w:rPr>
        <w:t xml:space="preserve">4.1 Evidence Requirements by Control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560"/>
        <w:gridCol w:w="1400"/>
      </w:tblGrid>
      <w:tr>
        <w:trPr>
          <w:tblHeader/>
        </w:trPr>
        <w:tc>
          <w:tcPr>
            <w:tcW w:type="dxa" w:w="2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Control Area</w:t>
            </w:r>
          </w:p>
        </w:tc>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Evidence Requested by Auditor</w:t>
            </w:r>
          </w:p>
        </w:tc>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How Generated</w:t>
            </w:r>
          </w:p>
        </w:tc>
        <w:tc>
          <w:tcPr>
            <w:tcW w:type="dxa" w:w="15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Storage Location</w:t>
            </w:r>
          </w:p>
        </w:tc>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Format</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MFA Enforcement (CC6.1)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Report showing all users have MFA enabled; any exceptions documented</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Okta Admin Console → Users export; AWS IAM Credential Report</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GRC tool / SharePoint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CSV / Screenshot</w:t>
            </w:r>
          </w:p>
        </w:tc>
      </w:tr>
      <w:tr>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Access Provisioning (CC6.2)</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Sample of access requests showing approval workflow</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Jira tickets with requester, approver, date, and systems granted</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Jira / ServiceNow archive</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PDF ticket exports</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Access De-provisioning (CC6.2)</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Terminated employee list vs. account deactivation timestamps</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HR HRIS termination dates vs. Okta deactivation log</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HRIS + Okta audit log</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Excel / CSV</w:t>
            </w:r>
          </w:p>
        </w:tc>
      </w:tr>
      <w:tr>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Access Reviews (CC6.3)</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Completed access certification reports showing manager sign-offs</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Vanta/Drata generated access list; manager completion records</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GRC tool</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PDF report</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Vulnerability Scanning (CC7.1)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Scan reports for each month of audit period; remediation records</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Tenable.io / Qualys reports; Jira tickets for each finding</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Tenable + Jira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PDF + Jira exports</w:t>
            </w:r>
          </w:p>
        </w:tc>
      </w:tr>
      <w:tr>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Patch Management (CC7.1)</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Evidence that critical patches applied within SLA (e.g., 30 days)</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AWS Systems Manager Patch Manager reports; change tickets</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AWS SSM + Jira</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PDF / CSV</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Change Management (CC8.1)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Sample of pull requests with reviewer approvals; deployment records</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GitHub PR history; CI/CD pipeline logs (CircleCI, GitHub Actions)</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GitHub / CI/CD system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 screenshots + logs</w:t>
            </w:r>
          </w:p>
        </w:tc>
      </w:tr>
      <w:tr>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Incident Response (CC7.3–7.4)</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Incident tickets opened and closed during period; post-mortems</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PagerDuty / Jira incidents; post-mortem documents</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Jira / Confluence</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PDF tickets + docs</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Backup &amp; Recovery (A1.2)</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Backup completion logs; restore test reports</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AWS RDS backup logs; quarterly restore test results</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AWS Console + Confluence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CloudWatch logs + doc</w:t>
            </w:r>
          </w:p>
        </w:tc>
      </w:tr>
      <w:tr>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 Awareness Training (CC2.2)</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Training completion records for all employees during audit period</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LMS (Workday / KnowBe4) completion reports</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HR / GRC tool</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CSV / LMS export</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Vendor Reviews (CC9.2)</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Vendor SOC 2 reports; completed vendor questionnaires</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Vendor-provided SOC 2 PDFs; completed risk questionnaires</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Vendor risk system / SharePoint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PDF reports</w:t>
            </w:r>
          </w:p>
        </w:tc>
      </w:tr>
      <w:tr>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Penetration Testing (CC4.1)</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 pentest report with findings and remediation status</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Third-party pentest firm deliverable; remediation tickets in Jira</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SharePoint / GRC</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PDF report + Jira</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Physical Access (CC6.4)</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 center access logs; visitor logs; badge access reports</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Co-location provider access logs; AWS Artifact for physical controls</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 center portal / SharePoint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PDF / CSV</w:t>
            </w:r>
          </w:p>
        </w:tc>
      </w:tr>
      <w:tr>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Policy Acknowledgments (CC5.3)</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Signed acknowledgment records for all policies during period</w:t>
            </w:r>
          </w:p>
        </w:tc>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DocuSign records; HR onboarding checklists</w:t>
            </w:r>
          </w:p>
        </w:tc>
        <w:tc>
          <w:tcPr>
            <w:tcW w:type="dxa" w:w="1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DocuSign / HRIS</w:t>
            </w:r>
          </w:p>
        </w:tc>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Signed PDF exports</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Risk Assessment (CC3.2)</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Current risk register; annual risk assessment documentation</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GRC tool risk register; facilitated assessment meeting minutes</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GRC tool / Confluence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PDF + GRC export</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4.2 Evidence Quality Standards</w:t>
      </w:r>
    </w:p>
    <w:p>
      <w:pPr>
        <w:spacing w:before="80" w:after="100"/>
      </w:pPr>
      <w:r>
        <w:rPr>
          <w:rFonts w:ascii="Arial" w:cs="Arial" w:eastAsia="Arial" w:hAnsi="Arial"/>
          <w:color w:val="1F1F1F"/>
          <w:sz w:val="20"/>
          <w:szCs w:val="20"/>
        </w:rPr>
        <w:t xml:space="preserve">All evidence must meet the following quality standards to be accepted by auditors:</w:t>
      </w:r>
    </w:p>
    <w:p>
      <w:r>
        <w:br w:type="page"/>
      </w:r>
    </w:p>
    <w:p>
      <w:pPr>
        <w:pStyle w:val="Heading1"/>
        <w:pBdr>
          <w:bottom w:val="single" w:color="2E75B6" w:sz="4"/>
        </w:pBdr>
        <w:shd w:fill="1B3A6B" w:val="clear"/>
        <w:spacing w:before="360" w:after="180"/>
        <w:ind w:left="180"/>
      </w:pPr>
      <w:r>
        <w:rPr>
          <w:rFonts w:ascii="Arial" w:cs="Arial" w:eastAsia="Arial" w:hAnsi="Arial"/>
          <w:b/>
          <w:bCs/>
          <w:color w:val="FFFFFF"/>
          <w:sz w:val="36"/>
          <w:szCs w:val="36"/>
        </w:rPr>
        <w:t xml:space="preserve">5. EVIDENCE COLLECTION AUTOMATION</w:t>
      </w:r>
    </w:p>
    <w:p>
      <w:pPr>
        <w:spacing w:before="80" w:after="100"/>
      </w:pPr>
      <w:r>
        <w:rPr>
          <w:rFonts w:ascii="Arial" w:cs="Arial" w:eastAsia="Arial" w:hAnsi="Arial"/>
          <w:color w:val="1F1F1F"/>
          <w:sz w:val="20"/>
          <w:szCs w:val="20"/>
        </w:rPr>
        <w:t xml:space="preserve">Manual evidence collection is time-consuming and error-prone. Leading organizations automate evidence collection using GRC platforms, cloud-native integrations, and SIEM/SOAR tooling. Continuous evidence collection ensures you are always audit-ready.</w:t>
      </w:r>
    </w:p>
    <w:p>
      <w:pPr>
        <w:pStyle w:val="Heading2"/>
        <w:pBdr>
          <w:left w:val="single" w:color="2E75B6" w:sz="8"/>
        </w:pBdr>
        <w:spacing w:before="280" w:after="120"/>
        <w:ind w:left="200"/>
      </w:pPr>
      <w:r>
        <w:rPr>
          <w:rFonts w:ascii="Arial" w:cs="Arial" w:eastAsia="Arial" w:hAnsi="Arial"/>
          <w:b/>
          <w:bCs/>
          <w:color w:val="1B3A6B"/>
          <w:sz w:val="28"/>
          <w:szCs w:val="28"/>
        </w:rPr>
        <w:t xml:space="preserve">5.1 GRC Platform Automation (Recommended Approach)</w:t>
      </w:r>
    </w:p>
    <w:p>
      <w:pPr>
        <w:pBdr>
          <w:left w:val="single" w:color="2E75B6" w:sz="12"/>
        </w:pBdr>
        <w:shd w:fill="D6E4F0" w:val="clear"/>
        <w:spacing w:before="120" w:after="120"/>
        <w:ind w:left="360" w:right="360"/>
      </w:pPr>
      <w:r>
        <w:rPr>
          <w:rFonts w:ascii="Arial" w:cs="Arial" w:eastAsia="Arial" w:hAnsi="Arial"/>
          <w:b/>
          <w:bCs/>
          <w:color w:val="2E75B6"/>
          <w:sz w:val="20"/>
          <w:szCs w:val="20"/>
        </w:rPr>
        <w:t xml:space="preserve">ROI NOTE: </w:t>
      </w:r>
      <w:r>
        <w:rPr>
          <w:rFonts w:ascii="Arial" w:cs="Arial" w:eastAsia="Arial" w:hAnsi="Arial"/>
          <w:color w:val="1F1F1F"/>
          <w:sz w:val="20"/>
          <w:szCs w:val="20"/>
        </w:rPr>
        <w:t xml:space="preserve">A GRC platform can reduce manual evidence collection effort by 60–80%. For a first-time SOC 2, budget 3–4 months for initial setup and control mapping before the audit period begins.</w:t>
      </w:r>
    </w:p>
    <w:p>
      <w:pPr>
        <w:pStyle w:val="Heading2"/>
        <w:pBdr>
          <w:left w:val="single" w:color="2E75B6" w:sz="8"/>
        </w:pBdr>
        <w:spacing w:before="280" w:after="120"/>
        <w:ind w:left="200"/>
      </w:pPr>
      <w:r>
        <w:rPr>
          <w:rFonts w:ascii="Arial" w:cs="Arial" w:eastAsia="Arial" w:hAnsi="Arial"/>
          <w:b/>
          <w:bCs/>
          <w:color w:val="1B3A6B"/>
          <w:sz w:val="28"/>
          <w:szCs w:val="28"/>
        </w:rPr>
        <w:t xml:space="preserve">5.2 Cloud-Native Evidence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rPr>
          <w:tblHeader/>
        </w:trPr>
        <w:tc>
          <w:tcPr>
            <w:tcW w:type="dxa" w:w="2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AWS Service</w:t>
            </w:r>
          </w:p>
        </w:tc>
        <w:tc>
          <w:tcPr>
            <w:tcW w:type="dxa" w:w="3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Evidence Provided</w:t>
            </w:r>
          </w:p>
        </w:tc>
        <w:tc>
          <w:tcPr>
            <w:tcW w:type="dxa" w:w="2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Controls Covered</w:t>
            </w:r>
          </w:p>
        </w:tc>
        <w:tc>
          <w:tcPr>
            <w:tcW w:type="dxa" w:w="2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Retention</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CloudTrail</w:t>
            </w:r>
          </w:p>
        </w:tc>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 API calls with user, time, IP, action, resource</w:t>
            </w:r>
          </w:p>
        </w:tc>
        <w:tc>
          <w:tcPr>
            <w:tcW w:type="dxa" w:w="23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CC6.2, CC6.3, CC8.1, CC7.2</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S3 (configurable; 1 year minimum)</w:t>
            </w:r>
          </w:p>
        </w:tc>
      </w:tr>
      <w:tr>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AWS Config</w:t>
            </w:r>
          </w:p>
        </w:tc>
        <w:tc>
          <w:tcPr>
            <w:tcW w:type="dxa" w:w="3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Configuration snapshots; compliance rules; drift detection</w:t>
            </w:r>
          </w:p>
        </w:tc>
        <w:tc>
          <w:tcPr>
            <w:tcW w:type="dxa" w:w="23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CC6.1, CC7.1, CC8.1</w:t>
            </w:r>
          </w:p>
        </w:tc>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S3 (configurable)</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GuardDuty</w:t>
            </w:r>
          </w:p>
        </w:tc>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Threat detection findings with severity and remediation guidance</w:t>
            </w:r>
          </w:p>
        </w:tc>
        <w:tc>
          <w:tcPr>
            <w:tcW w:type="dxa" w:w="23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CC7.2, CC7.3</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Findings retained 90 days natively</w:t>
            </w:r>
          </w:p>
        </w:tc>
      </w:tr>
      <w:tr>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 Hub</w:t>
            </w:r>
          </w:p>
        </w:tc>
        <w:tc>
          <w:tcPr>
            <w:tcW w:type="dxa" w:w="3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Aggregated security findings; CIS/SOC 2 benchmark scores</w:t>
            </w:r>
          </w:p>
        </w:tc>
        <w:tc>
          <w:tcPr>
            <w:tcW w:type="dxa" w:w="23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CC4.1, CC7.1</w:t>
            </w:r>
          </w:p>
        </w:tc>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90 days (export to S3 for longer)</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IAM Access Analyzer</w:t>
            </w:r>
          </w:p>
        </w:tc>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External access to resources; unused permissions; least privilege findings</w:t>
            </w:r>
          </w:p>
        </w:tc>
        <w:tc>
          <w:tcPr>
            <w:tcW w:type="dxa" w:w="23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CC6.1, CC6.3</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Findings retained until resolved</w:t>
            </w:r>
          </w:p>
        </w:tc>
      </w:tr>
      <w:tr>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VPC Flow Logs</w:t>
            </w:r>
          </w:p>
        </w:tc>
        <w:tc>
          <w:tcPr>
            <w:tcW w:type="dxa" w:w="3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Network traffic records (source/dest IP, ports, bytes)</w:t>
            </w:r>
          </w:p>
        </w:tc>
        <w:tc>
          <w:tcPr>
            <w:tcW w:type="dxa" w:w="23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CC6.6, CC7.2</w:t>
            </w:r>
          </w:p>
        </w:tc>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CloudWatch Logs (configurable)</w:t>
            </w:r>
          </w:p>
        </w:tc>
      </w:tr>
      <w:tr>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Systems Manager Patch Manager</w:t>
            </w:r>
          </w:p>
        </w:tc>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Patch compliance reports; patching history per instance</w:t>
            </w:r>
          </w:p>
        </w:tc>
        <w:tc>
          <w:tcPr>
            <w:tcW w:type="dxa" w:w="23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CC7.1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90 days; export to S3</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5.3 SIEM Integration for Continuous Evidence</w:t>
      </w:r>
    </w:p>
    <w:p>
      <w:pPr>
        <w:spacing w:before="80" w:after="100"/>
      </w:pPr>
      <w:r>
        <w:rPr>
          <w:rFonts w:ascii="Arial" w:cs="Arial" w:eastAsia="Arial" w:hAnsi="Arial"/>
          <w:color w:val="1F1F1F"/>
          <w:sz w:val="20"/>
          <w:szCs w:val="20"/>
        </w:rPr>
        <w:t xml:space="preserve">A SIEM (Security Information and Event Management) system aggregates logs, correlates events, and generates evidence-ready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Tool</w:t>
            </w:r>
          </w:p>
        </w:tc>
        <w:tc>
          <w:tcPr>
            <w:tcW w:type="dxa" w:w="3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Evidence Type</w:t>
            </w:r>
          </w:p>
        </w:tc>
        <w:tc>
          <w:tcPr>
            <w:tcW w:type="dxa" w:w="45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Example Use Case</w:t>
            </w:r>
          </w:p>
        </w:tc>
      </w:tr>
      <w:tr>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Datadog SIEM</w:t>
            </w:r>
          </w:p>
        </w:tc>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Security signals, anomaly detection, log analysis, dashboards</w:t>
            </w:r>
          </w:p>
        </w:tc>
        <w:tc>
          <w:tcPr>
            <w:tcW w:type="dxa" w:w="4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Weekly SIEM summary report exported as PDF evidence for CC7.2; anomaly alerts as CC7.3 evidence</w:t>
            </w:r>
          </w:p>
        </w:tc>
      </w:tr>
      <w:tr>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Splunk</w:t>
            </w:r>
          </w:p>
        </w:tc>
        <w:tc>
          <w:tcPr>
            <w:tcW w:type="dxa" w:w="3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Log search, custom dashboards, scheduled reports</w:t>
            </w:r>
          </w:p>
        </w:tc>
        <w:tc>
          <w:tcPr>
            <w:tcW w:type="dxa" w:w="4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Scheduled report: 'Failed login attempts &gt; 5 in 60 min' → alert + evidence for CC6.6, CC7.3</w:t>
            </w:r>
          </w:p>
        </w:tc>
      </w:tr>
      <w:tr>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Elastic (ELK Stack)</w:t>
            </w:r>
          </w:p>
        </w:tc>
        <w:tc>
          <w:tcPr>
            <w:tcW w:type="dxa" w:w="3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Full-text search over logs; alerting via ElastAlert</w:t>
            </w:r>
          </w:p>
        </w:tc>
        <w:tc>
          <w:tcPr>
            <w:tcW w:type="dxa" w:w="4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Privileged access log review: daily report of admin actions sent to CISO for CC6.1 evidence</w:t>
            </w:r>
          </w:p>
        </w:tc>
      </w:tr>
      <w:tr>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PagerDuty</w:t>
            </w:r>
          </w:p>
        </w:tc>
        <w:tc>
          <w:tcPr>
            <w:tcW w:type="dxa" w:w="3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Incident timeline, responder actions, escalation records</w:t>
            </w:r>
          </w:p>
        </w:tc>
        <w:tc>
          <w:tcPr>
            <w:tcW w:type="dxa" w:w="4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Incident P1/P2 timeline exports serve as CC7.4 evidence; MTTD/MTTR metrics</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5.4 CI/CD Pipeline Evidence</w:t>
      </w:r>
    </w:p>
    <w:p>
      <w:pPr>
        <w:spacing w:before="80" w:after="100"/>
      </w:pPr>
      <w:r>
        <w:rPr>
          <w:rFonts w:ascii="Arial" w:cs="Arial" w:eastAsia="Arial" w:hAnsi="Arial"/>
          <w:color w:val="1F1F1F"/>
          <w:sz w:val="20"/>
          <w:szCs w:val="20"/>
        </w:rPr>
        <w:t xml:space="preserve">Every code change leaves a trail of evidence in the CI/CD pipeline. Configure your pipeline to generate evidence that auditors can inspect.</w:t>
      </w:r>
    </w:p>
    <w:p>
      <w:pPr>
        <w:pStyle w:val="Heading2"/>
        <w:pBdr>
          <w:left w:val="single" w:color="2E75B6" w:sz="8"/>
        </w:pBdr>
        <w:spacing w:before="280" w:after="120"/>
        <w:ind w:left="200"/>
      </w:pPr>
      <w:r>
        <w:rPr>
          <w:rFonts w:ascii="Arial" w:cs="Arial" w:eastAsia="Arial" w:hAnsi="Arial"/>
          <w:b/>
          <w:bCs/>
          <w:color w:val="1B3A6B"/>
          <w:sz w:val="28"/>
          <w:szCs w:val="28"/>
        </w:rPr>
        <w:t xml:space="preserve">5.5 Automated Evidence Collection Workflow</w:t>
      </w:r>
    </w:p>
    <w:p>
      <w:pPr>
        <w:spacing w:before="80" w:after="100"/>
      </w:pPr>
      <w:r>
        <w:rPr>
          <w:rFonts w:ascii="Arial" w:cs="Arial" w:eastAsia="Arial" w:hAnsi="Arial"/>
          <w:color w:val="1F1F1F"/>
          <w:sz w:val="20"/>
          <w:szCs w:val="20"/>
        </w:rPr>
        <w:t xml:space="preserve">The following workflow describes how evidence is collected and organized throughout the audit period:</w:t>
      </w:r>
    </w:p>
    <w:p>
      <w:r>
        <w:br w:type="page"/>
      </w:r>
    </w:p>
    <w:p>
      <w:pPr>
        <w:pStyle w:val="Heading1"/>
        <w:pBdr>
          <w:bottom w:val="single" w:color="2E75B6" w:sz="4"/>
        </w:pBdr>
        <w:shd w:fill="1B3A6B" w:val="clear"/>
        <w:spacing w:before="360" w:after="180"/>
        <w:ind w:left="180"/>
      </w:pPr>
      <w:r>
        <w:rPr>
          <w:rFonts w:ascii="Arial" w:cs="Arial" w:eastAsia="Arial" w:hAnsi="Arial"/>
          <w:b/>
          <w:bCs/>
          <w:color w:val="FFFFFF"/>
          <w:sz w:val="36"/>
          <w:szCs w:val="36"/>
        </w:rPr>
        <w:t xml:space="preserve">6. INTERNAL READINESS ASSESSMENT</w:t>
      </w:r>
    </w:p>
    <w:p>
      <w:pPr>
        <w:spacing w:before="80" w:after="100"/>
      </w:pPr>
      <w:r>
        <w:rPr>
          <w:rFonts w:ascii="Arial" w:cs="Arial" w:eastAsia="Arial" w:hAnsi="Arial"/>
          <w:color w:val="1F1F1F"/>
          <w:sz w:val="20"/>
          <w:szCs w:val="20"/>
        </w:rPr>
        <w:t xml:space="preserve">Before engaging an external auditor, organizations should conduct a thorough internal readiness assessment. This identifies gaps, allows remediation time, and prevents costly audit surprises. A well-run readiness assessment typically takes 4–8 weeks.</w:t>
      </w:r>
    </w:p>
    <w:p>
      <w:pPr>
        <w:pStyle w:val="Heading2"/>
        <w:pBdr>
          <w:left w:val="single" w:color="2E75B6" w:sz="8"/>
        </w:pBdr>
        <w:spacing w:before="280" w:after="120"/>
        <w:ind w:left="200"/>
      </w:pPr>
      <w:r>
        <w:rPr>
          <w:rFonts w:ascii="Arial" w:cs="Arial" w:eastAsia="Arial" w:hAnsi="Arial"/>
          <w:b/>
          <w:bCs/>
          <w:color w:val="1B3A6B"/>
          <w:sz w:val="28"/>
          <w:szCs w:val="28"/>
        </w:rPr>
        <w:t xml:space="preserve">6.1 Readiness Assessment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600"/>
        <w:gridCol w:w="2360"/>
      </w:tblGrid>
      <w:tr>
        <w:trPr>
          <w:tblHeader/>
        </w:trPr>
        <w:tc>
          <w:tcPr>
            <w:tcW w:type="dxa" w:w="1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Phase</w:t>
            </w:r>
          </w:p>
        </w:tc>
        <w:tc>
          <w:tcPr>
            <w:tcW w:type="dxa" w:w="2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Duration</w:t>
            </w:r>
          </w:p>
        </w:tc>
        <w:tc>
          <w:tcPr>
            <w:tcW w:type="dxa" w:w="3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Activities</w:t>
            </w:r>
          </w:p>
        </w:tc>
        <w:tc>
          <w:tcPr>
            <w:tcW w:type="dxa" w:w="23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Output</w:t>
            </w:r>
          </w:p>
        </w:tc>
      </w:tr>
      <w:tr>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Phase 1: Scoping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1–2 weeks</w:t>
            </w:r>
          </w:p>
        </w:tc>
        <w:tc>
          <w:tcPr>
            <w:tcW w:type="dxa" w:w="3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Define system boundaries; identify in-scope trust service categories; inventory all systems</w:t>
            </w:r>
          </w:p>
        </w:tc>
        <w:tc>
          <w:tcPr>
            <w:tcW w:type="dxa" w:w="23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Scope document; system description draft; in-scope system list</w:t>
            </w:r>
          </w:p>
        </w:tc>
      </w:tr>
      <w:tr>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Phase 2: Control Inventory</w:t>
            </w:r>
          </w:p>
        </w:tc>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1–2 weeks</w:t>
            </w:r>
          </w:p>
        </w:tc>
        <w:tc>
          <w:tcPr>
            <w:tcW w:type="dxa" w:w="36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Map existing controls to TSC criteria; identify control owners; document implementation methods</w:t>
            </w:r>
          </w:p>
        </w:tc>
        <w:tc>
          <w:tcPr>
            <w:tcW w:type="dxa" w:w="23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Control matrix; RACI assignments; gap list (preliminary)</w:t>
            </w:r>
          </w:p>
        </w:tc>
      </w:tr>
      <w:tr>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Phase 3: Gap Analysis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1–2 weeks</w:t>
            </w:r>
          </w:p>
        </w:tc>
        <w:tc>
          <w:tcPr>
            <w:tcW w:type="dxa" w:w="3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Test each control for design and operating effectiveness; identify missing or failing controls</w:t>
            </w:r>
          </w:p>
        </w:tc>
        <w:tc>
          <w:tcPr>
            <w:tcW w:type="dxa" w:w="23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Gap analysis report with risk ratings (Critical/High/Medium/Low)</w:t>
            </w:r>
          </w:p>
        </w:tc>
      </w:tr>
      <w:tr>
        <w:tc>
          <w:tcPr>
            <w:tcW w:type="dxa" w:w="1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Phase 4: Remediation</w:t>
            </w:r>
          </w:p>
        </w:tc>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2–6 weeks</w:t>
            </w:r>
          </w:p>
        </w:tc>
        <w:tc>
          <w:tcPr>
            <w:tcW w:type="dxa" w:w="36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Implement missing controls; gather backfill evidence; document exceptions</w:t>
            </w:r>
          </w:p>
        </w:tc>
        <w:tc>
          <w:tcPr>
            <w:tcW w:type="dxa" w:w="23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Remediation tracking log; updated control matrix</w:t>
            </w:r>
          </w:p>
        </w:tc>
      </w:tr>
      <w:tr>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Phase 5: Pre-Audit Review</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week</w:t>
            </w:r>
          </w:p>
        </w:tc>
        <w:tc>
          <w:tcPr>
            <w:tcW w:type="dxa" w:w="3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Conduct internal walkthrough simulating auditor testing; validate evidence completeness</w:t>
            </w:r>
          </w:p>
        </w:tc>
        <w:tc>
          <w:tcPr>
            <w:tcW w:type="dxa" w:w="23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Pre-audit readiness report; final gap list; evidence package</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6.2 Gap Analysis Template</w:t>
      </w:r>
    </w:p>
    <w:p>
      <w:pPr>
        <w:spacing w:before="80" w:after="100"/>
      </w:pPr>
      <w:r>
        <w:rPr>
          <w:rFonts w:ascii="Arial" w:cs="Arial" w:eastAsia="Arial" w:hAnsi="Arial"/>
          <w:color w:val="1F1F1F"/>
          <w:sz w:val="20"/>
          <w:szCs w:val="20"/>
        </w:rPr>
        <w:t xml:space="preserve">For each TSC criterion, assess the following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2400"/>
        <w:gridCol w:w="1200"/>
      </w:tblGrid>
      <w:tr>
        <w:trPr>
          <w:tblHeader/>
        </w:trPr>
        <w:tc>
          <w:tcPr>
            <w:tcW w:type="dxa" w:w="144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TSC Ref</w:t>
            </w:r>
          </w:p>
        </w:tc>
        <w:tc>
          <w:tcPr>
            <w:tcW w:type="dxa" w:w="144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Control Exists?</w:t>
            </w:r>
          </w:p>
        </w:tc>
        <w:tc>
          <w:tcPr>
            <w:tcW w:type="dxa" w:w="144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Design Adequate?</w:t>
            </w:r>
          </w:p>
        </w:tc>
        <w:tc>
          <w:tcPr>
            <w:tcW w:type="dxa" w:w="144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Evidence Available?</w:t>
            </w:r>
          </w:p>
        </w:tc>
        <w:tc>
          <w:tcPr>
            <w:tcW w:type="dxa" w:w="2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Gap Description</w:t>
            </w:r>
          </w:p>
        </w:tc>
        <w:tc>
          <w:tcPr>
            <w:tcW w:type="dxa" w:w="1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Risk Level</w:t>
            </w:r>
          </w:p>
        </w:tc>
      </w:tr>
      <w:tr>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CC6.1</w:t>
            </w:r>
          </w:p>
        </w:tc>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Yes</w:t>
            </w:r>
          </w:p>
        </w:tc>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Yes</w:t>
            </w:r>
          </w:p>
        </w:tc>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Partial</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MFA enforced for employees but not service accounts; 3 service accounts lack MFA</w:t>
            </w:r>
          </w:p>
        </w:tc>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High</w:t>
            </w:r>
          </w:p>
        </w:tc>
      </w:tr>
      <w:tr>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CC6.3</w:t>
            </w:r>
          </w:p>
        </w:tc>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Yes</w:t>
            </w:r>
          </w:p>
        </w:tc>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Yes</w:t>
            </w:r>
          </w:p>
        </w:tc>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Access reviews are performed but not documented; no formal certification records exist</w:t>
            </w:r>
          </w:p>
        </w:tc>
        <w:tc>
          <w:tcPr>
            <w:tcW w:type="dxa" w:w="1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Critical</w:t>
            </w:r>
          </w:p>
        </w:tc>
      </w:tr>
      <w:tr>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CC7.1</w:t>
            </w:r>
          </w:p>
        </w:tc>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Partial</w:t>
            </w:r>
          </w:p>
        </w:tc>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Vulnerability scanning tool deployed but no remediation SLA defined or tracked</w:t>
            </w:r>
          </w:p>
        </w:tc>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High</w:t>
            </w:r>
          </w:p>
        </w:tc>
      </w:tr>
      <w:tr>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CC8.1</w:t>
            </w:r>
          </w:p>
        </w:tc>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Yes</w:t>
            </w:r>
          </w:p>
        </w:tc>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Yes</w:t>
            </w:r>
          </w:p>
        </w:tc>
        <w:tc>
          <w:tcPr>
            <w:tcW w:type="dxa" w:w="144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Yes</w:t>
            </w:r>
          </w:p>
        </w:tc>
        <w:tc>
          <w:tcPr>
            <w:tcW w:type="dxa" w:w="2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 gap — strong change management process with 2-person review and CI/CD enforcement</w:t>
            </w:r>
          </w:p>
        </w:tc>
        <w:tc>
          <w:tcPr>
            <w:tcW w:type="dxa" w:w="1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None</w:t>
            </w:r>
          </w:p>
        </w:tc>
      </w:tr>
      <w:tr>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CC9.2</w:t>
            </w:r>
          </w:p>
        </w:tc>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Partial</w:t>
            </w:r>
          </w:p>
        </w:tc>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Partial</w:t>
            </w:r>
          </w:p>
        </w:tc>
        <w:tc>
          <w:tcPr>
            <w:tcW w:type="dxa" w:w="144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No</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Vendor inventory exists but no formal risk tiering or SOC 2 report collection process</w:t>
            </w:r>
          </w:p>
        </w:tc>
        <w:tc>
          <w:tcPr>
            <w:tcW w:type="dxa" w:w="1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Medium</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6.3 Common SOC 2 Readiness Gaps</w:t>
      </w:r>
    </w:p>
    <w:p>
      <w:pPr>
        <w:spacing w:before="80" w:after="100"/>
      </w:pPr>
      <w:r>
        <w:rPr>
          <w:rFonts w:ascii="Arial" w:cs="Arial" w:eastAsia="Arial" w:hAnsi="Arial"/>
          <w:color w:val="1F1F1F"/>
          <w:sz w:val="20"/>
          <w:szCs w:val="20"/>
        </w:rPr>
        <w:t xml:space="preserve">Based on typical first-time audits, the following gaps are most frequently identified:</w:t>
      </w:r>
    </w:p>
    <w:p>
      <w:pPr>
        <w:pBdr>
          <w:left w:val="single" w:color="2E75B6" w:sz="12"/>
        </w:pBdr>
        <w:shd w:fill="D6E4F0" w:val="clear"/>
        <w:spacing w:before="120" w:after="120"/>
        <w:ind w:left="360" w:right="360"/>
      </w:pPr>
      <w:r>
        <w:rPr>
          <w:rFonts w:ascii="Arial" w:cs="Arial" w:eastAsia="Arial" w:hAnsi="Arial"/>
          <w:b/>
          <w:bCs/>
          <w:color w:val="2E75B6"/>
          <w:sz w:val="20"/>
          <w:szCs w:val="20"/>
        </w:rPr>
        <w:t xml:space="preserve">TIMELINE WARNING: </w:t>
      </w:r>
      <w:r>
        <w:rPr>
          <w:rFonts w:ascii="Arial" w:cs="Arial" w:eastAsia="Arial" w:hAnsi="Arial"/>
          <w:color w:val="1F1F1F"/>
          <w:sz w:val="20"/>
          <w:szCs w:val="20"/>
        </w:rPr>
        <w:t xml:space="preserve">Organizations typically need 3–6 months of remediation time before commencing a SOC 2 Type II audit period. Starting the audit period before gaps are remediated results in audit findings.</w:t>
      </w:r>
    </w:p>
    <w:p>
      <w:r>
        <w:br w:type="page"/>
      </w:r>
    </w:p>
    <w:p>
      <w:pPr>
        <w:pStyle w:val="Heading1"/>
        <w:pBdr>
          <w:bottom w:val="single" w:color="2E75B6" w:sz="4"/>
        </w:pBdr>
        <w:shd w:fill="1B3A6B" w:val="clear"/>
        <w:spacing w:before="360" w:after="180"/>
        <w:ind w:left="180"/>
      </w:pPr>
      <w:r>
        <w:rPr>
          <w:rFonts w:ascii="Arial" w:cs="Arial" w:eastAsia="Arial" w:hAnsi="Arial"/>
          <w:b/>
          <w:bCs/>
          <w:color w:val="FFFFFF"/>
          <w:sz w:val="36"/>
          <w:szCs w:val="36"/>
        </w:rPr>
        <w:t xml:space="preserve">7. EXTERNAL AUDITOR VALIDATION</w:t>
      </w:r>
    </w:p>
    <w:p>
      <w:pPr>
        <w:spacing w:before="80" w:after="100"/>
      </w:pPr>
      <w:r>
        <w:rPr>
          <w:rFonts w:ascii="Arial" w:cs="Arial" w:eastAsia="Arial" w:hAnsi="Arial"/>
          <w:color w:val="1F1F1F"/>
          <w:sz w:val="20"/>
          <w:szCs w:val="20"/>
        </w:rPr>
        <w:t xml:space="preserve">External SOC 2 auditors are CPAs (Certified Public Accountants) licensed under AICPA standards. They conduct two types of testing: Test of Design (ToD) and Test of Operating Effectiveness (ToE). Understanding their methodology helps organizations prepare properly.</w:t>
      </w:r>
    </w:p>
    <w:p>
      <w:pPr>
        <w:pStyle w:val="Heading2"/>
        <w:pBdr>
          <w:left w:val="single" w:color="2E75B6" w:sz="8"/>
        </w:pBdr>
        <w:spacing w:before="280" w:after="120"/>
        <w:ind w:left="200"/>
      </w:pPr>
      <w:r>
        <w:rPr>
          <w:rFonts w:ascii="Arial" w:cs="Arial" w:eastAsia="Arial" w:hAnsi="Arial"/>
          <w:b/>
          <w:bCs/>
          <w:color w:val="1B3A6B"/>
          <w:sz w:val="28"/>
          <w:szCs w:val="28"/>
        </w:rPr>
        <w:t xml:space="preserve">7.1 Test of Design (ToD)</w:t>
      </w:r>
    </w:p>
    <w:p>
      <w:pPr>
        <w:spacing w:before="80" w:after="100"/>
      </w:pPr>
      <w:r>
        <w:rPr>
          <w:rFonts w:ascii="Arial" w:cs="Arial" w:eastAsia="Arial" w:hAnsi="Arial"/>
          <w:color w:val="1F1F1F"/>
          <w:sz w:val="20"/>
          <w:szCs w:val="20"/>
        </w:rPr>
        <w:t xml:space="preserve">The Test of Design evaluates whether controls are designed to achieve their stated objectives. Auditors review policies, procedures, and architecture documentation — not just the controls themselves. Design testing does NOT require evidence over time — it is point-in-time assessment.</w:t>
      </w:r>
    </w:p>
    <w:p>
      <w:pPr>
        <w:pStyle w:val="Heading3"/>
        <w:spacing w:before="200" w:after="80"/>
      </w:pPr>
      <w:r>
        <w:rPr>
          <w:rFonts w:ascii="Arial" w:cs="Arial" w:eastAsia="Arial" w:hAnsi="Arial"/>
          <w:b/>
          <w:bCs/>
          <w:color w:val="2E75B6"/>
          <w:sz w:val="22"/>
          <w:szCs w:val="22"/>
        </w:rPr>
        <w:t xml:space="preserve">Design Test Activities</w:t>
      </w:r>
    </w:p>
    <w:p>
      <w:pPr>
        <w:pStyle w:val="Heading2"/>
        <w:pBdr>
          <w:left w:val="single" w:color="2E75B6" w:sz="8"/>
        </w:pBdr>
        <w:spacing w:before="280" w:after="120"/>
        <w:ind w:left="200"/>
      </w:pPr>
      <w:r>
        <w:rPr>
          <w:rFonts w:ascii="Arial" w:cs="Arial" w:eastAsia="Arial" w:hAnsi="Arial"/>
          <w:b/>
          <w:bCs/>
          <w:color w:val="1B3A6B"/>
          <w:sz w:val="28"/>
          <w:szCs w:val="28"/>
        </w:rPr>
        <w:t xml:space="preserve">7.2 Test of Operating Effectiveness (ToE)</w:t>
      </w:r>
    </w:p>
    <w:p>
      <w:pPr>
        <w:spacing w:before="80" w:after="100"/>
      </w:pPr>
      <w:r>
        <w:rPr>
          <w:rFonts w:ascii="Arial" w:cs="Arial" w:eastAsia="Arial" w:hAnsi="Arial"/>
          <w:color w:val="1F1F1F"/>
          <w:sz w:val="20"/>
          <w:szCs w:val="20"/>
        </w:rPr>
        <w:t xml:space="preserve">The Test of Operating Effectiveness is the core of SOC 2 Type II. Auditors select samples of evidence from throughout the audit period and verify that controls operated as designed. This testing is what distinguishes Type II from Type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Control Frequency</w:t>
            </w:r>
          </w:p>
        </w:tc>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Population Size</w:t>
            </w:r>
          </w:p>
        </w:tc>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Typical Sample Size</w:t>
            </w:r>
          </w:p>
        </w:tc>
        <w:tc>
          <w:tcPr>
            <w:tcW w:type="dxa" w:w="35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Sampling Method</w:t>
            </w:r>
          </w:p>
        </w:tc>
      </w:tr>
      <w:tr>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Continuous / Daily</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365+ instances</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25 samples</w:t>
            </w:r>
          </w:p>
        </w:tc>
        <w:tc>
          <w:tcPr>
            <w:tcW w:type="dxa" w:w="3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Random selection across audit period; must span full period</w:t>
            </w:r>
          </w:p>
        </w:tc>
      </w:tr>
      <w:tr>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Weekly</w:t>
            </w:r>
          </w:p>
        </w:tc>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52 instances</w:t>
            </w:r>
          </w:p>
        </w:tc>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15–20 samples</w:t>
            </w:r>
          </w:p>
        </w:tc>
        <w:tc>
          <w:tcPr>
            <w:tcW w:type="dxa" w:w="3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Random selection; auditor may request specific weeks</w:t>
            </w:r>
          </w:p>
        </w:tc>
      </w:tr>
      <w:tr>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Monthly</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12 instances</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 12 (or minimum 6)</w:t>
            </w:r>
          </w:p>
        </w:tc>
        <w:tc>
          <w:tcPr>
            <w:tcW w:type="dxa" w:w="3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 instances for 12-month audit; 6 for 6-month audit</w:t>
            </w:r>
          </w:p>
        </w:tc>
      </w:tr>
      <w:tr>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Quarterly</w:t>
            </w:r>
          </w:p>
        </w:tc>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4 instances</w:t>
            </w:r>
          </w:p>
        </w:tc>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 4</w:t>
            </w:r>
          </w:p>
        </w:tc>
        <w:tc>
          <w:tcPr>
            <w:tcW w:type="dxa" w:w="3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All instances required for quarterly controls</w:t>
            </w:r>
          </w:p>
        </w:tc>
      </w:tr>
      <w:tr>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Annual</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instance</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(required)</w:t>
            </w:r>
          </w:p>
        </w:tc>
        <w:tc>
          <w:tcPr>
            <w:tcW w:type="dxa" w:w="3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Single evidence item must cover audit period</w:t>
            </w:r>
          </w:p>
        </w:tc>
      </w:tr>
      <w:tr>
        <w:tc>
          <w:tcPr>
            <w:tcW w:type="dxa" w:w="2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Per Event (e.g., per access request)</w:t>
            </w:r>
          </w:p>
        </w:tc>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Varies (100s–1000s)</w:t>
            </w:r>
          </w:p>
        </w:tc>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25–40 items</w:t>
            </w:r>
          </w:p>
        </w:tc>
        <w:tc>
          <w:tcPr>
            <w:tcW w:type="dxa" w:w="3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Statistical or judgmental sampling; must represent population</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7.3 Auditor Testing Process —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Audit Phase</w:t>
            </w:r>
          </w:p>
        </w:tc>
        <w:tc>
          <w:tcPr>
            <w:tcW w:type="dxa" w:w="24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Duration</w:t>
            </w:r>
          </w:p>
        </w:tc>
        <w:tc>
          <w:tcPr>
            <w:tcW w:type="dxa" w:w="51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Activities &amp; What You Need to Provide</w:t>
            </w:r>
          </w:p>
        </w:tc>
      </w:tr>
      <w:tr>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Kick-off &amp; Planning</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1–2 weeks</w:t>
            </w:r>
          </w:p>
        </w:tc>
        <w:tc>
          <w:tcPr>
            <w:tcW w:type="dxa" w:w="51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Define audit scope, period, criteria; provide system description, architecture docs, control matrix, contact list for control owners</w:t>
            </w:r>
          </w:p>
        </w:tc>
      </w:tr>
      <w:tr>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Walkthroughs</w:t>
            </w:r>
          </w:p>
        </w:tc>
        <w:tc>
          <w:tcPr>
            <w:tcW w:type="dxa" w:w="2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2–3 weeks</w:t>
            </w:r>
          </w:p>
        </w:tc>
        <w:tc>
          <w:tcPr>
            <w:tcW w:type="dxa" w:w="51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Control owner interviews; auditors meet with IT, Security, HR, DevOps leads; have all policy documents ready; rehearse control explanations</w:t>
            </w:r>
          </w:p>
        </w:tc>
      </w:tr>
      <w:tr>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Evidence Request (PBC List)</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Ongoing</w:t>
            </w:r>
          </w:p>
        </w:tc>
        <w:tc>
          <w:tcPr>
            <w:tcW w:type="dxa" w:w="51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Prepared By Client (PBC) list submitted; typically 100–300 evidence items; upload to auditor portal (ShareFile, Fieldglass, etc.)</w:t>
            </w:r>
          </w:p>
        </w:tc>
      </w:tr>
      <w:tr>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Fieldwork / Testing</w:t>
            </w:r>
          </w:p>
        </w:tc>
        <w:tc>
          <w:tcPr>
            <w:tcW w:type="dxa" w:w="2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4–8 weeks</w:t>
            </w:r>
          </w:p>
        </w:tc>
        <w:tc>
          <w:tcPr>
            <w:tcW w:type="dxa" w:w="51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Auditors test samples; may issue follow-up requests; respond within agreed SLA (typically 2–5 business days per request)</w:t>
            </w:r>
          </w:p>
        </w:tc>
      </w:tr>
      <w:tr>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Draft Report Review</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1–2 weeks</w:t>
            </w:r>
          </w:p>
        </w:tc>
        <w:tc>
          <w:tcPr>
            <w:tcW w:type="dxa" w:w="51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Review draft findings; respond to exceptions; provide management responses to any findings included in report</w:t>
            </w:r>
          </w:p>
        </w:tc>
      </w:tr>
      <w:tr>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Final Report Issuance</w:t>
            </w:r>
          </w:p>
        </w:tc>
        <w:tc>
          <w:tcPr>
            <w:tcW w:type="dxa" w:w="24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 week</w:t>
            </w:r>
          </w:p>
        </w:tc>
        <w:tc>
          <w:tcPr>
            <w:tcW w:type="dxa" w:w="51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Final SOC 2 Type II report issued; review for accuracy; distribute to customers under NDA as required</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7.4 Understanding SOC 2 Report Findings</w:t>
      </w:r>
    </w:p>
    <w:p>
      <w:pPr>
        <w:spacing w:before="80" w:after="100"/>
      </w:pPr>
      <w:r>
        <w:rPr>
          <w:rFonts w:ascii="Arial" w:cs="Arial" w:eastAsia="Arial" w:hAnsi="Arial"/>
          <w:color w:val="1F1F1F"/>
          <w:sz w:val="20"/>
          <w:szCs w:val="20"/>
        </w:rPr>
        <w:t xml:space="preserve">SOC 2 reports can contain different types of opinions and findings:</w:t>
      </w:r>
    </w:p>
    <w:p>
      <w:r>
        <w:br w:type="page"/>
      </w:r>
    </w:p>
    <w:p>
      <w:pPr>
        <w:pStyle w:val="Heading1"/>
        <w:pBdr>
          <w:bottom w:val="single" w:color="2E75B6" w:sz="4"/>
        </w:pBdr>
        <w:shd w:fill="1B3A6B" w:val="clear"/>
        <w:spacing w:before="360" w:after="180"/>
        <w:ind w:left="180"/>
      </w:pPr>
      <w:r>
        <w:rPr>
          <w:rFonts w:ascii="Arial" w:cs="Arial" w:eastAsia="Arial" w:hAnsi="Arial"/>
          <w:b/>
          <w:bCs/>
          <w:color w:val="FFFFFF"/>
          <w:sz w:val="36"/>
          <w:szCs w:val="36"/>
        </w:rPr>
        <w:t xml:space="preserve">8. MULTI-FRAMEWORK CONTROL MAPPING</w:t>
      </w:r>
    </w:p>
    <w:p>
      <w:pPr>
        <w:spacing w:before="80" w:after="100"/>
      </w:pPr>
      <w:r>
        <w:rPr>
          <w:rFonts w:ascii="Arial" w:cs="Arial" w:eastAsia="Arial" w:hAnsi="Arial"/>
          <w:color w:val="1F1F1F"/>
          <w:sz w:val="20"/>
          <w:szCs w:val="20"/>
        </w:rPr>
        <w:t xml:space="preserve">Organizations subject to multiple regulatory and customer compliance requirements can leverage SOC 2 controls to satisfy other frameworks. Control overlap allows a 'build once, satisfy many' approach, reducing total compliance cost and audit burden. The following mappings identify key overlaps.</w:t>
      </w:r>
    </w:p>
    <w:p>
      <w:pPr>
        <w:pStyle w:val="Heading2"/>
        <w:pBdr>
          <w:left w:val="single" w:color="2E75B6" w:sz="8"/>
        </w:pBdr>
        <w:spacing w:before="280" w:after="120"/>
        <w:ind w:left="200"/>
      </w:pPr>
      <w:r>
        <w:rPr>
          <w:rFonts w:ascii="Arial" w:cs="Arial" w:eastAsia="Arial" w:hAnsi="Arial"/>
          <w:b/>
          <w:bCs/>
          <w:color w:val="1B3A6B"/>
          <w:sz w:val="28"/>
          <w:szCs w:val="28"/>
        </w:rPr>
        <w:t xml:space="preserve">10.1 SOC 2 → ISO 27001 Mapping</w:t>
      </w:r>
    </w:p>
    <w:p>
      <w:pPr>
        <w:spacing w:before="80" w:after="100"/>
      </w:pPr>
      <w:r>
        <w:rPr>
          <w:rFonts w:ascii="Arial" w:cs="Arial" w:eastAsia="Arial" w:hAnsi="Arial"/>
          <w:color w:val="1F1F1F"/>
          <w:sz w:val="20"/>
          <w:szCs w:val="20"/>
        </w:rPr>
        <w:t xml:space="preserve">ISO 27001 is the international standard for Information Security Management Systems (ISMS). SOC 2 and ISO 27001 share significant common ground, particularly around access control, incident management, change management, and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SOC 2 Criterion</w:t>
            </w:r>
          </w:p>
        </w:tc>
        <w:tc>
          <w:tcPr>
            <w:tcW w:type="dxa" w:w="3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ISO 27001:2022 Control</w:t>
            </w:r>
          </w:p>
        </w:tc>
        <w:tc>
          <w:tcPr>
            <w:tcW w:type="dxa" w:w="45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Overlap Description</w:t>
            </w:r>
          </w:p>
        </w:tc>
      </w:tr>
      <w:tr>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CC1.1–CC1.5</w:t>
            </w:r>
          </w:p>
        </w:tc>
        <w:tc>
          <w:tcPr>
            <w:tcW w:type="dxa" w:w="3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5.1 (Leadership), 6.1 (Risk planning)</w:t>
            </w:r>
          </w:p>
        </w:tc>
        <w:tc>
          <w:tcPr>
            <w:tcW w:type="dxa" w:w="4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Both require management commitment; ISO requires formal ISMS scope and policy; SOC 2 requires governance structure</w:t>
            </w:r>
          </w:p>
        </w:tc>
      </w:tr>
      <w:tr>
        <w:tc>
          <w:tcPr>
            <w:tcW w:type="dxa" w:w="16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CC3.1–CC3.4</w:t>
            </w:r>
          </w:p>
        </w:tc>
        <w:tc>
          <w:tcPr>
            <w:tcW w:type="dxa" w:w="3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6.1.2 (Risk assessment)</w:t>
            </w:r>
          </w:p>
        </w:tc>
        <w:tc>
          <w:tcPr>
            <w:tcW w:type="dxa" w:w="4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Both require formal risk identification and treatment; ISO requires risk treatment plan; SOC 2 requires risk register</w:t>
            </w:r>
          </w:p>
        </w:tc>
      </w:tr>
      <w:tr>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CC6.1–CC6.3</w:t>
            </w:r>
          </w:p>
        </w:tc>
        <w:tc>
          <w:tcPr>
            <w:tcW w:type="dxa" w:w="3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5.15–5.18 (Access control)</w:t>
            </w:r>
          </w:p>
        </w:tc>
        <w:tc>
          <w:tcPr>
            <w:tcW w:type="dxa" w:w="4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Nearly identical requirements for access provisioning, review, and de-provisioning; ISO is more prescriptive on password policy</w:t>
            </w:r>
          </w:p>
        </w:tc>
      </w:tr>
      <w:tr>
        <w:tc>
          <w:tcPr>
            <w:tcW w:type="dxa" w:w="16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CC6.6</w:t>
            </w:r>
          </w:p>
        </w:tc>
        <w:tc>
          <w:tcPr>
            <w:tcW w:type="dxa" w:w="3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5.14 (Information security for network services), 8.20 (Network security)</w:t>
            </w:r>
          </w:p>
        </w:tc>
        <w:tc>
          <w:tcPr>
            <w:tcW w:type="dxa" w:w="4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Both require boundary protection and network segmentation; ISO requires documented network services</w:t>
            </w:r>
          </w:p>
        </w:tc>
      </w:tr>
      <w:tr>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CC7.1 (Vuln. Scanning)</w:t>
            </w:r>
          </w:p>
        </w:tc>
        <w:tc>
          <w:tcPr>
            <w:tcW w:type="dxa" w:w="3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8.8 (Management of technical vulnerabilities)</w:t>
            </w:r>
          </w:p>
        </w:tc>
        <w:tc>
          <w:tcPr>
            <w:tcW w:type="dxa" w:w="4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ISO A.8.8 maps directly to CC7.1; both require vulnerability scanning and timely patch management</w:t>
            </w:r>
          </w:p>
        </w:tc>
      </w:tr>
      <w:tr>
        <w:tc>
          <w:tcPr>
            <w:tcW w:type="dxa" w:w="16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CC7.3–CC7.4 (Incident Response)</w:t>
            </w:r>
          </w:p>
        </w:tc>
        <w:tc>
          <w:tcPr>
            <w:tcW w:type="dxa" w:w="3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5.24–5.28 (IS incident management)</w:t>
            </w:r>
          </w:p>
        </w:tc>
        <w:tc>
          <w:tcPr>
            <w:tcW w:type="dxa" w:w="4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ISO has a dedicated clause for incident management; SOC 2 CC7.3–7.5 covers detection, response, and recovery</w:t>
            </w:r>
          </w:p>
        </w:tc>
      </w:tr>
      <w:tr>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CC8.1 (Change Management)</w:t>
            </w:r>
          </w:p>
        </w:tc>
        <w:tc>
          <w:tcPr>
            <w:tcW w:type="dxa" w:w="3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8.32 (Change management)</w:t>
            </w:r>
          </w:p>
        </w:tc>
        <w:tc>
          <w:tcPr>
            <w:tcW w:type="dxa" w:w="4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Both require authorized, tested, documented changes; ISO requires formal change management process</w:t>
            </w:r>
          </w:p>
        </w:tc>
      </w:tr>
      <w:tr>
        <w:tc>
          <w:tcPr>
            <w:tcW w:type="dxa" w:w="16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CC9.1 (BCP)</w:t>
            </w:r>
          </w:p>
        </w:tc>
        <w:tc>
          <w:tcPr>
            <w:tcW w:type="dxa" w:w="3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5.29–5.30 (Business continuity)</w:t>
            </w:r>
          </w:p>
        </w:tc>
        <w:tc>
          <w:tcPr>
            <w:tcW w:type="dxa" w:w="4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ISO Annex A 5.29 maps directly to CC9.1; both require BCP testing and documented procedures</w:t>
            </w:r>
          </w:p>
        </w:tc>
      </w:tr>
      <w:tr>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CC9.2 (Vendor Risk)</w:t>
            </w:r>
          </w:p>
        </w:tc>
        <w:tc>
          <w:tcPr>
            <w:tcW w:type="dxa" w:w="32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5.19–5.22 (Supplier relationships)</w:t>
            </w:r>
          </w:p>
        </w:tc>
        <w:tc>
          <w:tcPr>
            <w:tcW w:type="dxa" w:w="45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ISO A.5.19–5.22 maps to CC9.2; both require vendor risk assessment, security requirements in contracts, and monitoring</w:t>
            </w:r>
          </w:p>
        </w:tc>
      </w:tr>
      <w:tr>
        <w:tc>
          <w:tcPr>
            <w:tcW w:type="dxa" w:w="16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CC2.2 (Security Awareness)</w:t>
            </w:r>
          </w:p>
        </w:tc>
        <w:tc>
          <w:tcPr>
            <w:tcW w:type="dxa" w:w="32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6.3 (Awareness)</w:t>
            </w:r>
          </w:p>
        </w:tc>
        <w:tc>
          <w:tcPr>
            <w:tcW w:type="dxa" w:w="45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ISO clause 6.3 maps to CC2.2; both require security awareness training with documented completion records</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10.2 SOC 2 → PCI DSS v4.0 Mapping</w:t>
      </w:r>
    </w:p>
    <w:p>
      <w:pPr>
        <w:spacing w:before="80" w:after="100"/>
      </w:pPr>
      <w:r>
        <w:rPr>
          <w:rFonts w:ascii="Arial" w:cs="Arial" w:eastAsia="Arial" w:hAnsi="Arial"/>
          <w:color w:val="1F1F1F"/>
          <w:sz w:val="20"/>
          <w:szCs w:val="20"/>
        </w:rPr>
        <w:t xml:space="preserve">PCI DSS applies to organizations that process, store, or transmit payment card data. Organizations with both SOC 2 and PCI requirements can reuse many controls. Note: PCI DSS is more prescriptive than SOC 2 in several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SOC 2 Criterion</w:t>
            </w:r>
          </w:p>
        </w:tc>
        <w:tc>
          <w:tcPr>
            <w:tcW w:type="dxa" w:w="18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PCI DSS v4.0 Req.</w:t>
            </w:r>
          </w:p>
        </w:tc>
        <w:tc>
          <w:tcPr>
            <w:tcW w:type="dxa" w:w="59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Overlap &amp; Key Differences</w:t>
            </w:r>
          </w:p>
        </w:tc>
      </w:tr>
      <w:tr>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CC6.1 (MFA)</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PCI 8.4 (MFA)</w:t>
            </w:r>
          </w:p>
        </w:tc>
        <w:tc>
          <w:tcPr>
            <w:tcW w:type="dxa" w:w="59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Both require MFA; PCI mandates MFA for all non-console admin access and all remote network access — more specific than SOC 2</w:t>
            </w:r>
          </w:p>
        </w:tc>
      </w:tr>
      <w:tr>
        <w:tc>
          <w:tcPr>
            <w:tcW w:type="dxa" w:w="16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CC6.2–CC6.3 (Access Control)</w:t>
            </w:r>
          </w:p>
        </w:tc>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PCI 7 (Restrict access)</w:t>
            </w:r>
          </w:p>
        </w:tc>
        <w:tc>
          <w:tcPr>
            <w:tcW w:type="dxa" w:w="59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PCI Req. 7 closely mirrors CC6.2–6.3; PCI requires quarterly privilege reviews and immediately disabling terminated accounts</w:t>
            </w:r>
          </w:p>
        </w:tc>
      </w:tr>
      <w:tr>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CC6.6 (Boundary Protection)</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PCI 1 (Network controls)</w:t>
            </w:r>
          </w:p>
        </w:tc>
        <w:tc>
          <w:tcPr>
            <w:tcW w:type="dxa" w:w="59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PCI Req. 1 is highly prescriptive (specific firewall rules); SOC 2 is principles-based; PCI also requires CDE network isolation</w:t>
            </w:r>
          </w:p>
        </w:tc>
      </w:tr>
      <w:tr>
        <w:tc>
          <w:tcPr>
            <w:tcW w:type="dxa" w:w="16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CC6.1 (Encryption)</w:t>
            </w:r>
          </w:p>
        </w:tc>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PCI 3–4 (Encryption)</w:t>
            </w:r>
          </w:p>
        </w:tc>
        <w:tc>
          <w:tcPr>
            <w:tcW w:type="dxa" w:w="59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PCI Req. 3 (at rest) and 4 (in transit) are more prescriptive than SOC 2 CC6.1; PCI requires specific cipher suites and key management processes</w:t>
            </w:r>
          </w:p>
        </w:tc>
      </w:tr>
      <w:tr>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CC7.1 (Vulnerability Mgmt)</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PCI 6, 11 (Vuln. Mgmt)</w:t>
            </w:r>
          </w:p>
        </w:tc>
        <w:tc>
          <w:tcPr>
            <w:tcW w:type="dxa" w:w="59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PCI Req. 6.3 (patch management) and 11.3 (vulnerability scans) map to CC7.1; PCI requires quarterly external scans by ASV</w:t>
            </w:r>
          </w:p>
        </w:tc>
      </w:tr>
      <w:tr>
        <w:tc>
          <w:tcPr>
            <w:tcW w:type="dxa" w:w="16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CC7.3–CC7.4 (Incident Response)</w:t>
            </w:r>
          </w:p>
        </w:tc>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PCI 12.10 (Incident Response)</w:t>
            </w:r>
          </w:p>
        </w:tc>
        <w:tc>
          <w:tcPr>
            <w:tcW w:type="dxa" w:w="59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PCI 12.10 requires a formal IR plan with specific components; SOC 2 CC7.3–7.5 overlaps significantly; PCI also requires annual IR testing</w:t>
            </w:r>
          </w:p>
        </w:tc>
      </w:tr>
      <w:tr>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CC8.1 (Change Management)</w:t>
            </w:r>
          </w:p>
        </w:tc>
        <w:tc>
          <w:tcPr>
            <w:tcW w:type="dxa" w:w="18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PCI 6.4 (Change management)</w:t>
            </w:r>
          </w:p>
        </w:tc>
        <w:tc>
          <w:tcPr>
            <w:tcW w:type="dxa" w:w="59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PCI 6.4 requires impact analysis, documentation, testing, and rollback for all changes — directly overlaps CC8.1</w:t>
            </w:r>
          </w:p>
        </w:tc>
      </w:tr>
      <w:tr>
        <w:tc>
          <w:tcPr>
            <w:tcW w:type="dxa" w:w="16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CC4.1 (Penetration Testing)</w:t>
            </w:r>
          </w:p>
        </w:tc>
        <w:tc>
          <w:tcPr>
            <w:tcW w:type="dxa" w:w="18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PCI 11.4 (Penetration testing)</w:t>
            </w:r>
          </w:p>
        </w:tc>
        <w:tc>
          <w:tcPr>
            <w:tcW w:type="dxa" w:w="59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Both require annual penetration testing; PCI is more specific about scope (CDE + segmentation validation) and methodology requirements</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10.3 SOC 2 → SWIFT CSCF Mapping</w:t>
      </w:r>
    </w:p>
    <w:p>
      <w:pPr>
        <w:spacing w:before="80" w:after="100"/>
      </w:pPr>
      <w:r>
        <w:rPr>
          <w:rFonts w:ascii="Arial" w:cs="Arial" w:eastAsia="Arial" w:hAnsi="Arial"/>
          <w:color w:val="1F1F1F"/>
          <w:sz w:val="20"/>
          <w:szCs w:val="20"/>
        </w:rPr>
        <w:t xml:space="preserve">The SWIFT Customer Security Controls Framework (CSCF) applies to organizations participating in the SWIFT financial messaging network. It has 32 mandatory and advisory controls organized around securing the local SWIFT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SOC 2 Criterion</w:t>
            </w:r>
          </w:p>
        </w:tc>
        <w:tc>
          <w:tcPr>
            <w:tcW w:type="dxa" w:w="20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SWIFT CSCF Control</w:t>
            </w:r>
          </w:p>
        </w:tc>
        <w:tc>
          <w:tcPr>
            <w:tcW w:type="dxa" w:w="576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top"/>
          </w:tcPr>
          <w:p>
            <w:r>
              <w:rPr>
                <w:rFonts w:ascii="Arial" w:cs="Arial" w:eastAsia="Arial" w:hAnsi="Arial"/>
                <w:b/>
                <w:bCs/>
                <w:color w:val="FFFFFF"/>
                <w:sz w:val="20"/>
                <w:szCs w:val="20"/>
              </w:rPr>
              <w:t xml:space="preserve">Overlap Description</w:t>
            </w:r>
          </w:p>
        </w:tc>
      </w:tr>
      <w:tr>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CC6.4 (Physical Access)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1.1 (SWIFT Environment Protection)</w:t>
            </w:r>
          </w:p>
        </w:tc>
        <w:tc>
          <w:tcPr>
            <w:tcW w:type="dxa" w:w="57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SWIFT mandates physical protection of the local SWIFT environment; CC6.4 addresses physical access to all data centers</w:t>
            </w:r>
          </w:p>
        </w:tc>
      </w:tr>
      <w:tr>
        <w:tc>
          <w:tcPr>
            <w:tcW w:type="dxa" w:w="16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CC6.1 (Privileged Access)</w:t>
            </w:r>
          </w:p>
        </w:tc>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1.2 (Privileged Account Control)</w:t>
            </w:r>
          </w:p>
        </w:tc>
        <w:tc>
          <w:tcPr>
            <w:tcW w:type="dxa" w:w="57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SWIFT requires dedicated privileged accounts for SWIFT operators; CC6.1 addresses least-privilege IAM across all systems</w:t>
            </w:r>
          </w:p>
        </w:tc>
      </w:tr>
      <w:tr>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CC6.2 (User Provisioning)</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2.2 (Security Updates)</w:t>
            </w:r>
          </w:p>
        </w:tc>
        <w:tc>
          <w:tcPr>
            <w:tcW w:type="dxa" w:w="57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SWIFT 2.2 requires timely patching; CC7.1 (vulnerability management) and CC6.2 (access lifecycle) both apply to SWIFT operators</w:t>
            </w:r>
          </w:p>
        </w:tc>
      </w:tr>
      <w:tr>
        <w:tc>
          <w:tcPr>
            <w:tcW w:type="dxa" w:w="16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CC6.1 (MFA)</w:t>
            </w:r>
          </w:p>
        </w:tc>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4.2 (MFA for Operator Accounts)</w:t>
            </w:r>
          </w:p>
        </w:tc>
        <w:tc>
          <w:tcPr>
            <w:tcW w:type="dxa" w:w="57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SWIFT mandates MFA for all SWIFT operator accounts; directly satisfied by CC6.1 MFA controls</w:t>
            </w:r>
          </w:p>
        </w:tc>
      </w:tr>
      <w:tr>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CC6.6 (Boundary Protection)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2.1 (Internal Data Flow Security)</w:t>
            </w:r>
          </w:p>
        </w:tc>
        <w:tc>
          <w:tcPr>
            <w:tcW w:type="dxa" w:w="57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SWIFT requires that SWIFT components communicate only on dedicated paths; CC6.6 boundary protection and network segmentation apply</w:t>
            </w:r>
          </w:p>
        </w:tc>
      </w:tr>
      <w:tr>
        <w:tc>
          <w:tcPr>
            <w:tcW w:type="dxa" w:w="16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CC7.3–CC7.4 (Incident Response)</w:t>
            </w:r>
          </w:p>
        </w:tc>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6.1 (Cyber Incident Response)</w:t>
            </w:r>
          </w:p>
        </w:tc>
        <w:tc>
          <w:tcPr>
            <w:tcW w:type="dxa" w:w="57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SWIFT 6.1 requires a cyber incident response plan specific to SWIFT; overlaps with CC7.4 IRP but requires SWIFT-specific scenarios</w:t>
            </w:r>
          </w:p>
        </w:tc>
      </w:tr>
      <w:tr>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CC3.2 (Risk Assessment)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2.9 (Transaction Business Controls)</w:t>
            </w:r>
          </w:p>
        </w:tc>
        <w:tc>
          <w:tcPr>
            <w:tcW w:type="dxa" w:w="5760"/>
            <w:tcBorders>
              <w:top w:val="single" w:color="BBCFE0" w:sz="1"/>
              <w:left w:val="single" w:color="BBCFE0" w:sz="1"/>
              <w:bottom w:val="single" w:color="BBCFE0" w:sz="1"/>
              <w:right w:val="single" w:color="BBCFE0" w:sz="1"/>
            </w:tcBorders>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SWIFT 2.9 requires anomaly detection in transaction monitoring; maps to CC3.2 risk identification and CC7.2 anomaly detection</w:t>
            </w:r>
          </w:p>
        </w:tc>
      </w:tr>
      <w:tr>
        <w:tc>
          <w:tcPr>
            <w:tcW w:type="dxa" w:w="16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CC9.2 (Vendor Risk)</w:t>
            </w:r>
          </w:p>
        </w:tc>
        <w:tc>
          <w:tcPr>
            <w:tcW w:type="dxa" w:w="200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3.1 (Third-Party Provider Security)</w:t>
            </w:r>
          </w:p>
        </w:tc>
        <w:tc>
          <w:tcPr>
            <w:tcW w:type="dxa" w:w="5760"/>
            <w:tcBorders>
              <w:top w:val="single" w:color="BBCFE0" w:sz="1"/>
              <w:left w:val="single" w:color="BBCFE0" w:sz="1"/>
              <w:bottom w:val="single" w:color="BBCFE0" w:sz="1"/>
              <w:right w:val="single" w:color="BBCFE0" w:sz="1"/>
            </w:tcBorders>
            <w:shd w:fill="F2F5F9" w:val="clear"/>
            <w:tcMar>
              <w:top w:type="dxa" w:w="80"/>
              <w:left w:type="dxa" w:w="120"/>
              <w:bottom w:type="dxa" w:w="80"/>
              <w:right w:type="dxa" w:w="120"/>
            </w:tcMar>
            <w:vAlign w:val="top"/>
          </w:tcPr>
          <w:p>
            <w:r>
              <w:rPr>
                <w:rFonts w:ascii="Arial" w:cs="Arial" w:eastAsia="Arial" w:hAnsi="Arial"/>
                <w:b w:val="false"/>
                <w:bCs w:val="false"/>
                <w:color w:val="1F1F1F"/>
                <w:sz w:val="18"/>
                <w:szCs w:val="18"/>
              </w:rPr>
              <w:t xml:space="preserve">SWIFT 3.1 requires security requirements for SWIFT service bureau providers; overlaps with CC9.2 vendor risk management</w:t>
            </w:r>
          </w:p>
        </w:tc>
      </w:tr>
    </w:tbl>
    <w:p>
      <w:pPr>
        <w:pStyle w:val="Heading2"/>
        <w:pBdr>
          <w:left w:val="single" w:color="2E75B6" w:sz="8"/>
        </w:pBdr>
        <w:spacing w:before="280" w:after="120"/>
        <w:ind w:left="200"/>
      </w:pPr>
      <w:r>
        <w:rPr>
          <w:rFonts w:ascii="Arial" w:cs="Arial" w:eastAsia="Arial" w:hAnsi="Arial"/>
          <w:b/>
          <w:bCs/>
          <w:color w:val="1B3A6B"/>
          <w:sz w:val="28"/>
          <w:szCs w:val="28"/>
        </w:rPr>
        <w:t xml:space="preserve">10.4 Multi-Framework Efficiency Strategy</w:t>
      </w:r>
    </w:p>
    <w:p>
      <w:pPr>
        <w:spacing w:before="80" w:after="100"/>
      </w:pPr>
      <w:r>
        <w:rPr>
          <w:rFonts w:ascii="Arial" w:cs="Arial" w:eastAsia="Arial" w:hAnsi="Arial"/>
          <w:color w:val="1F1F1F"/>
          <w:sz w:val="20"/>
          <w:szCs w:val="20"/>
        </w:rPr>
        <w:t xml:space="preserve">To maximize efficiency when managing multiple compliance frameworks simultaneously:</w:t>
      </w:r>
    </w:p>
    <w:p>
      <w:pPr>
        <w:pBdr>
          <w:left w:val="single" w:color="2E75B6" w:sz="12"/>
        </w:pBdr>
        <w:shd w:fill="D6E4F0" w:val="clear"/>
        <w:spacing w:before="120" w:after="120"/>
        <w:ind w:left="360" w:right="360"/>
      </w:pPr>
      <w:r>
        <w:rPr>
          <w:rFonts w:ascii="Arial" w:cs="Arial" w:eastAsia="Arial" w:hAnsi="Arial"/>
          <w:b/>
          <w:bCs/>
          <w:color w:val="2E75B6"/>
          <w:sz w:val="20"/>
          <w:szCs w:val="20"/>
        </w:rPr>
        <w:t xml:space="preserve">STRATEGIC NOTE: </w:t>
      </w:r>
      <w:r>
        <w:rPr>
          <w:rFonts w:ascii="Arial" w:cs="Arial" w:eastAsia="Arial" w:hAnsi="Arial"/>
          <w:color w:val="1F1F1F"/>
          <w:sz w:val="20"/>
          <w:szCs w:val="20"/>
        </w:rPr>
        <w:t xml:space="preserve">Organizations that have achieved SOC 2 Type II typically need only 3–4 months of additional work to achieve ISO 27001 certification, given the significant control overlap. This is a common 'second step' for SaaS companies expanding into enterprise markets.</w:t>
      </w:r>
    </w:p>
    <w:p>
      <w:pPr>
        <w:pBdr>
          <w:bottom w:val="single" w:color="D6E4F0" w:sz="4"/>
        </w:pBdr>
        <w:spacing w:before="160" w:after="160"/>
      </w:pPr>
    </w:p>
    <w:p>
      <w:pPr>
        <w:spacing w:before="480" w:after="120"/>
        <w:jc w:val="center"/>
      </w:pPr>
      <w:r>
        <w:rPr>
          <w:rFonts w:ascii="Arial" w:cs="Arial" w:eastAsia="Arial" w:hAnsi="Arial"/>
          <w:b/>
          <w:bCs/>
          <w:color w:val="595959"/>
          <w:sz w:val="24"/>
          <w:szCs w:val="24"/>
        </w:rPr>
        <w:t xml:space="preserve">END OF DOCUMENT</w:t>
      </w:r>
    </w:p>
    <w:p>
      <w:pPr>
        <w:spacing w:before="80" w:after="80"/>
        <w:jc w:val="center"/>
      </w:pPr>
      <w:r>
        <w:rPr>
          <w:rFonts w:ascii="Arial" w:cs="Arial" w:eastAsia="Arial" w:hAnsi="Arial"/>
          <w:i/>
          <w:iCs/>
          <w:color w:val="595959"/>
          <w:sz w:val="20"/>
          <w:szCs w:val="20"/>
        </w:rPr>
        <w:t xml:space="preserve">SOC 2 Type II Complete Implementation Guide</w:t>
      </w:r>
    </w:p>
    <w:p>
      <w:pPr>
        <w:spacing w:before="40" w:after="40"/>
        <w:jc w:val="center"/>
      </w:pPr>
      <w:r>
        <w:rPr>
          <w:rFonts w:ascii="Arial" w:cs="Arial" w:eastAsia="Arial" w:hAnsi="Arial"/>
          <w:i/>
          <w:iCs/>
          <w:color w:val="595959"/>
          <w:sz w:val="18"/>
          <w:szCs w:val="18"/>
        </w:rPr>
        <w:t xml:space="preserve">Based on AICPA TSP Section 100 – 2017 Trust Services Criteria (Revised Points of Focus 2022)</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pBdr>
      <w:jc w:val="center"/>
    </w:pPr>
    <w:r>
      <w:rPr>
        <w:rFonts w:ascii="Arial" w:cs="Arial" w:eastAsia="Arial" w:hAnsi="Arial"/>
        <w:color w:val="595959"/>
        <w:sz w:val="16"/>
        <w:szCs w:val="16"/>
      </w:rPr>
      <w:t xml:space="preserve">Based on AICPA TSP Section 100 – 2017 Trust Services Criteria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1B3A6B"/>
        <w:sz w:val="18"/>
        <w:szCs w:val="18"/>
      </w:rPr>
      <w:t xml:space="preserve">SOC 2 Type II Implementation Guide</w:t>
    </w:r>
    <w:r>
      <w:rPr>
        <w:rFonts w:ascii="Arial" w:cs="Arial" w:eastAsia="Arial" w:hAnsi="Arial"/>
        <w:color w:val="59595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2026-03-07T10:11:38.364Z</dcterms:created>
  <dcterms:modified xsi:type="dcterms:W3CDTF">2026-03-07T10:11:38.365Z</dcterms:modified>
</cp:coreProperties>
</file>

<file path=docProps/custom.xml><?xml version="1.0" encoding="utf-8"?>
<Properties xmlns="http://schemas.openxmlformats.org/officeDocument/2006/custom-properties" xmlns:vt="http://schemas.openxmlformats.org/officeDocument/2006/docPropsVTypes"/>
</file>