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Arial" w:cs="Arial" w:eastAsia="Arial" w:hAnsi="Arial"/>
        </w:rPr>
        <w:t xml:space="preserve"/>
      </w:r>
    </w:p>
    <w:p>
      <w:pPr>
        <w:shd w:fill="1B3A6B" w:val="clear"/>
        <w:spacing w:after="80" w:before="200"/>
        <w:ind w:left="0"/>
        <w:jc w:val="center"/>
      </w:pPr>
      <w:r>
        <w:rPr>
          <w:rFonts w:ascii="Arial" w:cs="Arial" w:eastAsia="Arial" w:hAnsi="Arial"/>
          <w:b/>
          <w:bCs/>
          <w:color w:val="FFFFFF"/>
          <w:sz w:val="56"/>
          <w:szCs w:val="56"/>
        </w:rPr>
        <w:t xml:space="preserve">FASTAG CONTROLS FRAMEWORK</w:t>
      </w:r>
    </w:p>
    <w:p>
      <w:pPr>
        <w:shd w:fill="0D6E8A" w:val="clear"/>
        <w:spacing w:after="0" w:before="0"/>
        <w:jc w:val="center"/>
      </w:pPr>
      <w:r>
        <w:rPr>
          <w:rFonts w:ascii="Arial" w:cs="Arial" w:eastAsia="Arial" w:hAnsi="Arial"/>
          <w:i/>
          <w:iCs/>
          <w:color w:val="FFFFFF"/>
          <w:sz w:val="28"/>
          <w:szCs w:val="28"/>
        </w:rPr>
        <w:t xml:space="preserve">Insight Report: FT-01 through FT-12</w:t>
      </w:r>
    </w:p>
    <w:p>
      <w:pPr>
        <w:spacing w:after="120" w:before="120"/>
      </w:pPr>
      <w:r>
        <w:rPr>
          <w:rFonts w:ascii="Arial" w:cs="Arial" w:eastAsia="Arial" w:hAnsi="Arial"/>
        </w:rPr>
        <w:t xml:space="preserve"/>
      </w:r>
    </w:p>
    <w:p>
      <w:pPr>
        <w:spacing w:after="80" w:before="80"/>
        <w:ind w:left="720" w:right="720"/>
        <w:jc w:val="center"/>
      </w:pPr>
      <w:r>
        <w:rPr>
          <w:rFonts w:ascii="Arial" w:cs="Arial" w:eastAsia="Arial" w:hAnsi="Arial"/>
          <w:color w:val="404040"/>
          <w:sz w:val="22"/>
          <w:szCs w:val="22"/>
        </w:rPr>
        <w:t xml:space="preserve">A comprehensive control-by-control analysis of India's National Electronic Toll Collection (NETC) FASTag regulatory and operational framework — covering NPCI, NHAI, RBI, and UIDAI mandates.</w:t>
      </w:r>
    </w:p>
    <w:p>
      <w:pPr>
        <w:spacing w:after="180" w:before="180"/>
      </w:pPr>
      <w:r>
        <w:rPr>
          <w:rFonts w:ascii="Arial" w:cs="Arial" w:eastAsia="Arial" w:hAnsi="Arial"/>
        </w:rPr>
        <w:t xml:space="preserve"/>
      </w:r>
    </w:p>
    <w:p>
      <w:pPr>
        <w:spacing w:after="40" w:before="60"/>
      </w:pPr>
      <w:r>
        <w:rPr>
          <w:rFonts w:ascii="Arial" w:cs="Arial" w:eastAsia="Arial" w:hAnsi="Arial"/>
          <w:b/>
          <w:bCs/>
          <w:color w:val="1B3A6B"/>
          <w:sz w:val="22"/>
          <w:szCs w:val="22"/>
        </w:rPr>
        <w:t xml:space="preserve">Prepared for:</w:t>
      </w:r>
      <w:r>
        <w:rPr>
          <w:rFonts w:ascii="Arial" w:cs="Arial" w:eastAsia="Arial" w:hAnsi="Arial"/>
          <w:color w:val="404040"/>
          <w:sz w:val="22"/>
          <w:szCs w:val="22"/>
        </w:rPr>
        <w:t xml:space="preserve">  Internal Audit / Risk &amp; Compliance Teams</w:t>
      </w:r>
    </w:p>
    <w:p>
      <w:pPr>
        <w:spacing w:after="40" w:before="40"/>
      </w:pPr>
      <w:r>
        <w:rPr>
          <w:rFonts w:ascii="Arial" w:cs="Arial" w:eastAsia="Arial" w:hAnsi="Arial"/>
          <w:b/>
          <w:bCs/>
          <w:color w:val="1B3A6B"/>
          <w:sz w:val="22"/>
          <w:szCs w:val="22"/>
        </w:rPr>
        <w:t xml:space="preserve">Reference Period:</w:t>
      </w:r>
      <w:r>
        <w:rPr>
          <w:rFonts w:ascii="Arial" w:cs="Arial" w:eastAsia="Arial" w:hAnsi="Arial"/>
          <w:color w:val="404040"/>
          <w:sz w:val="22"/>
          <w:szCs w:val="22"/>
        </w:rPr>
        <w:t xml:space="preserve">  May 2026</w:t>
      </w:r>
    </w:p>
    <w:p>
      <w:pPr>
        <w:spacing w:after="40" w:before="40"/>
      </w:pPr>
      <w:r>
        <w:rPr>
          <w:rFonts w:ascii="Arial" w:cs="Arial" w:eastAsia="Arial" w:hAnsi="Arial"/>
          <w:b/>
          <w:bCs/>
          <w:color w:val="1B3A6B"/>
          <w:sz w:val="22"/>
          <w:szCs w:val="22"/>
        </w:rPr>
        <w:t xml:space="preserve">Classification:</w:t>
      </w:r>
      <w:r>
        <w:rPr>
          <w:rFonts w:ascii="Arial" w:cs="Arial" w:eastAsia="Arial" w:hAnsi="Arial"/>
          <w:color w:val="404040"/>
          <w:sz w:val="22"/>
          <w:szCs w:val="22"/>
        </w:rPr>
        <w:t xml:space="preserve">  Internal – Confidential</w:t>
      </w:r>
    </w:p>
    <w:p>
      <w:pPr>
        <w:spacing w:after="120" w:before="120"/>
      </w:pPr>
      <w:r>
        <w:rPr>
          <w:rFonts w:ascii="Arial" w:cs="Arial" w:eastAsia="Arial" w:hAnsi="Arial"/>
        </w:rPr>
        <w:t xml:space="preserve"/>
      </w:r>
    </w:p>
    <w:p>
      <w:r>
        <w:br w:type="page"/>
      </w:r>
    </w:p>
    <w:p>
      <w:pPr>
        <w:pStyle w:val="Heading1"/>
        <w:shd w:fill="1B3A6B" w:val="clear"/>
        <w:spacing w:after="160" w:before="320"/>
        <w:ind w:left="240"/>
      </w:pPr>
      <w:r>
        <w:rPr>
          <w:rFonts w:ascii="Arial" w:cs="Arial" w:eastAsia="Arial" w:hAnsi="Arial"/>
          <w:b/>
          <w:bCs/>
          <w:color w:val="FFFFFF"/>
          <w:sz w:val="32"/>
          <w:szCs w:val="32"/>
        </w:rPr>
        <w:t xml:space="preserve">Executive Summary</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India's National Electronic Toll Collection (NETC) FASTag program has transformed highway toll collection from a cash-based, queue-prone process into a real-time, interoperable electronic payment ecosystem. As of 2025, FASTag is mandatory for all four-wheelers across National Highways, and the NETC network processes hundreds of millions of transactions monthly across 600+ toll plazas.</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This document provides a structured analysis of the twelve foundational controls (FT-01 through FT-12) that collectively govern the integrity, security, and regulatory compliance of the FASTag ecosystem. These controls span five distinct domains:</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404040"/>
          <w:sz w:val="21"/>
          <w:szCs w:val="21"/>
        </w:rPr>
        <w:t xml:space="preserve">Identity &amp; KYC: FT-03 (Aadhaar/OTP), FT-04 (CKYCR/PAN)</w:t>
      </w:r>
    </w:p>
    <w:p>
      <w:pPr>
        <w:pStyle w:val="ListParagraph"/>
        <w:numPr>
          <w:ilvl w:val="0"/>
          <w:numId w:val="2"/>
        </w:numPr>
        <w:spacing w:after="40" w:before="40"/>
      </w:pPr>
      <w:r>
        <w:rPr>
          <w:rFonts w:ascii="Arial" w:cs="Arial" w:eastAsia="Arial" w:hAnsi="Arial"/>
          <w:color w:val="404040"/>
          <w:sz w:val="21"/>
          <w:szCs w:val="21"/>
        </w:rPr>
        <w:t xml:space="preserve">Fraud Prevention &amp; Blacklisting: FT-02 (VRN/Blacklist), FT-10 (Activation/Sync)</w:t>
      </w:r>
    </w:p>
    <w:p>
      <w:pPr>
        <w:pStyle w:val="ListParagraph"/>
        <w:numPr>
          <w:ilvl w:val="0"/>
          <w:numId w:val="2"/>
        </w:numPr>
        <w:spacing w:after="40" w:before="40"/>
      </w:pPr>
      <w:r>
        <w:rPr>
          <w:rFonts w:ascii="Arial" w:cs="Arial" w:eastAsia="Arial" w:hAnsi="Arial"/>
          <w:color w:val="404040"/>
          <w:sz w:val="21"/>
          <w:szCs w:val="21"/>
        </w:rPr>
        <w:t xml:space="preserve">Financial Integrity: FT-06 (Wallet/PPI), FT-07 (Payment Channels), FT-11 (Settlement/Chargeback)</w:t>
      </w:r>
    </w:p>
    <w:p>
      <w:pPr>
        <w:pStyle w:val="ListParagraph"/>
        <w:numPr>
          <w:ilvl w:val="0"/>
          <w:numId w:val="2"/>
        </w:numPr>
        <w:spacing w:after="40" w:before="40"/>
      </w:pPr>
      <w:r>
        <w:rPr>
          <w:rFonts w:ascii="Arial" w:cs="Arial" w:eastAsia="Arial" w:hAnsi="Arial"/>
          <w:color w:val="404040"/>
          <w:sz w:val="21"/>
          <w:szCs w:val="21"/>
        </w:rPr>
        <w:t xml:space="preserve">Physical &amp; Technical Compliance: FT-05 (Vehicle Class), FT-08 (EPC/Issuance), FT-09 (Fitment/RFID)</w:t>
      </w:r>
    </w:p>
    <w:p>
      <w:pPr>
        <w:pStyle w:val="ListParagraph"/>
        <w:numPr>
          <w:ilvl w:val="0"/>
          <w:numId w:val="2"/>
        </w:numPr>
        <w:spacing w:after="40" w:before="40"/>
      </w:pPr>
      <w:r>
        <w:rPr>
          <w:rFonts w:ascii="Arial" w:cs="Arial" w:eastAsia="Arial" w:hAnsi="Arial"/>
          <w:color w:val="404040"/>
          <w:sz w:val="21"/>
          <w:szCs w:val="21"/>
        </w:rPr>
        <w:t xml:space="preserve">Ecosystem Governance: FT-01 (OIVT/Mapper), FT-12 (Disputes/Ombudsman)</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Three controls are classified as Critical risk: FT-02 (VRN Validation &amp; Blacklist), FT-03 (Aadhaar/OTP Identity), and FT-10 (NETC Activation &amp; Blacklist Sync). Failures in these controls directly enable fraud, financial leakage through Deemed-Approved transactions, or regulatory breaches under the Aadhaar Act 2016.</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The remaining nine controls are classified High or Medium risk. Together, they form a multi-layered defence-in-depth framework where weaknesses in one control are intended to be compensated by the others. Auditors and compliance teams should review all twelve controls holistically rather than in isolation.</w:t>
      </w:r>
    </w:p>
    <w:p>
      <w:pPr>
        <w:spacing w:after="60" w:before="60"/>
      </w:pPr>
      <w:r>
        <w:rPr>
          <w:rFonts w:ascii="Arial" w:cs="Arial" w:eastAsia="Arial" w:hAnsi="Arial"/>
        </w:rPr>
        <w:t xml:space="preserve"/>
      </w:r>
    </w:p>
    <w:p>
      <w:r>
        <w:br w:type="page"/>
      </w:r>
    </w:p>
    <w:p>
      <w:pPr>
        <w:pStyle w:val="Heading1"/>
        <w:shd w:fill="1B3A6B" w:val="clear"/>
        <w:spacing w:after="160" w:before="320"/>
        <w:ind w:left="240"/>
      </w:pPr>
      <w:r>
        <w:rPr>
          <w:rFonts w:ascii="Arial" w:cs="Arial" w:eastAsia="Arial" w:hAnsi="Arial"/>
          <w:b/>
          <w:bCs/>
          <w:color w:val="FFFFFF"/>
          <w:sz w:val="32"/>
          <w:szCs w:val="32"/>
        </w:rPr>
        <w:t xml:space="preserve">Regulatory Landscape</w:t>
      </w:r>
    </w:p>
    <w:p>
      <w:pPr>
        <w:spacing w:after="60" w:before="60"/>
      </w:pPr>
      <w:r>
        <w:rPr>
          <w:rFonts w:ascii="Arial" w:cs="Arial" w:eastAsia="Arial" w:hAnsi="Arial"/>
        </w:rPr>
        <w:t xml:space="preserve"/>
      </w:r>
    </w:p>
    <w:p>
      <w:pPr>
        <w:pStyle w:val="Heading2"/>
        <w:pBdr>
          <w:bottom w:val="single" w:color="D4EEF5" w:sz="4" w:space="1"/>
        </w:pBdr>
        <w:spacing w:after="80" w:before="200"/>
      </w:pPr>
      <w:r>
        <w:rPr>
          <w:rFonts w:ascii="Arial" w:cs="Arial" w:eastAsia="Arial" w:hAnsi="Arial"/>
          <w:b/>
          <w:bCs/>
          <w:color w:val="0D6E8A"/>
          <w:sz w:val="26"/>
          <w:szCs w:val="26"/>
        </w:rPr>
        <w:t xml:space="preserve">Governing Bodies</w:t>
      </w:r>
    </w:p>
    <w:p>
      <w:pPr>
        <w:spacing w:after="80" w:before="80"/>
      </w:pPr>
      <w:r>
        <w:rPr>
          <w:rFonts w:ascii="Arial" w:cs="Arial" w:eastAsia="Arial" w:hAnsi="Arial"/>
          <w:color w:val="404040"/>
          <w:sz w:val="22"/>
          <w:szCs w:val="22"/>
        </w:rPr>
        <w:t xml:space="preserve">The FASTag ecosystem is unique in that it operates under the concurrent jurisdiction of four regulatory and quasi-regulatory bodies: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NPCI</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Develops and operates the NETC clearing, settlement, and dispute management infrastructure. Issues operational circulars binding on all member banks.</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NHAI / IHMCL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National Highways Authority of India and Indian Highways Management Company Limited govern toll policy, vehicle classification, and physical infrastructure standards at toll plazas.</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RBI</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Regulates FASTag wallets as semi-closed PPIs under the Payment and Settlement Systems Act 2007. Oversees KYC, dispute redressal, and payment channel compliance.</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UIDAI</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Governs Aadhaar-based authentication used for identity verification during FASTag KYC. All issuer banks acting as AUAs are subject to Aadhaar Authentication Regulations 2021.</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MoRTH / VAHAN</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Ministry of Road Transport and Highways maintains the VAHAN vehicle registration database used for VRN validation and vehicle class verification.</w:t>
            </w:r>
          </w:p>
        </w:tc>
      </w:tr>
    </w:tbl>
    <w:p>
      <w:pPr>
        <w:spacing w:after="60" w:before="60"/>
      </w:pPr>
      <w:r>
        <w:rPr>
          <w:rFonts w:ascii="Arial" w:cs="Arial" w:eastAsia="Arial" w:hAnsi="Arial"/>
        </w:rPr>
        <w:t xml:space="preserve"/>
      </w:r>
    </w:p>
    <w:p>
      <w:pPr>
        <w:pStyle w:val="Heading2"/>
        <w:pBdr>
          <w:bottom w:val="single" w:color="D4EEF5" w:sz="4" w:space="1"/>
        </w:pBdr>
        <w:spacing w:after="80" w:before="200"/>
      </w:pPr>
      <w:r>
        <w:rPr>
          <w:rFonts w:ascii="Arial" w:cs="Arial" w:eastAsia="Arial" w:hAnsi="Arial"/>
          <w:b/>
          <w:bCs/>
          <w:color w:val="0D6E8A"/>
          <w:sz w:val="26"/>
          <w:szCs w:val="26"/>
        </w:rPr>
        <w:t xml:space="preserve">Key Regulatory Instruments</w:t>
      </w:r>
    </w:p>
    <w:p>
      <w:pPr>
        <w:pStyle w:val="ListParagraph"/>
        <w:numPr>
          <w:ilvl w:val="0"/>
          <w:numId w:val="2"/>
        </w:numPr>
        <w:spacing w:after="40" w:before="40"/>
      </w:pPr>
      <w:r>
        <w:rPr>
          <w:rFonts w:ascii="Arial" w:cs="Arial" w:eastAsia="Arial" w:hAnsi="Arial"/>
          <w:color w:val="404040"/>
          <w:sz w:val="21"/>
          <w:szCs w:val="21"/>
        </w:rPr>
        <w:t xml:space="preserve">NPCI NETC Operational Framework &amp; Circulars (updated continuously)</w:t>
      </w:r>
    </w:p>
    <w:p>
      <w:pPr>
        <w:pStyle w:val="ListParagraph"/>
        <w:numPr>
          <w:ilvl w:val="0"/>
          <w:numId w:val="2"/>
        </w:numPr>
        <w:spacing w:after="40" w:before="40"/>
      </w:pPr>
      <w:r>
        <w:rPr>
          <w:rFonts w:ascii="Arial" w:cs="Arial" w:eastAsia="Arial" w:hAnsi="Arial"/>
          <w:color w:val="404040"/>
          <w:sz w:val="21"/>
          <w:szCs w:val="21"/>
        </w:rPr>
        <w:t xml:space="preserve">RBI Master Direction on KYC 2016 (updated June 2025) — Ref: DBR.AML.BC.No.81/14.01.001/2015-16</w:t>
      </w:r>
    </w:p>
    <w:p>
      <w:pPr>
        <w:pStyle w:val="ListParagraph"/>
        <w:numPr>
          <w:ilvl w:val="0"/>
          <w:numId w:val="2"/>
        </w:numPr>
        <w:spacing w:after="40" w:before="40"/>
      </w:pPr>
      <w:r>
        <w:rPr>
          <w:rFonts w:ascii="Arial" w:cs="Arial" w:eastAsia="Arial" w:hAnsi="Arial"/>
          <w:color w:val="404040"/>
          <w:sz w:val="21"/>
          <w:szCs w:val="21"/>
        </w:rPr>
        <w:t xml:space="preserve">RBI Master Direction on Prepaid Payment Instruments 2021 — Ref: CO.DPSS.POLC.No.S-479/02.14.006/2021-22</w:t>
      </w:r>
    </w:p>
    <w:p>
      <w:pPr>
        <w:pStyle w:val="ListParagraph"/>
        <w:numPr>
          <w:ilvl w:val="0"/>
          <w:numId w:val="2"/>
        </w:numPr>
        <w:spacing w:after="40" w:before="40"/>
      </w:pPr>
      <w:r>
        <w:rPr>
          <w:rFonts w:ascii="Arial" w:cs="Arial" w:eastAsia="Arial" w:hAnsi="Arial"/>
          <w:color w:val="404040"/>
          <w:sz w:val="21"/>
          <w:szCs w:val="21"/>
        </w:rPr>
        <w:t xml:space="preserve">RBI Master Directions on Payment Systems — Ref: did=336</w:t>
      </w:r>
    </w:p>
    <w:p>
      <w:pPr>
        <w:pStyle w:val="ListParagraph"/>
        <w:numPr>
          <w:ilvl w:val="0"/>
          <w:numId w:val="2"/>
        </w:numPr>
        <w:spacing w:after="40" w:before="40"/>
      </w:pPr>
      <w:r>
        <w:rPr>
          <w:rFonts w:ascii="Arial" w:cs="Arial" w:eastAsia="Arial" w:hAnsi="Arial"/>
          <w:color w:val="404040"/>
          <w:sz w:val="21"/>
          <w:szCs w:val="21"/>
        </w:rPr>
        <w:t xml:space="preserve">UIDAI Aadhaar Authentication Regulations 2021</w:t>
      </w:r>
    </w:p>
    <w:p>
      <w:pPr>
        <w:pStyle w:val="ListParagraph"/>
        <w:numPr>
          <w:ilvl w:val="0"/>
          <w:numId w:val="2"/>
        </w:numPr>
        <w:spacing w:after="40" w:before="40"/>
      </w:pPr>
      <w:r>
        <w:rPr>
          <w:rFonts w:ascii="Arial" w:cs="Arial" w:eastAsia="Arial" w:hAnsi="Arial"/>
          <w:color w:val="404040"/>
          <w:sz w:val="21"/>
          <w:szCs w:val="21"/>
        </w:rPr>
        <w:t xml:space="preserve">NHAI National Electronic Toll Collection Implementation Guidelines</w:t>
      </w:r>
    </w:p>
    <w:p>
      <w:pPr>
        <w:pStyle w:val="ListParagraph"/>
        <w:numPr>
          <w:ilvl w:val="0"/>
          <w:numId w:val="2"/>
        </w:numPr>
        <w:spacing w:after="40" w:before="40"/>
      </w:pPr>
      <w:r>
        <w:rPr>
          <w:rFonts w:ascii="Arial" w:cs="Arial" w:eastAsia="Arial" w:hAnsi="Arial"/>
          <w:color w:val="404040"/>
          <w:sz w:val="21"/>
          <w:szCs w:val="21"/>
        </w:rPr>
        <w:t xml:space="preserve">Prevention of Money Laundering Act (PMLA) 2002 and Rules 2005</w:t>
      </w:r>
    </w:p>
    <w:p>
      <w:pPr>
        <w:spacing w:after="60" w:before="60"/>
      </w:pPr>
      <w:r>
        <w:rPr>
          <w:rFonts w:ascii="Arial" w:cs="Arial" w:eastAsia="Arial" w:hAnsi="Arial"/>
        </w:rPr>
        <w:t xml:space="preserve"/>
      </w:r>
    </w:p>
    <w:p>
      <w:r>
        <w:br w:type="page"/>
      </w:r>
    </w:p>
    <w:p>
      <w:pPr>
        <w:pStyle w:val="Heading1"/>
        <w:shd w:fill="1B3A6B" w:val="clear"/>
        <w:spacing w:after="160" w:before="320"/>
        <w:ind w:left="240"/>
      </w:pPr>
      <w:r>
        <w:rPr>
          <w:rFonts w:ascii="Arial" w:cs="Arial" w:eastAsia="Arial" w:hAnsi="Arial"/>
          <w:b/>
          <w:bCs/>
          <w:color w:val="FFFFFF"/>
          <w:sz w:val="32"/>
          <w:szCs w:val="32"/>
        </w:rPr>
        <w:t xml:space="preserve">Control Summary Matrix</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The table below provides a high-level summary of all 12 controls, their regulatory authority, operational domain, and assessed risk level. Controls rated Critical require continuous monitoring; High-risk controls require quarterly review; Medium-risk controls require semi-annual review.</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160"/>
        <w:gridCol w:w="1200"/>
      </w:tblGrid>
      <w:tr>
        <w:trPr>
          <w:tblHeader/>
        </w:trPr>
        <w:tc>
          <w:tcPr>
            <w:tcW w:type="dxa" w:w="9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spacing w:after="20" w:before="20"/>
              <w:jc w:val="center"/>
            </w:pPr>
            <w:r>
              <w:rPr>
                <w:rFonts w:ascii="Arial" w:cs="Arial" w:eastAsia="Arial" w:hAnsi="Arial"/>
                <w:b/>
                <w:bCs/>
                <w:color w:val="FFFFFF"/>
                <w:sz w:val="20"/>
                <w:szCs w:val="20"/>
              </w:rPr>
              <w:t xml:space="preserve">Control ID</w:t>
            </w:r>
          </w:p>
        </w:tc>
        <w:tc>
          <w:tcPr>
            <w:tcW w:type="dxa" w:w="36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spacing w:after="20" w:before="20"/>
              <w:jc w:val="center"/>
            </w:pPr>
            <w:r>
              <w:rPr>
                <w:rFonts w:ascii="Arial" w:cs="Arial" w:eastAsia="Arial" w:hAnsi="Arial"/>
                <w:b/>
                <w:bCs/>
                <w:color w:val="FFFFFF"/>
                <w:sz w:val="20"/>
                <w:szCs w:val="20"/>
              </w:rPr>
              <w:t xml:space="preserve">Control Name</w:t>
            </w:r>
          </w:p>
        </w:tc>
        <w:tc>
          <w:tcPr>
            <w:tcW w:type="dxa" w:w="15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spacing w:after="20" w:before="20"/>
              <w:jc w:val="center"/>
            </w:pPr>
            <w:r>
              <w:rPr>
                <w:rFonts w:ascii="Arial" w:cs="Arial" w:eastAsia="Arial" w:hAnsi="Arial"/>
                <w:b/>
                <w:bCs/>
                <w:color w:val="FFFFFF"/>
                <w:sz w:val="20"/>
                <w:szCs w:val="20"/>
              </w:rPr>
              <w:t xml:space="preserve">Authority</w:t>
            </w:r>
          </w:p>
        </w:tc>
        <w:tc>
          <w:tcPr>
            <w:tcW w:type="dxa" w:w="216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spacing w:after="20" w:before="20"/>
              <w:jc w:val="center"/>
            </w:pPr>
            <w:r>
              <w:rPr>
                <w:rFonts w:ascii="Arial" w:cs="Arial" w:eastAsia="Arial" w:hAnsi="Arial"/>
                <w:b/>
                <w:bCs/>
                <w:color w:val="FFFFFF"/>
                <w:sz w:val="20"/>
                <w:szCs w:val="20"/>
              </w:rPr>
              <w:t xml:space="preserve">Domain</w:t>
            </w:r>
          </w:p>
        </w:tc>
        <w:tc>
          <w:tcPr>
            <w:tcW w:type="dxa" w:w="1200"/>
            <w:tcBorders>
              <w:top w:val="single" w:color="1B3A6B" w:sz="6"/>
              <w:left w:val="single" w:color="1B3A6B" w:sz="6"/>
              <w:bottom w:val="single" w:color="1B3A6B" w:sz="6"/>
              <w:right w:val="single" w:color="1B3A6B" w:sz="6"/>
            </w:tcBorders>
            <w:shd w:fill="1B3A6B" w:val="clear"/>
            <w:tcMar>
              <w:top w:type="dxa" w:w="100"/>
              <w:left w:type="dxa" w:w="120"/>
              <w:bottom w:type="dxa" w:w="100"/>
              <w:right w:type="dxa" w:w="120"/>
            </w:tcMar>
          </w:tcPr>
          <w:p>
            <w:pPr>
              <w:spacing w:after="20" w:before="20"/>
              <w:jc w:val="center"/>
            </w:pPr>
            <w:r>
              <w:rPr>
                <w:rFonts w:ascii="Arial" w:cs="Arial" w:eastAsia="Arial" w:hAnsi="Arial"/>
                <w:b/>
                <w:bCs/>
                <w:color w:val="FFFFFF"/>
                <w:sz w:val="20"/>
                <w:szCs w:val="20"/>
              </w:rPr>
              <w:t xml:space="preserve">Risk Level</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FT-01</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OIVT &amp; NETC Mapper Reconciliation</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Settlement Integrity</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FT-02</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VRN Validation &amp; Blacklist Enforcement</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Fraud Prevention</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C00000"/>
                <w:sz w:val="20"/>
                <w:szCs w:val="20"/>
              </w:rPr>
              <w:t xml:space="preserve">Critical</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FT-03</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Mobile OTP &amp; Aadhaar-linked Identity</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UIDAI</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Identity Authentication</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C00000"/>
                <w:sz w:val="20"/>
                <w:szCs w:val="20"/>
              </w:rPr>
              <w:t xml:space="preserve">Critical</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FT-04</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CKYCR / PAN / Address Verification</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RBI KYC MD</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Regulatory Compliance</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FT-05</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Vehicle Class &amp; Axle-Count Eligibility</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NHAI</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Revenue Accuracy</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FT-06</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Wallet Balance &amp; Load Reconciliation</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RBI PPI MD</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Liquidity Control</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FT-07</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Payment Channel Controls</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RBI Payment MD</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Operational Risk</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4A7C59"/>
                <w:sz w:val="20"/>
                <w:szCs w:val="20"/>
              </w:rPr>
              <w:t xml:space="preserve">Medium</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FT-08</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Tag Issuance &amp; EPC Mapping</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Asset Integrity</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FT-09</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Tag Fitment Proof &amp; RFID QA</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Physical Compliance</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4A7C59"/>
                <w:sz w:val="20"/>
                <w:szCs w:val="20"/>
              </w:rPr>
              <w:t xml:space="preserve">Medium</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FT-10</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NETC Activation &amp; Blacklist Sync</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Ecosystem Health</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C00000"/>
                <w:sz w:val="20"/>
                <w:szCs w:val="20"/>
              </w:rPr>
              <w:t xml:space="preserve">Critical</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FT-11</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Toll Settlement &amp; Chargeback</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NPCI NETC</w:t>
            </w:r>
          </w:p>
        </w:tc>
        <w:tc>
          <w:tcPr>
            <w:tcW w:type="dxa" w:w="2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Financial Reconciliation</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r>
        <w:tc>
          <w:tcPr>
            <w:tcW w:type="dxa" w:w="9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bCs/>
                <w:color w:val="1B3A6B"/>
                <w:sz w:val="20"/>
                <w:szCs w:val="20"/>
              </w:rPr>
              <w:t xml:space="preserve">FT-12</w:t>
            </w:r>
          </w:p>
        </w:tc>
        <w:tc>
          <w:tcPr>
            <w:tcW w:type="dxa" w:w="36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Customer Dispute &amp; Exception Handling</w:t>
            </w:r>
          </w:p>
        </w:tc>
        <w:tc>
          <w:tcPr>
            <w:tcW w:type="dxa" w:w="15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RBI CMS</w:t>
            </w:r>
          </w:p>
        </w:tc>
        <w:tc>
          <w:tcPr>
            <w:tcW w:type="dxa" w:w="216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left"/>
            </w:pPr>
            <w:r>
              <w:rPr>
                <w:rFonts w:ascii="Arial" w:cs="Arial" w:eastAsia="Arial" w:hAnsi="Arial"/>
                <w:b w:val="false"/>
                <w:bCs w:val="false"/>
                <w:color w:val="404040"/>
                <w:sz w:val="20"/>
                <w:szCs w:val="20"/>
              </w:rPr>
              <w:t xml:space="preserve">Consumer Protection</w:t>
            </w:r>
          </w:p>
        </w:tc>
        <w:tc>
          <w:tcPr>
            <w:tcW w:type="dxa" w:w="1200"/>
            <w:tcBorders>
              <w:top w:val="single" w:color="CCCCCC" w:sz="3"/>
              <w:left w:val="single" w:color="CCCCCC" w:sz="3"/>
              <w:bottom w:val="single" w:color="CCCCCC" w:sz="3"/>
              <w:right w:val="single" w:color="CCCCCC" w:sz="3"/>
            </w:tcBorders>
            <w:shd w:fill="F2F2F2" w:val="clear"/>
            <w:tcMar>
              <w:top w:type="dxa" w:w="80"/>
              <w:left w:type="dxa" w:w="120"/>
              <w:bottom w:type="dxa" w:w="80"/>
              <w:right w:type="dxa" w:w="120"/>
            </w:tcMar>
          </w:tcPr>
          <w:p>
            <w:pPr>
              <w:spacing w:after="20" w:before="20"/>
              <w:jc w:val="center"/>
            </w:pPr>
            <w:r>
              <w:rPr>
                <w:rFonts w:ascii="Arial" w:cs="Arial" w:eastAsia="Arial" w:hAnsi="Arial"/>
                <w:b/>
                <w:bCs/>
                <w:color w:val="E87722"/>
                <w:sz w:val="20"/>
                <w:szCs w:val="20"/>
              </w:rPr>
              <w:t xml:space="preserve">High</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Risk Scale: </w:t>
            </w:r>
            <w:r>
              <w:rPr>
                <w:rFonts w:ascii="Arial" w:cs="Arial" w:eastAsia="Arial" w:hAnsi="Arial"/>
                <w:color w:val="404040"/>
                <w:sz w:val="21"/>
                <w:szCs w:val="21"/>
              </w:rPr>
              <w:t xml:space="preserve">Critical = Immediate financial or regulatory impact if control fails. High = Significant financial, reputational, or compliance exposure. Medium = Operational disruption or customer inconvenience; limited systemic risk.</w:t>
            </w:r>
          </w:p>
        </w:tc>
      </w:tr>
    </w:tbl>
    <w:p>
      <w:pPr>
        <w:spacing w:after="60" w:before="60"/>
      </w:pPr>
      <w:r>
        <w:rPr>
          <w:rFonts w:ascii="Arial" w:cs="Arial" w:eastAsia="Arial" w:hAnsi="Arial"/>
        </w:rPr>
        <w:t xml:space="preserve"/>
      </w:r>
    </w:p>
    <w:p>
      <w:r>
        <w:br w:type="page"/>
      </w:r>
    </w:p>
    <w:p>
      <w:pPr>
        <w:pStyle w:val="Heading1"/>
        <w:shd w:fill="1B3A6B" w:val="clear"/>
        <w:spacing w:after="160" w:before="320"/>
        <w:ind w:left="240"/>
      </w:pPr>
      <w:r>
        <w:rPr>
          <w:rFonts w:ascii="Arial" w:cs="Arial" w:eastAsia="Arial" w:hAnsi="Arial"/>
          <w:b/>
          <w:bCs/>
          <w:color w:val="FFFFFF"/>
          <w:sz w:val="32"/>
          <w:szCs w:val="32"/>
        </w:rPr>
        <w:t xml:space="preserve">Detailed Control Analysis</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The following sections provide a detailed analysis of each of the 12 controls, including regulatory basis, key requirements, stakeholder responsibilities, and specific audit focus areas.</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FT-01</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NPCI OIVT &amp; NETC Mapper Reconciliation</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NETC Product Overview</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npci.org.in/what-we-do/netc-fastag/product-overview</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NPCI NETC Operations, Issuer Banks (IT &amp; Operations), Acquirer Banks, IHMCL Toll System Operators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The Online Issuer Validation Test (OIVT) and NETC Mapper Reconciliation control ensures that every FASTag-issuing bank is technically certified and operationally synchronized with the NPCI Central Mapper before going live. The NETC Mapper acts as the master registry that maps each tag's EPC code to its issuing bank, enabling real-time routing of debit requests during toll transactions.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All issuer banks must pass NPCI's OIVT sandbox and UAT before production onboarding</w:t>
      </w:r>
    </w:p>
    <w:p>
      <w:pPr>
        <w:pStyle w:val="ListParagraph"/>
        <w:numPr>
          <w:ilvl w:val="0"/>
          <w:numId w:val="2"/>
        </w:numPr>
        <w:spacing w:after="40" w:before="40"/>
      </w:pPr>
      <w:r>
        <w:rPr>
          <w:rFonts w:ascii="Arial" w:cs="Arial" w:eastAsia="Arial" w:hAnsi="Arial"/>
          <w:color w:val="404040"/>
          <w:sz w:val="21"/>
          <w:szCs w:val="21"/>
        </w:rPr>
        <w:t xml:space="preserve">Issuer host systems must maintain NETC Mapper synchronization within defined SLA windows</w:t>
      </w:r>
    </w:p>
    <w:p>
      <w:pPr>
        <w:pStyle w:val="ListParagraph"/>
        <w:numPr>
          <w:ilvl w:val="0"/>
          <w:numId w:val="2"/>
        </w:numPr>
        <w:spacing w:after="40" w:before="40"/>
      </w:pPr>
      <w:r>
        <w:rPr>
          <w:rFonts w:ascii="Arial" w:cs="Arial" w:eastAsia="Arial" w:hAnsi="Arial"/>
          <w:color w:val="404040"/>
          <w:sz w:val="21"/>
          <w:szCs w:val="21"/>
        </w:rPr>
        <w:t xml:space="preserve">Any EPC-to-bank mapping discrepancy must trigger an automated exception and reconciliation cycle</w:t>
      </w:r>
    </w:p>
    <w:p>
      <w:pPr>
        <w:pStyle w:val="ListParagraph"/>
        <w:numPr>
          <w:ilvl w:val="0"/>
          <w:numId w:val="2"/>
        </w:numPr>
        <w:spacing w:after="40" w:before="40"/>
      </w:pPr>
      <w:r>
        <w:rPr>
          <w:rFonts w:ascii="Arial" w:cs="Arial" w:eastAsia="Arial" w:hAnsi="Arial"/>
          <w:color w:val="404040"/>
          <w:sz w:val="21"/>
          <w:szCs w:val="21"/>
        </w:rPr>
        <w:t xml:space="preserve">Periodic Mapper audits must be conducted and discrepancy reports submitted to NPCI Steering Committee</w:t>
      </w:r>
    </w:p>
    <w:p>
      <w:pPr>
        <w:pStyle w:val="ListParagraph"/>
        <w:numPr>
          <w:ilvl w:val="0"/>
          <w:numId w:val="2"/>
        </w:numPr>
        <w:spacing w:after="40" w:before="40"/>
      </w:pPr>
      <w:r>
        <w:rPr>
          <w:rFonts w:ascii="Arial" w:cs="Arial" w:eastAsia="Arial" w:hAnsi="Arial"/>
          <w:color w:val="404040"/>
          <w:sz w:val="21"/>
          <w:szCs w:val="21"/>
        </w:rPr>
        <w:t xml:space="preserve">Deemed-Approved transactions arising from late Mapper responses must be tracked and settled within T+1</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Auditors should verify the frequency of OIVT re-certification, Mapper reconciliation logs, and any open exceptions older than 24 hours. Look for evidence of root-cause analysis on Deemed-Approved spikes.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FT-02</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VRN Validation &amp; Blacklist Enforcement</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NETC FAQs</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npci.org.in/what-we-do/netc-fastag/faqs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Critical</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NETC Central Switch, Toll Plaza Acquirers, VAHAN (MoRTH Vehicle Database)</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Vehicle Registration Number (VRN) validation ensures that each FASTag is uniquely linked to a single registered vehicle and that the tag's status — active, inactive, hotlisted, or blacklisted — is accurately enforced at the point of toll collection. Blacklisting is triggered by scenarios such as insufficient balance, vehicle-class mismatch, regulatory non-compliance (e.g., pending challans), or fraud flags.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One-Vehicle-One-FASTag (OVOF) rule must be enforced; duplicate active FASTags for the same VRN must be automatically deactivated</w:t>
      </w:r>
    </w:p>
    <w:p>
      <w:pPr>
        <w:pStyle w:val="ListParagraph"/>
        <w:numPr>
          <w:ilvl w:val="0"/>
          <w:numId w:val="2"/>
        </w:numPr>
        <w:spacing w:after="40" w:before="40"/>
      </w:pPr>
      <w:r>
        <w:rPr>
          <w:rFonts w:ascii="Arial" w:cs="Arial" w:eastAsia="Arial" w:hAnsi="Arial"/>
          <w:color w:val="404040"/>
          <w:sz w:val="21"/>
          <w:szCs w:val="21"/>
        </w:rPr>
        <w:t xml:space="preserve">Blacklist sync between issuer bank and NETC Central System must occur in near-real-time (target: under 2 minutes)</w:t>
      </w:r>
    </w:p>
    <w:p>
      <w:pPr>
        <w:pStyle w:val="ListParagraph"/>
        <w:numPr>
          <w:ilvl w:val="0"/>
          <w:numId w:val="2"/>
        </w:numPr>
        <w:spacing w:after="40" w:before="40"/>
      </w:pPr>
      <w:r>
        <w:rPr>
          <w:rFonts w:ascii="Arial" w:cs="Arial" w:eastAsia="Arial" w:hAnsi="Arial"/>
          <w:color w:val="404040"/>
          <w:sz w:val="21"/>
          <w:szCs w:val="21"/>
        </w:rPr>
        <w:t xml:space="preserve">Tag class mismatch (declared vehicle class vs. toll plaza sensor reading) must trigger immediate blacklist and exception workflow</w:t>
      </w:r>
    </w:p>
    <w:p>
      <w:pPr>
        <w:pStyle w:val="ListParagraph"/>
        <w:numPr>
          <w:ilvl w:val="0"/>
          <w:numId w:val="2"/>
        </w:numPr>
        <w:spacing w:after="40" w:before="40"/>
      </w:pPr>
      <w:r>
        <w:rPr>
          <w:rFonts w:ascii="Arial" w:cs="Arial" w:eastAsia="Arial" w:hAnsi="Arial"/>
          <w:color w:val="404040"/>
          <w:sz w:val="21"/>
          <w:szCs w:val="21"/>
        </w:rPr>
        <w:t xml:space="preserve">VRN format must be validated against MoRTH vehicle registration standards at issuance</w:t>
      </w:r>
    </w:p>
    <w:p>
      <w:pPr>
        <w:pStyle w:val="ListParagraph"/>
        <w:numPr>
          <w:ilvl w:val="0"/>
          <w:numId w:val="2"/>
        </w:numPr>
        <w:spacing w:after="40" w:before="40"/>
      </w:pPr>
      <w:r>
        <w:rPr>
          <w:rFonts w:ascii="Arial" w:cs="Arial" w:eastAsia="Arial" w:hAnsi="Arial"/>
          <w:color w:val="404040"/>
          <w:sz w:val="21"/>
          <w:szCs w:val="21"/>
        </w:rPr>
        <w:t xml:space="preserve">Blacklisted vehicles must be stopped at toll plaza or charged double fee as per NHAI policy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Review blacklist sync latency reports. Test whether a vehicle blacklisted at 10:00 AM is correctly denied at 10:05 AM. Check OVOF enforcement logs and the process for resolving dual-tag disputes.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FT-03</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Mobile OTP &amp; Aadhaar-linked Identity</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UIDAI Authentication Ecosystem</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uidai.gov.in/en/ecosystem/authentication-ecosystem.html</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Critical</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(KYC/AML Team), UIDAI, RBI Supervision Department, Customer Onboarding Teams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This control governs the identity verification layer applied during FASTag onboarding, specifically the use of mobile OTP and Aadhaar-based eKYC for full-KYC customers. Under UIDAI's Authentication User Agency (AUA) framework, banks acting as FASTag issuers must perform Aadhaar OTP or biometric authentication to bind the tag to a verified identity before activation.</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Issuer banks must be registered AUAs or sub-AUAs under UIDAI and comply with the Aadhaar Authentication Regulations 2021</w:t>
      </w:r>
    </w:p>
    <w:p>
      <w:pPr>
        <w:pStyle w:val="ListParagraph"/>
        <w:numPr>
          <w:ilvl w:val="0"/>
          <w:numId w:val="2"/>
        </w:numPr>
        <w:spacing w:after="40" w:before="40"/>
      </w:pPr>
      <w:r>
        <w:rPr>
          <w:rFonts w:ascii="Arial" w:cs="Arial" w:eastAsia="Arial" w:hAnsi="Arial"/>
          <w:color w:val="404040"/>
          <w:sz w:val="21"/>
          <w:szCs w:val="21"/>
        </w:rPr>
        <w:t xml:space="preserve">OTP-based eKYC accounts are subject to limited-KYC restrictions (wallet cap: ₹10,000 outstanding balance)</w:t>
      </w:r>
    </w:p>
    <w:p>
      <w:pPr>
        <w:pStyle w:val="ListParagraph"/>
        <w:numPr>
          <w:ilvl w:val="0"/>
          <w:numId w:val="2"/>
        </w:numPr>
        <w:spacing w:after="40" w:before="40"/>
      </w:pPr>
      <w:r>
        <w:rPr>
          <w:rFonts w:ascii="Arial" w:cs="Arial" w:eastAsia="Arial" w:hAnsi="Arial"/>
          <w:color w:val="404040"/>
          <w:sz w:val="21"/>
          <w:szCs w:val="21"/>
        </w:rPr>
        <w:t xml:space="preserve">Biometric/face authentication must be offered as a fallback for OTP failures</w:t>
      </w:r>
    </w:p>
    <w:p>
      <w:pPr>
        <w:pStyle w:val="ListParagraph"/>
        <w:numPr>
          <w:ilvl w:val="0"/>
          <w:numId w:val="2"/>
        </w:numPr>
        <w:spacing w:after="40" w:before="40"/>
      </w:pPr>
      <w:r>
        <w:rPr>
          <w:rFonts w:ascii="Arial" w:cs="Arial" w:eastAsia="Arial" w:hAnsi="Arial"/>
          <w:color w:val="404040"/>
          <w:sz w:val="21"/>
          <w:szCs w:val="21"/>
        </w:rPr>
        <w:t xml:space="preserve">Authentication logs (excluding biometric data) must be retained per UIDAI audit requirements</w:t>
      </w:r>
    </w:p>
    <w:p>
      <w:pPr>
        <w:pStyle w:val="ListParagraph"/>
        <w:numPr>
          <w:ilvl w:val="0"/>
          <w:numId w:val="2"/>
        </w:numPr>
        <w:spacing w:after="40" w:before="40"/>
      </w:pPr>
      <w:r>
        <w:rPr>
          <w:rFonts w:ascii="Arial" w:cs="Arial" w:eastAsia="Arial" w:hAnsi="Arial"/>
          <w:color w:val="404040"/>
          <w:sz w:val="21"/>
          <w:szCs w:val="21"/>
        </w:rPr>
        <w:t xml:space="preserve">Mobile number used for OTP must be the Aadhaar-registered number; mismatches must be flagged for manual review</w:t>
      </w:r>
    </w:p>
    <w:p>
      <w:pPr>
        <w:pStyle w:val="ListParagraph"/>
        <w:numPr>
          <w:ilvl w:val="0"/>
          <w:numId w:val="2"/>
        </w:numPr>
        <w:spacing w:after="40" w:before="40"/>
      </w:pPr>
      <w:r>
        <w:rPr>
          <w:rFonts w:ascii="Arial" w:cs="Arial" w:eastAsia="Arial" w:hAnsi="Arial"/>
          <w:color w:val="404040"/>
          <w:sz w:val="21"/>
          <w:szCs w:val="21"/>
        </w:rPr>
        <w:t xml:space="preserve">Re-authentication must be triggered on SIM-swap events within 90 days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Confirm issuer's AUA registration status with UIDAI. Verify that OTP-linked accounts are correctly capped at ₹10,000. Review failed authentication rates and whether biometric fallbacks are operational.</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FT-04</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CKYCR / PAN / Address Verification</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RBI Master Direction on KYC 2016 (Updated June 2025)</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rbi.org.in/Scripts/BS_ViewMasDirections.aspx?id=11566</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(Compliance / KYC), CERSAI, Income Tax Department, FIU-India, RBI Inspection Teams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The CKYCR (Central KYC Records Registry), PAN verification, and address validation controls form the regulatory compliance backbone for FASTag issuance. Managed by CERSAI under the Ministry of Finance, CKYCR allows a once-for-all KYC submission that can be reused across financial institutions. FASTag issuers are required to upload or fetch CKYC records and verify PAN through the Income Tax Department's PAN verification API.</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All full-KYC FASTag customers must have their KYC records uploaded to or fetched from CKYCR within 10 days of account opening</w:t>
      </w:r>
    </w:p>
    <w:p>
      <w:pPr>
        <w:pStyle w:val="ListParagraph"/>
        <w:numPr>
          <w:ilvl w:val="0"/>
          <w:numId w:val="2"/>
        </w:numPr>
        <w:spacing w:after="40" w:before="40"/>
      </w:pPr>
      <w:r>
        <w:rPr>
          <w:rFonts w:ascii="Arial" w:cs="Arial" w:eastAsia="Arial" w:hAnsi="Arial"/>
          <w:color w:val="404040"/>
          <w:sz w:val="21"/>
          <w:szCs w:val="21"/>
        </w:rPr>
        <w:t xml:space="preserve">PAN verification must be performed via the official IT Department API; manual PAN entry without API validation is non-compliant</w:t>
      </w:r>
    </w:p>
    <w:p>
      <w:pPr>
        <w:pStyle w:val="ListParagraph"/>
        <w:numPr>
          <w:ilvl w:val="0"/>
          <w:numId w:val="2"/>
        </w:numPr>
        <w:spacing w:after="40" w:before="40"/>
      </w:pPr>
      <w:r>
        <w:rPr>
          <w:rFonts w:ascii="Arial" w:cs="Arial" w:eastAsia="Arial" w:hAnsi="Arial"/>
          <w:color w:val="404040"/>
          <w:sz w:val="21"/>
          <w:szCs w:val="21"/>
        </w:rPr>
        <w:t xml:space="preserve">Address proof must match the address in CKYCR; significant deviations require re-verification</w:t>
      </w:r>
    </w:p>
    <w:p>
      <w:pPr>
        <w:pStyle w:val="ListParagraph"/>
        <w:numPr>
          <w:ilvl w:val="0"/>
          <w:numId w:val="2"/>
        </w:numPr>
        <w:spacing w:after="40" w:before="40"/>
      </w:pPr>
      <w:r>
        <w:rPr>
          <w:rFonts w:ascii="Arial" w:cs="Arial" w:eastAsia="Arial" w:hAnsi="Arial"/>
          <w:color w:val="404040"/>
          <w:sz w:val="21"/>
          <w:szCs w:val="21"/>
        </w:rPr>
        <w:t xml:space="preserve">Periodic KYC updation must be triggered per RBI tiered schedule (High-Risk: 2 years, Medium: 8 years, Low: 10 years)</w:t>
      </w:r>
    </w:p>
    <w:p>
      <w:pPr>
        <w:pStyle w:val="ListParagraph"/>
        <w:numPr>
          <w:ilvl w:val="0"/>
          <w:numId w:val="2"/>
        </w:numPr>
        <w:spacing w:after="40" w:before="40"/>
      </w:pPr>
      <w:r>
        <w:rPr>
          <w:rFonts w:ascii="Arial" w:cs="Arial" w:eastAsia="Arial" w:hAnsi="Arial"/>
          <w:color w:val="404040"/>
          <w:sz w:val="21"/>
          <w:szCs w:val="21"/>
        </w:rPr>
        <w:t xml:space="preserve">OTP-based eKYC accounts must be flagged in CKYCR upload; other REs must not open accounts from such records</w:t>
      </w:r>
    </w:p>
    <w:p>
      <w:pPr>
        <w:pStyle w:val="ListParagraph"/>
        <w:numPr>
          <w:ilvl w:val="0"/>
          <w:numId w:val="2"/>
        </w:numPr>
        <w:spacing w:after="40" w:before="40"/>
      </w:pPr>
      <w:r>
        <w:rPr>
          <w:rFonts w:ascii="Arial" w:cs="Arial" w:eastAsia="Arial" w:hAnsi="Arial"/>
          <w:color w:val="404040"/>
          <w:sz w:val="21"/>
          <w:szCs w:val="21"/>
        </w:rPr>
        <w:t xml:space="preserve">PMLA 2002 obligations apply: suspicious transaction reporting (STR) to FIU-India is mandatory</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Verify the percentage of full-KYC FASTags uploaded to CKYCR on time. Check PAN API integration logs. Sample test addresses from CKYCR records vs. customer files. Ensure periodic re-KYC workflows are automated.</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FT-05</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Vehicle Class &amp; Axle-Count Eligibility</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NHAI FASTag FAQ (Official)</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nhai.gov.in/nhai/sites/default/files/mix_file/FAQ-FASTag.pdf</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NHAI, IHMCL, MoRTH / VAHAN, Toll Plaza Operators, Transport Enforcement</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Vehicle classification is critical to toll fee accuracy. NHAI defines vehicle classes (VC 4 through VC 20) based on a combination of vehicle type, gross vehicle weight (GVW), number of axles, and commercial vs. personal use. The FASTag issued must correctly encode the vehicle class so that the toll plaza antenna charges the correct fee. Misclassification — intentional or inadvertent — constitutes revenue leakage and is a blacklist-triggering event.</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Vehicle class declared at the time of FASTag issuance must be validated against the MoRTH VAHAN database</w:t>
      </w:r>
    </w:p>
    <w:p>
      <w:pPr>
        <w:pStyle w:val="ListParagraph"/>
        <w:numPr>
          <w:ilvl w:val="0"/>
          <w:numId w:val="2"/>
        </w:numPr>
        <w:spacing w:after="40" w:before="40"/>
      </w:pPr>
      <w:r>
        <w:rPr>
          <w:rFonts w:ascii="Arial" w:cs="Arial" w:eastAsia="Arial" w:hAnsi="Arial"/>
          <w:color w:val="404040"/>
          <w:sz w:val="21"/>
          <w:szCs w:val="21"/>
        </w:rPr>
        <w:t xml:space="preserve">Axle count must be captured from the vehicle RC (Registration Certificate) and stored in the tag's metadata</w:t>
      </w:r>
    </w:p>
    <w:p>
      <w:pPr>
        <w:pStyle w:val="ListParagraph"/>
        <w:numPr>
          <w:ilvl w:val="0"/>
          <w:numId w:val="2"/>
        </w:numPr>
        <w:spacing w:after="40" w:before="40"/>
      </w:pPr>
      <w:r>
        <w:rPr>
          <w:rFonts w:ascii="Arial" w:cs="Arial" w:eastAsia="Arial" w:hAnsi="Arial"/>
          <w:color w:val="404040"/>
          <w:sz w:val="21"/>
          <w:szCs w:val="21"/>
        </w:rPr>
        <w:t xml:space="preserve">Toll plaza sensors detecting a vehicle class higher than the registered FASTag class must trigger a penalty (double toll) and blacklist action</w:t>
      </w:r>
    </w:p>
    <w:p>
      <w:pPr>
        <w:pStyle w:val="ListParagraph"/>
        <w:numPr>
          <w:ilvl w:val="0"/>
          <w:numId w:val="2"/>
        </w:numPr>
        <w:spacing w:after="40" w:before="40"/>
      </w:pPr>
      <w:r>
        <w:rPr>
          <w:rFonts w:ascii="Arial" w:cs="Arial" w:eastAsia="Arial" w:hAnsi="Arial"/>
          <w:color w:val="404040"/>
          <w:sz w:val="21"/>
          <w:szCs w:val="21"/>
        </w:rPr>
        <w:t xml:space="preserve">Overloaded vehicles detected by Weigh-in-Motion (WIM) sensors must be flagged; FASTag deduction is not a substitute for overload penalty</w:t>
      </w:r>
    </w:p>
    <w:p>
      <w:pPr>
        <w:pStyle w:val="ListParagraph"/>
        <w:numPr>
          <w:ilvl w:val="0"/>
          <w:numId w:val="2"/>
        </w:numPr>
        <w:spacing w:after="40" w:before="40"/>
      </w:pPr>
      <w:r>
        <w:rPr>
          <w:rFonts w:ascii="Arial" w:cs="Arial" w:eastAsia="Arial" w:hAnsi="Arial"/>
          <w:color w:val="404040"/>
          <w:sz w:val="21"/>
          <w:szCs w:val="21"/>
        </w:rPr>
        <w:t xml:space="preserve">Exempted vehicles (ambulances, military, etc.) must follow the Standard Operating Procedure issued by NHAI for FASTag issuance without fee</w:t>
      </w:r>
    </w:p>
    <w:p>
      <w:pPr>
        <w:pStyle w:val="ListParagraph"/>
        <w:numPr>
          <w:ilvl w:val="0"/>
          <w:numId w:val="2"/>
        </w:numPr>
        <w:spacing w:after="40" w:before="40"/>
      </w:pPr>
      <w:r>
        <w:rPr>
          <w:rFonts w:ascii="Arial" w:cs="Arial" w:eastAsia="Arial" w:hAnsi="Arial"/>
          <w:color w:val="404040"/>
          <w:sz w:val="21"/>
          <w:szCs w:val="21"/>
        </w:rPr>
        <w:t xml:space="preserve">Annual Pass (₹3,000 / 200 trips) is only available for Class 4 private vehicles with valid FASTag</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Sample-test a set of FASTags against VAHAN to check vehicle class accuracy. Review penalty transaction records for class-mismatch events. Verify integration with VAHAN API at the point of issuance.</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FT-06</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Wallet Minimum Balance &amp; Load Reconciliation</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RBI Master Direction on Prepaid Payment Instruments, 2021</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rbi.org.in/Scripts/BS_ViewMasDirections.aspx?id=12156</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(Treasury, Operations), RBI DPSS, Nodal Officer (PPI Compliance), Customers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FASTag wallets are classified as semi-closed PPIs under the RBI PPI Master Directions. This control governs the minimum balance threshold enforcement (to prevent blacklisting), maximum wallet load limits by KYC tier, recharge (top-up) reconciliation, and daily/monthly transaction limits. The issuer bank must maintain real-time escrow-equivalent funds to honour all pending toll debits.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Minimum balance: Issuer must define and publish a minimum balance threshold; if the balance falls below this threshold, the FASTag is automatically blacklisted until recharged</w:t>
      </w:r>
    </w:p>
    <w:p>
      <w:pPr>
        <w:pStyle w:val="ListParagraph"/>
        <w:numPr>
          <w:ilvl w:val="0"/>
          <w:numId w:val="2"/>
        </w:numPr>
        <w:spacing w:after="40" w:before="40"/>
      </w:pPr>
      <w:r>
        <w:rPr>
          <w:rFonts w:ascii="Arial" w:cs="Arial" w:eastAsia="Arial" w:hAnsi="Arial"/>
          <w:color w:val="404040"/>
          <w:sz w:val="21"/>
          <w:szCs w:val="21"/>
        </w:rPr>
        <w:t xml:space="preserve">Full-KYC wallet: Outstanding balance up to ₹2 lakh; monthly credit limit ₹2 lakh (post May 2023 revision)</w:t>
      </w:r>
    </w:p>
    <w:p>
      <w:pPr>
        <w:pStyle w:val="ListParagraph"/>
        <w:numPr>
          <w:ilvl w:val="0"/>
          <w:numId w:val="2"/>
        </w:numPr>
        <w:spacing w:after="40" w:before="40"/>
      </w:pPr>
      <w:r>
        <w:rPr>
          <w:rFonts w:ascii="Arial" w:cs="Arial" w:eastAsia="Arial" w:hAnsi="Arial"/>
          <w:color w:val="404040"/>
          <w:sz w:val="21"/>
          <w:szCs w:val="21"/>
        </w:rPr>
        <w:t xml:space="preserve">Minimum-KYC wallet: Outstanding balance capped at ₹10,000; monthly credit limit ₹10,000</w:t>
      </w:r>
    </w:p>
    <w:p>
      <w:pPr>
        <w:pStyle w:val="ListParagraph"/>
        <w:numPr>
          <w:ilvl w:val="0"/>
          <w:numId w:val="2"/>
        </w:numPr>
        <w:spacing w:after="40" w:before="40"/>
      </w:pPr>
      <w:r>
        <w:rPr>
          <w:rFonts w:ascii="Arial" w:cs="Arial" w:eastAsia="Arial" w:hAnsi="Arial"/>
          <w:color w:val="404040"/>
          <w:sz w:val="21"/>
          <w:szCs w:val="21"/>
        </w:rPr>
        <w:t xml:space="preserve">All recharge transactions (UPI, NEFT, debit card, net banking) must be reconciled with the issuer's CBS on T+0</w:t>
      </w:r>
    </w:p>
    <w:p>
      <w:pPr>
        <w:pStyle w:val="ListParagraph"/>
        <w:numPr>
          <w:ilvl w:val="0"/>
          <w:numId w:val="2"/>
        </w:numPr>
        <w:spacing w:after="40" w:before="40"/>
      </w:pPr>
      <w:r>
        <w:rPr>
          <w:rFonts w:ascii="Arial" w:cs="Arial" w:eastAsia="Arial" w:hAnsi="Arial"/>
          <w:color w:val="404040"/>
          <w:sz w:val="21"/>
          <w:szCs w:val="21"/>
        </w:rPr>
        <w:t xml:space="preserve">Float/escrow maintained by issuer must be invested only in instruments permitted by RBI</w:t>
      </w:r>
    </w:p>
    <w:p>
      <w:pPr>
        <w:pStyle w:val="ListParagraph"/>
        <w:numPr>
          <w:ilvl w:val="0"/>
          <w:numId w:val="2"/>
        </w:numPr>
        <w:spacing w:after="40" w:before="40"/>
      </w:pPr>
      <w:r>
        <w:rPr>
          <w:rFonts w:ascii="Arial" w:cs="Arial" w:eastAsia="Arial" w:hAnsi="Arial"/>
          <w:color w:val="404040"/>
          <w:sz w:val="21"/>
          <w:szCs w:val="21"/>
        </w:rPr>
        <w:t xml:space="preserve">Dormancy rules: FASTag wallet inactive for 12 months must trigger customer outreach; after 24 months, the PPI issuer must follow RBI dormancy guidelines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Review the minimum balance threshold and whether it is consistently applied in the blacklist engine. Check for any cases where FASTags transacted below minimum balance (Deemed Approved incidents). Verify float investment compliance.</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FT-07</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Payment Channel Controls (UPI / NEFT / RTGS / Net Banking)</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RBI Master Directions on Payment Systems</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rbi.org.in/Scripts/BS_ViewMasterDirections.aspx?did=336</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Medium</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(Payment Ops), RBI DPSS, NPCI (UPI), Payment Aggregators, Customers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This control covers the permissible channels through which customers may load/recharge their FASTag wallets, including UPI, NEFT, RTGS, debit card, and internet banking. Since FASTag issuers are PPI licensees, they are subject to RBI's broader Payment System Directions on access to Centralised Payment Systems (CPS). Non-bank PPI issuers were granted direct CPS access in July 2021, changing the settlement architecture.</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All payment channels used for FASTag recharge must be authorised under the issuer's RBI PPI licence</w:t>
      </w:r>
    </w:p>
    <w:p>
      <w:pPr>
        <w:pStyle w:val="ListParagraph"/>
        <w:numPr>
          <w:ilvl w:val="0"/>
          <w:numId w:val="2"/>
        </w:numPr>
        <w:spacing w:after="40" w:before="40"/>
      </w:pPr>
      <w:r>
        <w:rPr>
          <w:rFonts w:ascii="Arial" w:cs="Arial" w:eastAsia="Arial" w:hAnsi="Arial"/>
          <w:color w:val="404040"/>
          <w:sz w:val="21"/>
          <w:szCs w:val="21"/>
        </w:rPr>
        <w:t xml:space="preserve">UPI-based recharge must comply with NPCI UPI Operational Circular limits and VPA resolution standards</w:t>
      </w:r>
    </w:p>
    <w:p>
      <w:pPr>
        <w:pStyle w:val="ListParagraph"/>
        <w:numPr>
          <w:ilvl w:val="0"/>
          <w:numId w:val="2"/>
        </w:numPr>
        <w:spacing w:after="40" w:before="40"/>
      </w:pPr>
      <w:r>
        <w:rPr>
          <w:rFonts w:ascii="Arial" w:cs="Arial" w:eastAsia="Arial" w:hAnsi="Arial"/>
          <w:color w:val="404040"/>
          <w:sz w:val="21"/>
          <w:szCs w:val="21"/>
        </w:rPr>
        <w:t xml:space="preserve">Non-bank FASTag issuers with direct CPS access must maintain a current account at RBI and comply with RTGS/NEFT membership obligations</w:t>
      </w:r>
    </w:p>
    <w:p>
      <w:pPr>
        <w:pStyle w:val="ListParagraph"/>
        <w:numPr>
          <w:ilvl w:val="0"/>
          <w:numId w:val="2"/>
        </w:numPr>
        <w:spacing w:after="40" w:before="40"/>
      </w:pPr>
      <w:r>
        <w:rPr>
          <w:rFonts w:ascii="Arial" w:cs="Arial" w:eastAsia="Arial" w:hAnsi="Arial"/>
          <w:color w:val="404040"/>
          <w:sz w:val="21"/>
          <w:szCs w:val="21"/>
        </w:rPr>
        <w:t xml:space="preserve">Failed recharge transactions must be auto-reversed within T+0 (same day); failure to reverse within 5 working days attracts ₹100/day penalty per RBI CMS norms</w:t>
      </w:r>
    </w:p>
    <w:p>
      <w:pPr>
        <w:pStyle w:val="ListParagraph"/>
        <w:numPr>
          <w:ilvl w:val="0"/>
          <w:numId w:val="2"/>
        </w:numPr>
        <w:spacing w:after="40" w:before="40"/>
      </w:pPr>
      <w:r>
        <w:rPr>
          <w:rFonts w:ascii="Arial" w:cs="Arial" w:eastAsia="Arial" w:hAnsi="Arial"/>
          <w:color w:val="404040"/>
          <w:sz w:val="21"/>
          <w:szCs w:val="21"/>
        </w:rPr>
        <w:t xml:space="preserve">Channel downtime must be disclosed on the issuer's website/app; customer notifications are mandatory for planned outages exceeding 2 hours</w:t>
      </w:r>
    </w:p>
    <w:p>
      <w:pPr>
        <w:pStyle w:val="ListParagraph"/>
        <w:numPr>
          <w:ilvl w:val="0"/>
          <w:numId w:val="2"/>
        </w:numPr>
        <w:spacing w:after="40" w:before="40"/>
      </w:pPr>
      <w:r>
        <w:rPr>
          <w:rFonts w:ascii="Arial" w:cs="Arial" w:eastAsia="Arial" w:hAnsi="Arial"/>
          <w:color w:val="404040"/>
          <w:sz w:val="21"/>
          <w:szCs w:val="21"/>
        </w:rPr>
        <w:t xml:space="preserve">Cybersecurity controls for each payment channel must comply with RBI Cyber Security Framework for Banks / NBFCs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Test failed-transaction reversal TAT. Review channel-wise recharge volumes and any channel concentration risk. Check cybersecurity controls per RBI's IT Risk and Cyber Security guidelines applicable to PPIs.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FT-08</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Tag Issuance &amp; EPC Mapping</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NETC Approved Tag Supplier List</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npci.org.in/what-we-do/netc-fastag/approved-tag-supplier-list</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(Tag Operations), NPCI-Approved Tag Vendors, NETC Mapper Team, Internal Audit</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Each physical FASTag contains an EPC (Electronic Product Code) encoded on a passive RFID chip conforming to ISO 18000-6C (EPC Gen 2) specifications. This control ensures that only tags supplied by NPCI-approved vendors are issued, that the EPC is correctly registered in the NETC Mapper against the vehicle's VRN and issuing bank, and that tag inventory is tracked throughout the supply chain to prevent counterfeit or unregistered tags.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Tags must be sourced exclusively from vendors on NPCI's current Approved Tag Supplier List (last updated September 2024)</w:t>
      </w:r>
    </w:p>
    <w:p>
      <w:pPr>
        <w:pStyle w:val="ListParagraph"/>
        <w:numPr>
          <w:ilvl w:val="0"/>
          <w:numId w:val="2"/>
        </w:numPr>
        <w:spacing w:after="40" w:before="40"/>
      </w:pPr>
      <w:r>
        <w:rPr>
          <w:rFonts w:ascii="Arial" w:cs="Arial" w:eastAsia="Arial" w:hAnsi="Arial"/>
          <w:color w:val="404040"/>
          <w:sz w:val="21"/>
          <w:szCs w:val="21"/>
        </w:rPr>
        <w:t xml:space="preserve">EPC must be pre-programmed by the vendor; field programming of EPCs is prohibited</w:t>
      </w:r>
    </w:p>
    <w:p>
      <w:pPr>
        <w:pStyle w:val="ListParagraph"/>
        <w:numPr>
          <w:ilvl w:val="0"/>
          <w:numId w:val="2"/>
        </w:numPr>
        <w:spacing w:after="40" w:before="40"/>
      </w:pPr>
      <w:r>
        <w:rPr>
          <w:rFonts w:ascii="Arial" w:cs="Arial" w:eastAsia="Arial" w:hAnsi="Arial"/>
          <w:color w:val="404040"/>
          <w:sz w:val="21"/>
          <w:szCs w:val="21"/>
        </w:rPr>
        <w:t xml:space="preserve">At issuance, the EPC-to-VRN mapping must be registered in the NETC Mapper within 30 minutes</w:t>
      </w:r>
    </w:p>
    <w:p>
      <w:pPr>
        <w:pStyle w:val="ListParagraph"/>
        <w:numPr>
          <w:ilvl w:val="0"/>
          <w:numId w:val="2"/>
        </w:numPr>
        <w:spacing w:after="40" w:before="40"/>
      </w:pPr>
      <w:r>
        <w:rPr>
          <w:rFonts w:ascii="Arial" w:cs="Arial" w:eastAsia="Arial" w:hAnsi="Arial"/>
          <w:color w:val="404040"/>
          <w:sz w:val="21"/>
          <w:szCs w:val="21"/>
        </w:rPr>
        <w:t xml:space="preserve">Tag inventory (ordered, received, issued, spoiled, returned) must be reconciled monthly with NPCI</w:t>
      </w:r>
    </w:p>
    <w:p>
      <w:pPr>
        <w:pStyle w:val="ListParagraph"/>
        <w:numPr>
          <w:ilvl w:val="0"/>
          <w:numId w:val="2"/>
        </w:numPr>
        <w:spacing w:after="40" w:before="40"/>
      </w:pPr>
      <w:r>
        <w:rPr>
          <w:rFonts w:ascii="Arial" w:cs="Arial" w:eastAsia="Arial" w:hAnsi="Arial"/>
          <w:color w:val="404040"/>
          <w:sz w:val="21"/>
          <w:szCs w:val="21"/>
        </w:rPr>
        <w:t xml:space="preserve">Lost or damaged tags must be immediately hotlisted in the NETC system and a replacement tag issued after re-verification of VRN</w:t>
      </w:r>
    </w:p>
    <w:p>
      <w:pPr>
        <w:pStyle w:val="ListParagraph"/>
        <w:numPr>
          <w:ilvl w:val="0"/>
          <w:numId w:val="2"/>
        </w:numPr>
        <w:spacing w:after="40" w:before="40"/>
      </w:pPr>
      <w:r>
        <w:rPr>
          <w:rFonts w:ascii="Arial" w:cs="Arial" w:eastAsia="Arial" w:hAnsi="Arial"/>
          <w:color w:val="404040"/>
          <w:sz w:val="21"/>
          <w:szCs w:val="21"/>
        </w:rPr>
        <w:t xml:space="preserve">Tag batch QA reports from approved vendors must be retained for 7 years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Verify the issuer's current vendor list against NPCI's September 2024 circular. Perform an inventory reconciliation spot-check. Review the EPC registration TAT logs and identify any gaps beyond the 30-minute threshold.</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FT-09</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Tag Fitment Proof &amp; RFID QA</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NETC Circulars</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npci.org.in/what-we-do/netc-fastag/circulars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Medium</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(Customer Ops), NPCI NETC Circulars Team, Toll Plaza Operators, Vehicle Owners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Physical fitment quality of the RFID tag on the vehicle windscreen directly impacts read rates at toll plazas. Incorrect placement (e.g., on a tinted area, behind metallic trim, or facing the wrong angle) leads to read failures, causing vehicles to be treated as non-FASTag or blacklisted. NPCI circulars prescribe placement standards and allow a fitment proof photo requirement for remote/online issuance channels.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FASTag must be affixed to the inside of the windscreen in the designated area (top centre, below the rear-view mirror mount) as per RFID placement guidelines</w:t>
      </w:r>
    </w:p>
    <w:p>
      <w:pPr>
        <w:pStyle w:val="ListParagraph"/>
        <w:numPr>
          <w:ilvl w:val="0"/>
          <w:numId w:val="2"/>
        </w:numPr>
        <w:spacing w:after="40" w:before="40"/>
      </w:pPr>
      <w:r>
        <w:rPr>
          <w:rFonts w:ascii="Arial" w:cs="Arial" w:eastAsia="Arial" w:hAnsi="Arial"/>
          <w:color w:val="404040"/>
          <w:sz w:val="21"/>
          <w:szCs w:val="21"/>
        </w:rPr>
        <w:t xml:space="preserve">For online/remote issuance, the customer must upload a fitment proof photograph showing the tag correctly placed; issuers must verify this before activating the tag</w:t>
      </w:r>
    </w:p>
    <w:p>
      <w:pPr>
        <w:pStyle w:val="ListParagraph"/>
        <w:numPr>
          <w:ilvl w:val="0"/>
          <w:numId w:val="2"/>
        </w:numPr>
        <w:spacing w:after="40" w:before="40"/>
      </w:pPr>
      <w:r>
        <w:rPr>
          <w:rFonts w:ascii="Arial" w:cs="Arial" w:eastAsia="Arial" w:hAnsi="Arial"/>
          <w:color w:val="404040"/>
          <w:sz w:val="21"/>
          <w:szCs w:val="21"/>
        </w:rPr>
        <w:t xml:space="preserve">RFID read-rate benchmarks: Tags must achieve a minimum 99.5% read rate in the issuer's pre-shipment QA batch testing</w:t>
      </w:r>
    </w:p>
    <w:p>
      <w:pPr>
        <w:pStyle w:val="ListParagraph"/>
        <w:numPr>
          <w:ilvl w:val="0"/>
          <w:numId w:val="2"/>
        </w:numPr>
        <w:spacing w:after="40" w:before="40"/>
      </w:pPr>
      <w:r>
        <w:rPr>
          <w:rFonts w:ascii="Arial" w:cs="Arial" w:eastAsia="Arial" w:hAnsi="Arial"/>
          <w:color w:val="404040"/>
          <w:sz w:val="21"/>
          <w:szCs w:val="21"/>
        </w:rPr>
        <w:t xml:space="preserve">Tinted or heat-resistant windscreens require the use of the external bracket fitment method; issuer must inform customers proactively</w:t>
      </w:r>
    </w:p>
    <w:p>
      <w:pPr>
        <w:pStyle w:val="ListParagraph"/>
        <w:numPr>
          <w:ilvl w:val="0"/>
          <w:numId w:val="2"/>
        </w:numPr>
        <w:spacing w:after="40" w:before="40"/>
      </w:pPr>
      <w:r>
        <w:rPr>
          <w:rFonts w:ascii="Arial" w:cs="Arial" w:eastAsia="Arial" w:hAnsi="Arial"/>
          <w:color w:val="404040"/>
          <w:sz w:val="21"/>
          <w:szCs w:val="21"/>
        </w:rPr>
        <w:t xml:space="preserve">Penalty for misplaced FASTag resulting in repeated read failures: tag must be recalled and replaced at issuer cost</w:t>
      </w:r>
    </w:p>
    <w:p>
      <w:pPr>
        <w:pStyle w:val="ListParagraph"/>
        <w:numPr>
          <w:ilvl w:val="0"/>
          <w:numId w:val="2"/>
        </w:numPr>
        <w:spacing w:after="40" w:before="40"/>
      </w:pPr>
      <w:r>
        <w:rPr>
          <w:rFonts w:ascii="Arial" w:cs="Arial" w:eastAsia="Arial" w:hAnsi="Arial"/>
          <w:color w:val="404040"/>
          <w:sz w:val="21"/>
          <w:szCs w:val="21"/>
        </w:rPr>
        <w:t xml:space="preserve">Fitment audit data (placement photos, QA test results) must be retained for 3 years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Review read-failure incident logs from toll plazas correlated to specific issuer banks. Check whether online issuers have an active fitment photo verification step. Verify QA batch test certificates from the last 3 tag consignments.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FT-10</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NETC Activation &amp; Blacklist Sync</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Check FASTag Status</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npci.org.in/what-we-do/netc-fastag/check-your-netc-fastag-status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Critical</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NPCI NETC Operations, Issuer Banks (IT, Operations), Acquirer Banks, Toll Plaza Operators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The NETC activation lifecycle begins at tag issuance and spans through the entire customer relationship. Activation must be confirmed in both the issuer's host and the NETC Central Switch. Blacklist synchronization — between the issuer, NETC Switch, and all acquirer/toll plaza systems — is a mission-critical real-time operation. Delays in blacklist sync directly lead to financial loss (Deemed Approved transactions for blacklisted vehicles) or customer inconvenience (incorrectly blocking active vehicles).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Tag activation must be completed within 24 hours of issuance; same-day activation is required for Point-of-Sale issuance</w:t>
      </w:r>
    </w:p>
    <w:p>
      <w:pPr>
        <w:pStyle w:val="ListParagraph"/>
        <w:numPr>
          <w:ilvl w:val="0"/>
          <w:numId w:val="2"/>
        </w:numPr>
        <w:spacing w:after="40" w:before="40"/>
      </w:pPr>
      <w:r>
        <w:rPr>
          <w:rFonts w:ascii="Arial" w:cs="Arial" w:eastAsia="Arial" w:hAnsi="Arial"/>
          <w:color w:val="404040"/>
          <w:sz w:val="21"/>
          <w:szCs w:val="21"/>
        </w:rPr>
        <w:t xml:space="preserve">Activation status must be queryable via the NPCI NETC status check portal and BHIM/Bank apps in real time</w:t>
      </w:r>
    </w:p>
    <w:p>
      <w:pPr>
        <w:pStyle w:val="ListParagraph"/>
        <w:numPr>
          <w:ilvl w:val="0"/>
          <w:numId w:val="2"/>
        </w:numPr>
        <w:spacing w:after="40" w:before="40"/>
      </w:pPr>
      <w:r>
        <w:rPr>
          <w:rFonts w:ascii="Arial" w:cs="Arial" w:eastAsia="Arial" w:hAnsi="Arial"/>
          <w:color w:val="404040"/>
          <w:sz w:val="21"/>
          <w:szCs w:val="21"/>
        </w:rPr>
        <w:t xml:space="preserve">Blacklist instructions from the issuer must reach the NETC Switch within 2 minutes (SLA); Switch to Acquirer propagation within 5 minutes</w:t>
      </w:r>
    </w:p>
    <w:p>
      <w:pPr>
        <w:pStyle w:val="ListParagraph"/>
        <w:numPr>
          <w:ilvl w:val="0"/>
          <w:numId w:val="2"/>
        </w:numPr>
        <w:spacing w:after="40" w:before="40"/>
      </w:pPr>
      <w:r>
        <w:rPr>
          <w:rFonts w:ascii="Arial" w:cs="Arial" w:eastAsia="Arial" w:hAnsi="Arial"/>
          <w:color w:val="404040"/>
          <w:sz w:val="21"/>
          <w:szCs w:val="21"/>
        </w:rPr>
        <w:t xml:space="preserve">Whitelist (re-activation after recharge) must propagate within 2 minutes of the top-up confirmation</w:t>
      </w:r>
    </w:p>
    <w:p>
      <w:pPr>
        <w:pStyle w:val="ListParagraph"/>
        <w:numPr>
          <w:ilvl w:val="0"/>
          <w:numId w:val="2"/>
        </w:numPr>
        <w:spacing w:after="40" w:before="40"/>
      </w:pPr>
      <w:r>
        <w:rPr>
          <w:rFonts w:ascii="Arial" w:cs="Arial" w:eastAsia="Arial" w:hAnsi="Arial"/>
          <w:color w:val="404040"/>
          <w:sz w:val="21"/>
          <w:szCs w:val="21"/>
        </w:rPr>
        <w:t xml:space="preserve">Daily reconciliation reports (active, blacklisted, dormant) must be generated and reviewed by the Nodal Officer</w:t>
      </w:r>
    </w:p>
    <w:p>
      <w:pPr>
        <w:pStyle w:val="ListParagraph"/>
        <w:numPr>
          <w:ilvl w:val="0"/>
          <w:numId w:val="2"/>
        </w:numPr>
        <w:spacing w:after="40" w:before="40"/>
      </w:pPr>
      <w:r>
        <w:rPr>
          <w:rFonts w:ascii="Arial" w:cs="Arial" w:eastAsia="Arial" w:hAnsi="Arial"/>
          <w:color w:val="404040"/>
          <w:sz w:val="21"/>
          <w:szCs w:val="21"/>
        </w:rPr>
        <w:t xml:space="preserve">Emergency bulk blacklisting (e.g., bank-wide system failure, fraud event) must have a tested manual override procedure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Measure the actual blacklist propagation time from issuer trigger to toll plaza. Review Deemed-Approved transaction reports for blacklisted vehicles — these represent direct financial leakage. Check emergency blacklisting drill records.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FT-11</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Toll Settlement &amp; Chargeback</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NPCI NETC Dispute Statistics</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npci.org.in/what-we-do/netc-fastag/netc-dispute-statistics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NPCI Settlement &amp; Disputes Team, Issuer Banks (Finance, Ops), Acquirer Banks, Toll Concessionaires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Settlement in the NETC ecosystem follows a multilateral net settlement model through NPCI's clearing house. Toll transactions aggregated during the day are settled between acquirer banks (toll plaza operators) and issuer banks (FASTag holders) via NPCI. The chargeback mechanism allows issuer banks to dispute transactions on behalf of customers — for example, double debits, tolls charged without passage, or wrong fee amounts — within defined timelines.</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Settlement cycle: Transactions must be submitted for clearing by 11:59 PM on the transaction date; settlement funds are released next business day (T+1)</w:t>
      </w:r>
    </w:p>
    <w:p>
      <w:pPr>
        <w:pStyle w:val="ListParagraph"/>
        <w:numPr>
          <w:ilvl w:val="0"/>
          <w:numId w:val="2"/>
        </w:numPr>
        <w:spacing w:after="40" w:before="40"/>
      </w:pPr>
      <w:r>
        <w:rPr>
          <w:rFonts w:ascii="Arial" w:cs="Arial" w:eastAsia="Arial" w:hAnsi="Arial"/>
          <w:color w:val="404040"/>
          <w:sz w:val="21"/>
          <w:szCs w:val="21"/>
        </w:rPr>
        <w:t xml:space="preserve">Issuer banks must maintain adequate settlement float/escrow to honour same-day obligations</w:t>
      </w:r>
    </w:p>
    <w:p>
      <w:pPr>
        <w:pStyle w:val="ListParagraph"/>
        <w:numPr>
          <w:ilvl w:val="0"/>
          <w:numId w:val="2"/>
        </w:numPr>
        <w:spacing w:after="40" w:before="40"/>
      </w:pPr>
      <w:r>
        <w:rPr>
          <w:rFonts w:ascii="Arial" w:cs="Arial" w:eastAsia="Arial" w:hAnsi="Arial"/>
          <w:color w:val="404040"/>
          <w:sz w:val="21"/>
          <w:szCs w:val="21"/>
        </w:rPr>
        <w:t xml:space="preserve">Chargeback initiation window: 30 days from transaction date (issuer-initiated), 45 days for fraud-related disputes</w:t>
      </w:r>
    </w:p>
    <w:p>
      <w:pPr>
        <w:pStyle w:val="ListParagraph"/>
        <w:numPr>
          <w:ilvl w:val="0"/>
          <w:numId w:val="2"/>
        </w:numPr>
        <w:spacing w:after="40" w:before="40"/>
      </w:pPr>
      <w:r>
        <w:rPr>
          <w:rFonts w:ascii="Arial" w:cs="Arial" w:eastAsia="Arial" w:hAnsi="Arial"/>
          <w:color w:val="404040"/>
          <w:sz w:val="21"/>
          <w:szCs w:val="21"/>
        </w:rPr>
        <w:t xml:space="preserve">NPCI NETC Dispute Statistics report (published monthly) must be reviewed by the bank's Nodal Officer; net chargeback ratio must remain below NPCI's prescribed ceiling</w:t>
      </w:r>
    </w:p>
    <w:p>
      <w:pPr>
        <w:pStyle w:val="ListParagraph"/>
        <w:numPr>
          <w:ilvl w:val="0"/>
          <w:numId w:val="2"/>
        </w:numPr>
        <w:spacing w:after="40" w:before="40"/>
      </w:pPr>
      <w:r>
        <w:rPr>
          <w:rFonts w:ascii="Arial" w:cs="Arial" w:eastAsia="Arial" w:hAnsi="Arial"/>
          <w:color w:val="404040"/>
          <w:sz w:val="21"/>
          <w:szCs w:val="21"/>
        </w:rPr>
        <w:t xml:space="preserve">Re-presentment window for acquirer: 10 days after chargeback receipt</w:t>
      </w:r>
    </w:p>
    <w:p>
      <w:pPr>
        <w:pStyle w:val="ListParagraph"/>
        <w:numPr>
          <w:ilvl w:val="0"/>
          <w:numId w:val="2"/>
        </w:numPr>
        <w:spacing w:after="40" w:before="40"/>
      </w:pPr>
      <w:r>
        <w:rPr>
          <w:rFonts w:ascii="Arial" w:cs="Arial" w:eastAsia="Arial" w:hAnsi="Arial"/>
          <w:color w:val="404040"/>
          <w:sz w:val="21"/>
          <w:szCs w:val="21"/>
        </w:rPr>
        <w:t xml:space="preserve">Arbitration by NPCI is final for unresolved pre-arbitration cases; banks must comply within 3 business days of NPCI award</w:t>
      </w:r>
    </w:p>
    <w:p>
      <w:pPr>
        <w:pStyle w:val="ListParagraph"/>
        <w:numPr>
          <w:ilvl w:val="0"/>
          <w:numId w:val="2"/>
        </w:numPr>
        <w:spacing w:after="40" w:before="40"/>
      </w:pPr>
      <w:r>
        <w:rPr>
          <w:rFonts w:ascii="Arial" w:cs="Arial" w:eastAsia="Arial" w:hAnsi="Arial"/>
          <w:color w:val="404040"/>
          <w:sz w:val="21"/>
          <w:szCs w:val="21"/>
        </w:rPr>
        <w:t xml:space="preserve">Penalty for exceeding net chargeback ratio threshold: Progressive fee structure per NPCI circular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Review the issuer's monthly NETC chargeback ratio against NPCI's ceiling. Verify settlement float adequacy. Check whether all chargebacks were filed within the 30-day window and track re-presentment outcomes.</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D6E8A" w:sz="6"/>
              <w:left w:val="single" w:color="0D6E8A" w:sz="6"/>
              <w:bottom w:val="single" w:color="0D6E8A" w:sz="6"/>
              <w:right w:val="single" w:color="0D6E8A" w:sz="6"/>
            </w:tcBorders>
            <w:shd w:fill="1B3A6B"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FT-12</w:t>
            </w:r>
          </w:p>
        </w:tc>
        <w:tc>
          <w:tcPr>
            <w:tcW w:type="dxa" w:w="8160"/>
            <w:tcBorders>
              <w:top w:val="single" w:color="0D6E8A" w:sz="6"/>
              <w:left w:val="single" w:color="0D6E8A" w:sz="6"/>
              <w:bottom w:val="single" w:color="0D6E8A" w:sz="6"/>
              <w:right w:val="single" w:color="0D6E8A" w:sz="6"/>
            </w:tcBorders>
            <w:shd w:fill="0D6E8A"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Customer Dispute &amp; Exception Handling</w:t>
            </w:r>
          </w:p>
        </w:tc>
      </w:tr>
      <w:tr>
        <w:tc>
          <w:tcPr>
            <w:tcW w:type="dxa" w:w="9360"/>
            <w:gridSpan w:val="2"/>
            <w:tcBorders>
              <w:top w:val="single" w:color="0D6E8A" w:sz="4"/>
              <w:left w:val="single" w:color="0D6E8A" w:sz="4"/>
              <w:bottom w:val="single" w:color="0D6E8A" w:sz="4"/>
              <w:right w:val="single" w:color="0D6E8A" w:sz="4"/>
            </w:tcBorders>
            <w:shd w:fill="D6E8F5" w:val="clear"/>
            <w:tcMar>
              <w:top w:type="dxa" w:w="80"/>
              <w:left w:type="dxa" w:w="160"/>
              <w:bottom w:type="dxa" w:w="80"/>
              <w:right w:type="dxa" w:w="160"/>
            </w:tcMar>
          </w:tcPr>
          <w:p>
            <w:pPr>
              <w:spacing w:after="20" w:before="20"/>
            </w:pPr>
            <w:r>
              <w:rPr>
                <w:rFonts w:ascii="Arial" w:cs="Arial" w:eastAsia="Arial" w:hAnsi="Arial"/>
                <w:b/>
                <w:bCs/>
                <w:color w:val="1B3A6B"/>
                <w:sz w:val="20"/>
                <w:szCs w:val="20"/>
              </w:rPr>
              <w:t xml:space="preserve">Regulatory Reference: </w:t>
            </w:r>
            <w:r>
              <w:rPr>
                <w:rFonts w:ascii="Arial" w:cs="Arial" w:eastAsia="Arial" w:hAnsi="Arial"/>
                <w:color w:val="404040"/>
                <w:sz w:val="20"/>
                <w:szCs w:val="20"/>
              </w:rPr>
              <w:t xml:space="preserve">RBI CMS / Integrated Ombudsman Scheme</w:t>
            </w:r>
            <w:r>
              <w:rPr>
                <w:rFonts w:ascii="Arial" w:cs="Arial" w:eastAsia="Arial" w:hAnsi="Arial"/>
                <w:color w:val="999999"/>
                <w:sz w:val="20"/>
                <w:szCs w:val="20"/>
              </w:rPr>
              <w:t xml:space="preserve">  |  </w:t>
            </w:r>
            <w:r>
              <w:rPr>
                <w:rFonts w:ascii="Arial" w:cs="Arial" w:eastAsia="Arial" w:hAnsi="Arial"/>
                <w:b/>
                <w:bCs/>
                <w:color w:val="1B3A6B"/>
                <w:sz w:val="20"/>
                <w:szCs w:val="20"/>
              </w:rPr>
              <w:t xml:space="preserve">URL: </w:t>
            </w:r>
            <w:r>
              <w:rPr>
                <w:rFonts w:ascii="Arial" w:cs="Arial" w:eastAsia="Arial" w:hAnsi="Arial"/>
                <w:color w:val="0D6E8A"/>
                <w:sz w:val="20"/>
                <w:szCs w:val="20"/>
              </w:rPr>
              <w:t xml:space="preserve">cms.rbi.org.in</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Risk Level</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High</w:t>
            </w:r>
          </w:p>
        </w:tc>
      </w:tr>
      <w:tr>
        <w:tc>
          <w:tcPr>
            <w:tcW w:type="dxa" w:w="2400"/>
            <w:tcBorders>
              <w:top w:val="single" w:color="CCCCCC" w:sz="3"/>
              <w:left w:val="single" w:color="CCCCCC" w:sz="3"/>
              <w:bottom w:val="single" w:color="CCCCCC" w:sz="3"/>
              <w:right w:val="single" w:color="CCCCCC" w:sz="3"/>
            </w:tcBorders>
            <w:shd w:fill="F2F2F2" w:val="clear"/>
            <w:tcMar>
              <w:top w:type="dxa" w:w="80"/>
              <w:left w:type="dxa" w:w="160"/>
              <w:bottom w:type="dxa" w:w="80"/>
              <w:right w:type="dxa" w:w="160"/>
            </w:tcMar>
          </w:tcPr>
          <w:p>
            <w:pPr>
              <w:spacing w:after="20" w:before="20"/>
            </w:pPr>
            <w:r>
              <w:rPr>
                <w:rFonts w:ascii="Arial" w:cs="Arial" w:eastAsia="Arial" w:hAnsi="Arial"/>
                <w:b/>
                <w:bCs/>
                <w:color w:val="1B3A6B"/>
                <w:sz w:val="21"/>
                <w:szCs w:val="21"/>
              </w:rPr>
              <w:t xml:space="preserve">Stakeholders</w:t>
            </w:r>
          </w:p>
        </w:tc>
        <w:tc>
          <w:tcPr>
            <w:tcW w:type="dxa" w:w="6960"/>
            <w:tcBorders>
              <w:top w:val="single" w:color="CCCCCC" w:sz="3"/>
              <w:left w:val="single" w:color="CCCCCC" w:sz="3"/>
              <w:bottom w:val="single" w:color="CCCCCC" w:sz="3"/>
              <w:right w:val="single" w:color="CCCCCC" w:sz="3"/>
            </w:tcBorders>
            <w:tcMar>
              <w:top w:type="dxa" w:w="80"/>
              <w:left w:type="dxa" w:w="160"/>
              <w:bottom w:type="dxa" w:w="80"/>
              <w:right w:type="dxa" w:w="160"/>
            </w:tcMar>
          </w:tcPr>
          <w:p>
            <w:pPr>
              <w:spacing w:after="20" w:before="20"/>
            </w:pPr>
            <w:r>
              <w:rPr>
                <w:rFonts w:ascii="Arial" w:cs="Arial" w:eastAsia="Arial" w:hAnsi="Arial"/>
                <w:color w:val="404040"/>
                <w:sz w:val="21"/>
                <w:szCs w:val="21"/>
              </w:rPr>
              <w:t xml:space="preserve">Issuer Banks (Customer Service, Compliance, Internal Ombudsman), RBI Office of Ombudsman, FASTag Customers</w:t>
            </w:r>
          </w:p>
        </w:tc>
      </w:tr>
    </w:tbl>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Overview</w:t>
      </w:r>
    </w:p>
    <w:p>
      <w:pPr>
        <w:spacing w:after="80" w:before="80"/>
      </w:pPr>
      <w:r>
        <w:rPr>
          <w:rFonts w:ascii="Arial" w:cs="Arial" w:eastAsia="Arial" w:hAnsi="Arial"/>
          <w:color w:val="404040"/>
          <w:sz w:val="22"/>
          <w:szCs w:val="22"/>
        </w:rPr>
        <w:t xml:space="preserve">Customer-facing disputes arising from FASTag — unauthorised debits, failed recharges not reversed, incorrect toll amounts, tag deactivation without notice — are governed by RBI's Integrated Ombudsman Scheme (RB-IOS 2021) and must be resolved through the issuer's Internal Grievance Redressal (IGR) mechanism before escalation to RBI CMS. The Internal Ombudsman (IO) of the issuer bank provides a second level of review before the RBI Ombudsman.</w:t>
      </w:r>
    </w:p>
    <w:p>
      <w:pPr>
        <w:spacing w:after="60" w:before="60"/>
      </w:pPr>
      <w:r>
        <w:rPr>
          <w:rFonts w:ascii="Arial" w:cs="Arial" w:eastAsia="Arial" w:hAnsi="Arial"/>
        </w:rPr>
        <w:t xml:space="preserve"/>
      </w:r>
    </w:p>
    <w:p>
      <w:pPr>
        <w:pStyle w:val="Heading3"/>
        <w:pBdr>
          <w:bottom w:val="single" w:color="D4EEF5" w:sz="4" w:space="1"/>
        </w:pBdr>
        <w:spacing w:after="80" w:before="200"/>
      </w:pPr>
      <w:r>
        <w:rPr>
          <w:rFonts w:ascii="Arial" w:cs="Arial" w:eastAsia="Arial" w:hAnsi="Arial"/>
          <w:b/>
          <w:bCs/>
          <w:color w:val="0D6E8A"/>
          <w:sz w:val="24"/>
          <w:szCs w:val="24"/>
        </w:rPr>
        <w:t xml:space="preserve">Key Control Requirements</w:t>
      </w:r>
    </w:p>
    <w:p>
      <w:pPr>
        <w:pStyle w:val="ListParagraph"/>
        <w:numPr>
          <w:ilvl w:val="0"/>
          <w:numId w:val="2"/>
        </w:numPr>
        <w:spacing w:after="40" w:before="40"/>
      </w:pPr>
      <w:r>
        <w:rPr>
          <w:rFonts w:ascii="Arial" w:cs="Arial" w:eastAsia="Arial" w:hAnsi="Arial"/>
          <w:color w:val="404040"/>
          <w:sz w:val="21"/>
          <w:szCs w:val="21"/>
        </w:rPr>
        <w:t xml:space="preserve">Issuer bank must have a dedicated, published FASTag grievance channel (email, IVR, app) with acknowledgement within 24 hours</w:t>
      </w:r>
    </w:p>
    <w:p>
      <w:pPr>
        <w:pStyle w:val="ListParagraph"/>
        <w:numPr>
          <w:ilvl w:val="0"/>
          <w:numId w:val="2"/>
        </w:numPr>
        <w:spacing w:after="40" w:before="40"/>
      </w:pPr>
      <w:r>
        <w:rPr>
          <w:rFonts w:ascii="Arial" w:cs="Arial" w:eastAsia="Arial" w:hAnsi="Arial"/>
          <w:color w:val="404040"/>
          <w:sz w:val="21"/>
          <w:szCs w:val="21"/>
        </w:rPr>
        <w:t xml:space="preserve">Level-1 resolution timeline: 10 working days for straightforward transaction disputes</w:t>
      </w:r>
    </w:p>
    <w:p>
      <w:pPr>
        <w:pStyle w:val="ListParagraph"/>
        <w:numPr>
          <w:ilvl w:val="0"/>
          <w:numId w:val="2"/>
        </w:numPr>
        <w:spacing w:after="40" w:before="40"/>
      </w:pPr>
      <w:r>
        <w:rPr>
          <w:rFonts w:ascii="Arial" w:cs="Arial" w:eastAsia="Arial" w:hAnsi="Arial"/>
          <w:color w:val="404040"/>
          <w:sz w:val="21"/>
          <w:szCs w:val="21"/>
        </w:rPr>
        <w:t xml:space="preserve">If unresolved after 30 days, or if the customer is dissatisfied with the response, the complaint escalates to the IO (Internal Ombudsman) and then to RBI CMS at cms.rbi.org.in</w:t>
      </w:r>
    </w:p>
    <w:p>
      <w:pPr>
        <w:pStyle w:val="ListParagraph"/>
        <w:numPr>
          <w:ilvl w:val="0"/>
          <w:numId w:val="2"/>
        </w:numPr>
        <w:spacing w:after="40" w:before="40"/>
      </w:pPr>
      <w:r>
        <w:rPr>
          <w:rFonts w:ascii="Arial" w:cs="Arial" w:eastAsia="Arial" w:hAnsi="Arial"/>
          <w:color w:val="404040"/>
          <w:sz w:val="21"/>
          <w:szCs w:val="21"/>
        </w:rPr>
        <w:t xml:space="preserve">Failed recharge reversals must be auto-processed; if manual intervention is needed, resolution must be within 5 business days (₹100/day penalty beyond that per RBI)</w:t>
      </w:r>
    </w:p>
    <w:p>
      <w:pPr>
        <w:pStyle w:val="ListParagraph"/>
        <w:numPr>
          <w:ilvl w:val="0"/>
          <w:numId w:val="2"/>
        </w:numPr>
        <w:spacing w:after="40" w:before="40"/>
      </w:pPr>
      <w:r>
        <w:rPr>
          <w:rFonts w:ascii="Arial" w:cs="Arial" w:eastAsia="Arial" w:hAnsi="Arial"/>
          <w:color w:val="404040"/>
          <w:sz w:val="21"/>
          <w:szCs w:val="21"/>
        </w:rPr>
        <w:t xml:space="preserve">All dispute data must be reported to NPCI in the monthly NETC Dispute Statistics format</w:t>
      </w:r>
    </w:p>
    <w:p>
      <w:pPr>
        <w:pStyle w:val="ListParagraph"/>
        <w:numPr>
          <w:ilvl w:val="0"/>
          <w:numId w:val="2"/>
        </w:numPr>
        <w:spacing w:after="40" w:before="40"/>
      </w:pPr>
      <w:r>
        <w:rPr>
          <w:rFonts w:ascii="Arial" w:cs="Arial" w:eastAsia="Arial" w:hAnsi="Arial"/>
          <w:color w:val="404040"/>
          <w:sz w:val="21"/>
          <w:szCs w:val="21"/>
        </w:rPr>
        <w:t xml:space="preserve">The bank's Internal Ombudsman must be appointed as per RBI IO Scheme Direction; contact details must be disclosed on the bank's website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Audit Focus: </w:t>
            </w:r>
            <w:r>
              <w:rPr>
                <w:rFonts w:ascii="Arial" w:cs="Arial" w:eastAsia="Arial" w:hAnsi="Arial"/>
                <w:color w:val="404040"/>
                <w:sz w:val="21"/>
                <w:szCs w:val="21"/>
              </w:rPr>
              <w:t xml:space="preserve">Review average resolution TAT for FASTag complaints. Check the number of disputes that escalated to RBI CMS and the outcome. Verify whether the Internal Ombudsman's details are published and whether IO escalation timelines are met.</w:t>
            </w:r>
          </w:p>
        </w:tc>
      </w:tr>
    </w:tbl>
    <w:p>
      <w:pPr>
        <w:spacing w:after="60" w:before="60"/>
      </w:pPr>
      <w:r>
        <w:rPr>
          <w:rFonts w:ascii="Arial" w:cs="Arial" w:eastAsia="Arial" w:hAnsi="Arial"/>
        </w:rPr>
        <w:t xml:space="preserve"/>
      </w:r>
    </w:p>
    <w:p>
      <w:pPr>
        <w:pBdr>
          <w:bottom w:val="single" w:color="0D6E8A" w:sz="8" w:space="1"/>
        </w:pBdr>
        <w:spacing w:after="80" w:before="80"/>
      </w:pPr>
      <w:r>
        <w:rPr>
          <w:rFonts w:ascii="Arial" w:cs="Arial" w:eastAsia="Arial" w:hAnsi="Arial"/>
        </w:rPr>
        <w:t xml:space="preserve"/>
      </w:r>
    </w:p>
    <w:p>
      <w:r>
        <w:br w:type="page"/>
      </w:r>
    </w:p>
    <w:p>
      <w:pPr>
        <w:pStyle w:val="Heading1"/>
        <w:shd w:fill="1B3A6B" w:val="clear"/>
        <w:spacing w:after="160" w:before="320"/>
        <w:ind w:left="240"/>
      </w:pPr>
      <w:r>
        <w:rPr>
          <w:rFonts w:ascii="Arial" w:cs="Arial" w:eastAsia="Arial" w:hAnsi="Arial"/>
          <w:b/>
          <w:bCs/>
          <w:color w:val="FFFFFF"/>
          <w:sz w:val="32"/>
          <w:szCs w:val="32"/>
        </w:rPr>
        <w:t xml:space="preserve">Conclusion &amp; Recommendations</w:t>
      </w:r>
    </w:p>
    <w:p>
      <w:pPr>
        <w:spacing w:after="60" w:before="60"/>
      </w:pPr>
      <w:r>
        <w:rPr>
          <w:rFonts w:ascii="Arial" w:cs="Arial" w:eastAsia="Arial" w:hAnsi="Arial"/>
        </w:rPr>
        <w:t xml:space="preserve"/>
      </w:r>
    </w:p>
    <w:p>
      <w:pPr>
        <w:spacing w:after="80" w:before="80"/>
      </w:pPr>
      <w:r>
        <w:rPr>
          <w:rFonts w:ascii="Arial" w:cs="Arial" w:eastAsia="Arial" w:hAnsi="Arial"/>
          <w:color w:val="404040"/>
          <w:sz w:val="22"/>
          <w:szCs w:val="22"/>
        </w:rPr>
        <w:t xml:space="preserve">The 12 FASTag controls analysed in this document collectively define a robust, multi-regulatory framework for India's national electronic toll collection system. Effective implementation of these controls is not merely a compliance obligation — it is foundational to the financial viability of the FASTag program, the trust of 50+ crore FASTag users, and India's broader financial inclusion goals.</w:t>
      </w:r>
    </w:p>
    <w:p>
      <w:pPr>
        <w:spacing w:after="60" w:before="60"/>
      </w:pPr>
      <w:r>
        <w:rPr>
          <w:rFonts w:ascii="Arial" w:cs="Arial" w:eastAsia="Arial" w:hAnsi="Arial"/>
        </w:rPr>
        <w:t xml:space="preserve"/>
      </w:r>
    </w:p>
    <w:p>
      <w:pPr>
        <w:pStyle w:val="Heading2"/>
        <w:pBdr>
          <w:bottom w:val="single" w:color="D4EEF5" w:sz="4" w:space="1"/>
        </w:pBdr>
        <w:spacing w:after="80" w:before="200"/>
      </w:pPr>
      <w:r>
        <w:rPr>
          <w:rFonts w:ascii="Arial" w:cs="Arial" w:eastAsia="Arial" w:hAnsi="Arial"/>
          <w:b/>
          <w:bCs/>
          <w:color w:val="0D6E8A"/>
          <w:sz w:val="26"/>
          <w:szCs w:val="26"/>
        </w:rPr>
        <w:t xml:space="preserve">Priority Recommendations</w:t>
      </w:r>
    </w:p>
    <w:p>
      <w:pPr>
        <w:pStyle w:val="ListParagraph"/>
        <w:numPr>
          <w:ilvl w:val="0"/>
          <w:numId w:val="2"/>
        </w:numPr>
        <w:spacing w:after="40" w:before="40"/>
      </w:pPr>
      <w:r>
        <w:rPr>
          <w:rFonts w:ascii="Arial" w:cs="Arial" w:eastAsia="Arial" w:hAnsi="Arial"/>
          <w:color w:val="404040"/>
          <w:sz w:val="21"/>
          <w:szCs w:val="21"/>
        </w:rPr>
        <w:t xml:space="preserve">Automate blacklist sync monitoring (FT-02, FT-10): Deploy real-time dashboards measuring propagation latency from issuer to NETC Switch to toll plaza. Target: under 2 minutes for 99.9% of blacklist events.</w:t>
      </w:r>
    </w:p>
    <w:p>
      <w:pPr>
        <w:pStyle w:val="ListParagraph"/>
        <w:numPr>
          <w:ilvl w:val="0"/>
          <w:numId w:val="2"/>
        </w:numPr>
        <w:spacing w:after="40" w:before="40"/>
      </w:pPr>
      <w:r>
        <w:rPr>
          <w:rFonts w:ascii="Arial" w:cs="Arial" w:eastAsia="Arial" w:hAnsi="Arial"/>
          <w:color w:val="404040"/>
          <w:sz w:val="21"/>
          <w:szCs w:val="21"/>
        </w:rPr>
        <w:t xml:space="preserve">Strengthen OIVT re-certification cadence (FT-01): Issuer banks should be required to complete OIVT re-certification annually or after any major system upgrade, not only at initial onboarding.</w:t>
      </w:r>
    </w:p>
    <w:p>
      <w:pPr>
        <w:pStyle w:val="ListParagraph"/>
        <w:numPr>
          <w:ilvl w:val="0"/>
          <w:numId w:val="2"/>
        </w:numPr>
        <w:spacing w:after="40" w:before="40"/>
      </w:pPr>
      <w:r>
        <w:rPr>
          <w:rFonts w:ascii="Arial" w:cs="Arial" w:eastAsia="Arial" w:hAnsi="Arial"/>
          <w:color w:val="404040"/>
          <w:sz w:val="21"/>
          <w:szCs w:val="21"/>
        </w:rPr>
        <w:t xml:space="preserve">Unify KYC data quality (FT-03, FT-04): Implement automated cross-checks between CKYCR records, VAHAN data, and Aadhaar-linked mobile numbers to detect identity-vehicle mismatches proactively.</w:t>
      </w:r>
    </w:p>
    <w:p>
      <w:pPr>
        <w:pStyle w:val="ListParagraph"/>
        <w:numPr>
          <w:ilvl w:val="0"/>
          <w:numId w:val="2"/>
        </w:numPr>
        <w:spacing w:after="40" w:before="40"/>
      </w:pPr>
      <w:r>
        <w:rPr>
          <w:rFonts w:ascii="Arial" w:cs="Arial" w:eastAsia="Arial" w:hAnsi="Arial"/>
          <w:color w:val="404040"/>
          <w:sz w:val="21"/>
          <w:szCs w:val="21"/>
        </w:rPr>
        <w:t xml:space="preserve">Proactive vehicle class validation (FT-05): Integrate VAHAN API at every FASTag issuance point to eliminate class mismatches at source rather than relying on post-hoc toll plaza detection.</w:t>
      </w:r>
    </w:p>
    <w:p>
      <w:pPr>
        <w:pStyle w:val="ListParagraph"/>
        <w:numPr>
          <w:ilvl w:val="0"/>
          <w:numId w:val="2"/>
        </w:numPr>
        <w:spacing w:after="40" w:before="40"/>
      </w:pPr>
      <w:r>
        <w:rPr>
          <w:rFonts w:ascii="Arial" w:cs="Arial" w:eastAsia="Arial" w:hAnsi="Arial"/>
          <w:color w:val="404040"/>
          <w:sz w:val="21"/>
          <w:szCs w:val="21"/>
        </w:rPr>
        <w:t xml:space="preserve">Tighten settlement float adequacy (FT-06, FT-11): Require issuers to maintain settlement float equivalent to 3 days' average toll debit volume, stress-tested quarterly.</w:t>
      </w:r>
    </w:p>
    <w:p>
      <w:pPr>
        <w:pStyle w:val="ListParagraph"/>
        <w:numPr>
          <w:ilvl w:val="0"/>
          <w:numId w:val="2"/>
        </w:numPr>
        <w:spacing w:after="40" w:before="40"/>
      </w:pPr>
      <w:r>
        <w:rPr>
          <w:rFonts w:ascii="Arial" w:cs="Arial" w:eastAsia="Arial" w:hAnsi="Arial"/>
          <w:color w:val="404040"/>
          <w:sz w:val="21"/>
          <w:szCs w:val="21"/>
        </w:rPr>
        <w:t xml:space="preserve">Digitise fitment compliance (FT-09): Mandate GPS-tagged fitment photos for all online issuance channels and implement AI-based image verification to reduce manual review overhead.</w:t>
      </w:r>
    </w:p>
    <w:p>
      <w:pPr>
        <w:pStyle w:val="ListParagraph"/>
        <w:numPr>
          <w:ilvl w:val="0"/>
          <w:numId w:val="2"/>
        </w:numPr>
        <w:spacing w:after="40" w:before="40"/>
      </w:pPr>
      <w:r>
        <w:rPr>
          <w:rFonts w:ascii="Arial" w:cs="Arial" w:eastAsia="Arial" w:hAnsi="Arial"/>
          <w:color w:val="404040"/>
          <w:sz w:val="21"/>
          <w:szCs w:val="21"/>
        </w:rPr>
        <w:t xml:space="preserve">Reduce dispute TAT through automation (FT-12): Deploy straight-through processing (STP) for high-confidence dispute categories (e.g., exact-duplicate debits within 5 minutes) to reduce human intervention and breach rates.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87722" w:val="clear"/>
            <w:tcMar>
              <w:top w:type="dxa" w:w="80"/>
              <w:left w:type="dxa" w:w="80"/>
              <w:bottom w:type="dxa" w:w="80"/>
              <w:right w:type="dxa" w:w="80"/>
            </w:tcMar>
          </w:tcPr>
          <w:p>
            <w:r>
              <w:rPr>
                <w:rFonts w:ascii="Arial" w:cs="Arial" w:eastAsia="Arial" w:hAnsi="Arial"/>
              </w:rPr>
              <w:t xml:space="preserve"/>
            </w:r>
          </w:p>
        </w:tc>
        <w:tc>
          <w:tcPr>
            <w:tcW w:type="dxa" w:w="9120"/>
            <w:tcBorders>
              <w:top w:val="single" w:color="CCCCCC" w:sz="4"/>
              <w:left w:val="none" w:color="FFFFFF" w:sz="0"/>
              <w:bottom w:val="single" w:color="CCCCCC" w:sz="4"/>
              <w:right w:val="single" w:color="CCCCCC" w:sz="4"/>
            </w:tcBorders>
            <w:shd w:fill="FEF3E2" w:val="clear"/>
            <w:tcMar>
              <w:top w:type="dxa" w:w="80"/>
              <w:left w:type="dxa" w:w="200"/>
              <w:bottom w:type="dxa" w:w="80"/>
              <w:right w:type="dxa" w:w="160"/>
            </w:tcMar>
          </w:tcPr>
          <w:p>
            <w:pPr>
              <w:spacing w:after="20" w:before="20"/>
            </w:pPr>
            <w:r>
              <w:rPr>
                <w:rFonts w:ascii="Arial" w:cs="Arial" w:eastAsia="Arial" w:hAnsi="Arial"/>
                <w:b/>
                <w:bCs/>
                <w:color w:val="E87722"/>
                <w:sz w:val="21"/>
                <w:szCs w:val="21"/>
              </w:rPr>
              <w:t xml:space="preserve">Strategic Outlook: </w:t>
            </w:r>
            <w:r>
              <w:rPr>
                <w:rFonts w:ascii="Arial" w:cs="Arial" w:eastAsia="Arial" w:hAnsi="Arial"/>
                <w:color w:val="404040"/>
                <w:sz w:val="21"/>
                <w:szCs w:val="21"/>
              </w:rPr>
              <w:t xml:space="preserve">As NETC expands to parking, fuel stations, and city toll rings under the FASTag-for-Parking and broader mobility initiatives, the control framework will need to evolve. Issuers and NPCI should conduct a formal gap assessment before each new use-case rollout to ensure controls FT-01 through FT-12 are extended appropriately to the new transaction types.</w:t>
            </w:r>
          </w:p>
        </w:tc>
      </w:tr>
    </w:tbl>
    <w:p>
      <w:pPr>
        <w:spacing w:after="120" w:before="120"/>
      </w:pPr>
      <w:r>
        <w:rPr>
          <w:rFonts w:ascii="Arial" w:cs="Arial" w:eastAsia="Arial" w:hAnsi="Arial"/>
        </w:rP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FASTag Controls Framework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D6E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6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2026-05-26T06:42:19.825Z</dcterms:created>
  <dcterms:modified xsi:type="dcterms:W3CDTF">2026-05-26T06:42:19.825Z</dcterms:modified>
</cp:coreProperties>
</file>

<file path=docProps/custom.xml><?xml version="1.0" encoding="utf-8"?>
<Properties xmlns="http://schemas.openxmlformats.org/officeDocument/2006/custom-properties" xmlns:vt="http://schemas.openxmlformats.org/officeDocument/2006/docPropsVTypes"/>
</file>