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 Risk Board View — Stage 0 Research Report (Engine tag: GM)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 Risk appetite framework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architecture of a UK deposit-taker's risk governance relies on an unbroken line of sight between the corporate strategy approved by the board and the granular operational controls executed by the business. Across UK banks and building societies, this architecture is codified within an overarching Enterprise Risk Management Framework (ERMF) or Risk Management Framework (RMF), inside which the Risk Appetite Framework (RAF) establishes the policies, processes, skills, and systems used to set, communicate, and monitor the Risk Appetite Statement (RAS)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Beneath the RAS sit tiered Key Risk Indicators (KRIs), Key Control Indicators (KCIs), and Risk and Control Self-Assessments (RCSAs)—often housed in a Risk and Control Matrix (RCM)—which evaluate inherent risk, control effectiveness, and residual risk against board-approved tolerances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95650"/>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5905500" cy="329565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A-GM-01: Cascade of RAF, RAS, and RMF into Level 1, 2, and 3 Metrics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UK risk architecture separates the overarching Risk Management Framework (RMF)—which defines the taxonomy of principal risks, governance committees, and the three lines model—from the Risk Appetite Framework (RAF), which is the specific mechanism for setting, cascading, and monitoring risk boundaries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Within the RAF, the Risk Appetite Statement (RAS) is the board-approved document articulating both qualitative statements of motivation for taking or avoiding risk and quantitative measures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quantitative measures cascade into three distinct tiers: Level 1 (Board) metrics represent aggregate enterprise limits owned by the board across principal risk categories (such as the Common Equity Tier 1 (CET1) ratio, Liquidity Coverage Ratio (LCR), or maximum credit loss tolerance)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Level 2 (Executive/Sub-risk) metrics disaggregate Level 1 limits into business lines, legal entities, or sub-risk taxonomies (such as buy-to-let loan-to-value (LTV) concentration or sanctions screening timeliness) overseen by the Executive Risk Committee (ERC)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and Level 3 (Operational/Business Unit) metrics comprise granular Key Risk Indicators (KRIs) and Key Control Indicators (KCIs) embedded within first-line Risk and Control Self-Assessments (RCSAs) and Risk and Control Matrices (RCMs)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panel, the Chief Risk Officer (CRO) emphasises that mathematical and logical aggregation from Level 3 to Level 1 is the hardest engineering problem in risk design, particularly for non-financial risks where metrics cannot simply be summed like credit exposures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Board Non-Executive Director (NED) insists that the board should never see raw Level 3 RCSA outputs unless a systemic control failure threatens a Level 1 boundary, whereas the First-Line Risk Owner notes that Level 3 indicators frequently fail in practice because second-line teams design theoretical KRIs that do not map to live operational workflow queues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Regulatory Adviser confirms that while the Financial Stability Board (FSB) </w:t>
      </w:r>
      <w:r w:rsidDel="00000000" w:rsidR="00000000" w:rsidRPr="00000000">
        <w:rPr>
          <w:rFonts w:ascii="Google Sans" w:cs="Google Sans" w:eastAsia="Google Sans" w:hAnsi="Google Sans"/>
          <w:i w:val="1"/>
          <w:iCs w:val="1"/>
          <w:color w:val="1f1f1f"/>
          <w:rtl w:val="0"/>
        </w:rPr>
        <w:t xml:space="preserve">Principles for an Effective Risk Appetite Framework</w:t>
      </w:r>
      <w:r w:rsidDel="00000000" w:rsidR="00000000" w:rsidRPr="00000000">
        <w:rPr>
          <w:rFonts w:ascii="Google Sans" w:cs="Google Sans" w:eastAsia="Google Sans" w:hAnsi="Google Sans"/>
          <w:color w:val="1f1f1f"/>
          <w:rtl w:val="0"/>
        </w:rPr>
        <w:t xml:space="preserve"> (18 November 2013) and the Prudential Regulation Authority (PRA) Rulebook (Internal Capital Adequacy Assessment (ICAA) 3.1 and General Organisational Requirements 2.1) mandate an articulated risk appetite and risk limits cascaded across business lines, the specific "Level 1/2/3" nomenclature is universal UK industry practice rather than a statutory rule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Financial Stability Board, </w:t>
      </w:r>
      <w:r w:rsidDel="00000000" w:rsidR="00000000" w:rsidRPr="00000000">
        <w:rPr>
          <w:rFonts w:ascii="Google Sans" w:cs="Google Sans" w:eastAsia="Google Sans" w:hAnsi="Google Sans"/>
          <w:i w:val="1"/>
          <w:iCs w:val="1"/>
          <w:color w:val="1f1f1f"/>
          <w:rtl w:val="0"/>
        </w:rPr>
        <w:t xml:space="preserve">Principles for an Effective Risk Appetite Framework</w:t>
      </w:r>
      <w:r w:rsidDel="00000000" w:rsidR="00000000" w:rsidRPr="00000000">
        <w:rPr>
          <w:rFonts w:ascii="Google Sans" w:cs="Google Sans" w:eastAsia="Google Sans" w:hAnsi="Google Sans"/>
          <w:color w:val="1f1f1f"/>
          <w:rtl w:val="0"/>
        </w:rPr>
        <w:t xml:space="preserve"> (18 November 2013), https://www.fsb.org/2013/11/r_131118/; Nationwide Building Society, </w:t>
      </w:r>
      <w:r w:rsidDel="00000000" w:rsidR="00000000" w:rsidRPr="00000000">
        <w:rPr>
          <w:rFonts w:ascii="Google Sans" w:cs="Google Sans" w:eastAsia="Google Sans" w:hAnsi="Google Sans"/>
          <w:i w:val="1"/>
          <w:iCs w:val="1"/>
          <w:color w:val="1f1f1f"/>
          <w:rtl w:val="0"/>
        </w:rPr>
        <w:t xml:space="preserve">Pillar 3 Disclosures 2025</w:t>
      </w:r>
      <w:r w:rsidDel="00000000" w:rsidR="00000000" w:rsidRPr="00000000">
        <w:rPr>
          <w:rFonts w:ascii="Google Sans" w:cs="Google Sans" w:eastAsia="Google Sans" w:hAnsi="Google Sans"/>
          <w:color w:val="1f1f1f"/>
          <w:rtl w:val="0"/>
        </w:rPr>
        <w:t xml:space="preserve"> (28 May 2025), https://www.nationwide.co.uk/-/assets/nationwidecouk/documents/about/how-we-are-run/results-and-accounts/2024-2025/nationwide-sub-group-pillar-3-disclosures-2025.pdf</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enforce a four-tier relational data model (Strategy </w:t>
      </w:r>
      <w:r w:rsidDel="00000000" w:rsidR="00000000" w:rsidRPr="00000000">
        <w:rPr>
          <w:rFonts w:ascii="Google Sans" w:cs="Google Sans" w:eastAsia="Google Sans" w:hAnsi="Google Sans"/>
          <w:color w:val="1f1f1f"/>
        </w:rPr>
        <w:drawing>
          <wp:inline distB="19050" distT="19050" distL="19050" distR="19050">
            <wp:extent cx="195977" cy="20351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77" cy="20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RAS Qualitative Statement </w:t>
      </w:r>
      <w:r w:rsidDel="00000000" w:rsidR="00000000" w:rsidRPr="00000000">
        <w:rPr>
          <w:rFonts w:ascii="Google Sans" w:cs="Google Sans" w:eastAsia="Google Sans" w:hAnsi="Google Sans"/>
          <w:color w:val="1f1f1f"/>
        </w:rPr>
        <w:drawing>
          <wp:inline distB="19050" distT="19050" distL="19050" distR="19050">
            <wp:extent cx="195977" cy="203514"/>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77" cy="20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L1/L2/L3 Quantitative Metrics </w:t>
      </w:r>
      <w:r w:rsidDel="00000000" w:rsidR="00000000" w:rsidRPr="00000000">
        <w:rPr>
          <w:rFonts w:ascii="Google Sans" w:cs="Google Sans" w:eastAsia="Google Sans" w:hAnsi="Google Sans"/>
          <w:color w:val="1f1f1f"/>
        </w:rPr>
        <w:drawing>
          <wp:inline distB="19050" distT="19050" distL="19050" distR="19050">
            <wp:extent cx="195977" cy="203514"/>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77" cy="20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RCSA Controls) with automated roll-up logic rather than flat control lists.</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A-GM-02: Calibration of Appetite — Zero-Tolerance vs Ranges and Wider Lower-Tier Amber Bands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Calibrating risk appetite requires distinguishing between risks that are actively taken for reward—calibrated as target ranges or upper/lower limits—and passive or compliance risks where the firm seeks no reward, often framed qualitatively as "no appetite" or "zero tolerance" (such as regulatory breaches, sanctions violations, or internal fraud)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UK regulators and mature CROs reject literal "zero-tolerance" numerical thresholds for operational and financial crime metrics because operational errors are statistically inevitable; a literal zero threshold keeps the board in a permanent state of red breach, destroying the signal value of escalation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Instead, mature UK firms pair a qualitative "zero appetite for deliberate regulatory breach" with pragmatic quantitative triggers (for example, zero overdue high-risk audit actions or a 99.5% SLA threshold)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Across the metric hierarchy, thresholds are calibrated using Red-Amber-Green (RAG) zones where "Amber" (the trigger or early warning indicator) is set inside the "Red" (the hard board limit)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Crucially, Level 2 and Level 3 metrics are calibrated with progressively wider amber bands (and tighter red thresholds relative to the board limit) than Level 1 metrics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buffer architecture ensures that a deteriorating trend in a business unit triggers a Level 3 or Level 2 amber remediation workflow weeks or months before the aggregate exposure can breach the board's Level 1 red limit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panel surfaces a sharp operational tension regarding threshold calibration. The First-Line Risk Owner observes that second-line teams frequently set Level 3 amber bands so wide and sensitive that the business operates in perpetual "amber fatigue", triggering bureaucratic remediation plans for normal seasonal volume spikes. Conversely, the CRO argues that without early-warning buffer zones at Level 2 and Level 3, high-velocity risks (such as digital deposit outflows or automated onboarding failures) will breach Board Level 1 limits before management can convene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Regulatory Adviser notes that under PRA Supervisory Statement SS31/15 (</w:t>
      </w:r>
      <w:r w:rsidDel="00000000" w:rsidR="00000000" w:rsidRPr="00000000">
        <w:rPr>
          <w:rFonts w:ascii="Google Sans" w:cs="Google Sans" w:eastAsia="Google Sans" w:hAnsi="Google Sans"/>
          <w:i w:val="1"/>
          <w:iCs w:val="1"/>
          <w:color w:val="1f1f1f"/>
          <w:rtl w:val="0"/>
        </w:rPr>
        <w:t xml:space="preserve">The Internal Capital Adequacy Assessment Process (ICAAP) and the Supervisory Review and Evaluation Process (SREP)</w:t>
      </w:r>
      <w:r w:rsidDel="00000000" w:rsidR="00000000" w:rsidRPr="00000000">
        <w:rPr>
          <w:rFonts w:ascii="Google Sans" w:cs="Google Sans" w:eastAsia="Google Sans" w:hAnsi="Google Sans"/>
          <w:color w:val="1f1f1f"/>
          <w:rtl w:val="0"/>
        </w:rPr>
        <w:t xml:space="preserve">) and SS24/15 (</w:t>
      </w:r>
      <w:r w:rsidDel="00000000" w:rsidR="00000000" w:rsidRPr="00000000">
        <w:rPr>
          <w:rFonts w:ascii="Google Sans" w:cs="Google Sans" w:eastAsia="Google Sans" w:hAnsi="Google Sans"/>
          <w:i w:val="1"/>
          <w:iCs w:val="1"/>
          <w:color w:val="1f1f1f"/>
          <w:rtl w:val="0"/>
        </w:rPr>
        <w:t xml:space="preserve">The PRA's approach to supervising liquidity and funding risks</w:t>
      </w:r>
      <w:r w:rsidDel="00000000" w:rsidR="00000000" w:rsidRPr="00000000">
        <w:rPr>
          <w:rFonts w:ascii="Google Sans" w:cs="Google Sans" w:eastAsia="Google Sans" w:hAnsi="Google Sans"/>
          <w:color w:val="1f1f1f"/>
          <w:rtl w:val="0"/>
        </w:rPr>
        <w:t xml:space="preserve">), the PRA explicitly expects firms to calibrate early warning indicators (EWIs) and recovery triggers well ahead of regulatory minima so management has time to act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Protecht UK, </w:t>
      </w:r>
      <w:r w:rsidDel="00000000" w:rsidR="00000000" w:rsidRPr="00000000">
        <w:rPr>
          <w:rFonts w:ascii="Google Sans" w:cs="Google Sans" w:eastAsia="Google Sans" w:hAnsi="Google Sans"/>
          <w:i w:val="1"/>
          <w:iCs w:val="1"/>
          <w:color w:val="1f1f1f"/>
          <w:rtl w:val="0"/>
        </w:rPr>
        <w:t xml:space="preserve">Risk Appetite in Action: Turning Boundaries into Better Decisions, Reporting and Governance</w:t>
      </w:r>
      <w:r w:rsidDel="00000000" w:rsidR="00000000" w:rsidRPr="00000000">
        <w:rPr>
          <w:rFonts w:ascii="Google Sans" w:cs="Google Sans" w:eastAsia="Google Sans" w:hAnsi="Google Sans"/>
          <w:color w:val="1f1f1f"/>
          <w:rtl w:val="0"/>
        </w:rPr>
        <w:t xml:space="preserve"> (26 February 2025), https://www.protechtgroup.com/en-gb/knowledge-hub; Nationwide Building Society, </w:t>
      </w:r>
      <w:r w:rsidDel="00000000" w:rsidR="00000000" w:rsidRPr="00000000">
        <w:rPr>
          <w:rFonts w:ascii="Google Sans" w:cs="Google Sans" w:eastAsia="Google Sans" w:hAnsi="Google Sans"/>
          <w:i w:val="1"/>
          <w:iCs w:val="1"/>
          <w:color w:val="1f1f1f"/>
          <w:rtl w:val="0"/>
        </w:rPr>
        <w:t xml:space="preserve">Pillar 3 Disclosures 2025</w:t>
      </w:r>
      <w:r w:rsidDel="00000000" w:rsidR="00000000" w:rsidRPr="00000000">
        <w:rPr>
          <w:rFonts w:ascii="Google Sans" w:cs="Google Sans" w:eastAsia="Google Sans" w:hAnsi="Google Sans"/>
          <w:color w:val="1f1f1f"/>
          <w:rtl w:val="0"/>
        </w:rPr>
        <w:t xml:space="preserve"> (28 May 2025)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[inference].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support nested threshold calibration where L2/L3 amber triggers are mathematically buffered inside L1 board limits, alongside velocity-of-change alerts that flag rapid movement toward a threshold even while the metric remains green.</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A-GM-03: Norms for Board-Level Appetite Metrics and Testing the "10–12 Metrics" Claim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the practitioner claim that a Board Risk Appetite Statement should hold no more than 10–12 metrics reveals a critical distinction between </w:t>
      </w:r>
      <w:r w:rsidDel="00000000" w:rsidR="00000000" w:rsidRPr="00000000">
        <w:rPr>
          <w:rFonts w:ascii="Google Sans" w:cs="Google Sans" w:eastAsia="Google Sans" w:hAnsi="Google Sans"/>
          <w:i w:val="1"/>
          <w:iCs w:val="1"/>
          <w:color w:val="1f1f1f"/>
          <w:rtl w:val="0"/>
        </w:rPr>
        <w:t xml:space="preserve">principal risk categories</w:t>
      </w:r>
      <w:r w:rsidDel="00000000" w:rsidR="00000000" w:rsidRPr="00000000">
        <w:rPr>
          <w:rFonts w:ascii="Google Sans" w:cs="Google Sans" w:eastAsia="Google Sans" w:hAnsi="Google Sans"/>
          <w:color w:val="1f1f1f"/>
          <w:rtl w:val="0"/>
        </w:rPr>
        <w:t xml:space="preserve"> (or headline strategic appetite statements) and </w:t>
      </w:r>
      <w:r w:rsidDel="00000000" w:rsidR="00000000" w:rsidRPr="00000000">
        <w:rPr>
          <w:rFonts w:ascii="Google Sans" w:cs="Google Sans" w:eastAsia="Google Sans" w:hAnsi="Google Sans"/>
          <w:i w:val="1"/>
          <w:iCs w:val="1"/>
          <w:color w:val="1f1f1f"/>
          <w:rtl w:val="0"/>
        </w:rPr>
        <w:t xml:space="preserve">Level 1 board-monitored quantitative metrics</w:t>
      </w:r>
      <w:r w:rsidDel="00000000" w:rsidR="00000000" w:rsidRPr="00000000">
        <w:rPr>
          <w:rFonts w:ascii="Google Sans" w:cs="Google Sans" w:eastAsia="Google Sans" w:hAnsi="Google Sans"/>
          <w:color w:val="1f1f1f"/>
          <w:rtl w:val="0"/>
        </w:rPr>
        <w:t xml:space="preserve">. In UK practice, boards of mid-tier banks and building societies typically define between 6 and 12 principal risk categories in their RMF (for example, Credit, Capital, Liquidity and Funding, Market/IRRBB, Operational, Operational Resilience, Conduct/Consumer Duty, Financial Crime, Strategic, and Climate/Model risk)</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because each principal risk requires between 2 and 5 quantitative Level 1 metrics to capture different dimensions of exposure (for instance, Capital requires CET1 ratio, Total Capital ratio, and UK Leverage ratio; Liquidity requires LCR, Net Stable Funding Ratio (NSFR), and wholesale funding limit)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complete suite of Level 1 board appetite metrics typically numbers between 25 and 45 metrics, with a subset of 10 to 15 "headline" or "key" risk indicators highlighted on the one-page executive summary cover of the Board Risk Pack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panel, the NED strongly endorses the spirit of the 10–12 rule for the </w:t>
      </w:r>
      <w:r w:rsidDel="00000000" w:rsidR="00000000" w:rsidRPr="00000000">
        <w:rPr>
          <w:rFonts w:ascii="Google Sans" w:cs="Google Sans" w:eastAsia="Google Sans" w:hAnsi="Google Sans"/>
          <w:i w:val="1"/>
          <w:iCs w:val="1"/>
          <w:color w:val="1f1f1f"/>
          <w:rtl w:val="0"/>
        </w:rPr>
        <w:t xml:space="preserve">board cover dashboard</w:t>
      </w:r>
      <w:r w:rsidDel="00000000" w:rsidR="00000000" w:rsidRPr="00000000">
        <w:rPr>
          <w:rFonts w:ascii="Google Sans" w:cs="Google Sans" w:eastAsia="Google Sans" w:hAnsi="Google Sans"/>
          <w:color w:val="1f1f1f"/>
          <w:rtl w:val="0"/>
        </w:rPr>
        <w:t xml:space="preserve">, noting that when a CRO presents 60 metrics at a board meeting, directors lose strategic focus and descend into micromanagement. The CRO counters that the board is legally required by the PRA and FCA to approve the full Level 1 limit suite across all principal risks annually, meaning the formal RAS schedule contains 30+ limits, even if routine board meetings focus on the 10–12 strategic headline metrics plus any lower-level exceptions in amber or red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RiskPublishing, </w:t>
      </w:r>
      <w:r w:rsidDel="00000000" w:rsidR="00000000" w:rsidRPr="00000000">
        <w:rPr>
          <w:rFonts w:ascii="Google Sans" w:cs="Google Sans" w:eastAsia="Google Sans" w:hAnsi="Google Sans"/>
          <w:i w:val="1"/>
          <w:iCs w:val="1"/>
          <w:color w:val="1f1f1f"/>
          <w:rtl w:val="0"/>
        </w:rPr>
        <w:t xml:space="preserve">Best Key Risk Indicators</w:t>
      </w:r>
      <w:r w:rsidDel="00000000" w:rsidR="00000000" w:rsidRPr="00000000">
        <w:rPr>
          <w:rFonts w:ascii="Google Sans" w:cs="Google Sans" w:eastAsia="Google Sans" w:hAnsi="Google Sans"/>
          <w:color w:val="1f1f1f"/>
          <w:rtl w:val="0"/>
        </w:rPr>
        <w:t xml:space="preserve"> (citing Deloitte board research) (2024), https://riskpublishing.com/best-key-risk-indicators/; Leeds Building Society, </w:t>
      </w:r>
      <w:r w:rsidDel="00000000" w:rsidR="00000000" w:rsidRPr="00000000">
        <w:rPr>
          <w:rFonts w:ascii="Google Sans" w:cs="Google Sans" w:eastAsia="Google Sans" w:hAnsi="Google Sans"/>
          <w:i w:val="1"/>
          <w:iCs w:val="1"/>
          <w:color w:val="1f1f1f"/>
          <w:rtl w:val="0"/>
        </w:rPr>
        <w:t xml:space="preserve">Annual Report and Accounts 2025</w:t>
      </w:r>
      <w:r w:rsidDel="00000000" w:rsidR="00000000" w:rsidRPr="00000000">
        <w:rPr>
          <w:rFonts w:ascii="Google Sans" w:cs="Google Sans" w:eastAsia="Google Sans" w:hAnsi="Google Sans"/>
          <w:color w:val="1f1f1f"/>
          <w:rtl w:val="0"/>
        </w:rPr>
        <w:t xml:space="preserve"> (06 March 2026), https://www.leedsbuildingsociety.co.uk/_resources/pdfs/press-pdfs/financial-results-pdfs/2025-annual-report-and-accounts.pdf</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[conflict]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user interface must separate the "Board Strategic Summary View" (capped at 10–12 headline composite indicators and active breaches) from the "Full Board RAS Schedule View" (housing the 30–50 underlying Level 1 limits across the 9 risk domains).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A-GM-04: Linking Strategic Objectives, Growth Appetite, and Credit Risk as a Growth Lever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effective RAF does not treat risk appetite purely as a compliance brake; per the FSB (2013) principles and Institute of Risk Management (IRM) guidance, it articulates the willingness to take risk in pursuit of strategic objectives, acting as both an accelerator ("evaluating opportunities for appropriate risk-taking") and a defence ("a defence against excessive risk-taking")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 UK deposit-takers, this linkage is operationalised during the annual corporate planning and ICAAP/ILAAP cycle: strategic growth targets (such as Skipton Building Society committing to allocate 50% of new lending to first-time buyers, Leeds Building Society launching "Income Plus" mortgages lending an average of £66,000 more at 95% LTV, or Nationwide offering six-times-income mortgages and acquiring Virgin Money) require explicit recalibration of credit and capital risk appetite limits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Conversely, when operational or macroeconomic headwinds arise, risk appetite acts as a strategic throttle: Nottingham Building Society deliberately moderated new mortgage lending from £1.2 billion in 2024 to £0.9 billion in 2025 to consolidate technology investments and embed its new MQube mortgage platform before scaling specialist lending in 2026</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panel highlights that using credit risk appetite as a growth lever is where mid-tier lenders create competitive advantage. The First-Line Risk Owner points out that by adjusting Level 2 sub-limits (such as debt-to-income multiples, automated valuation model (AVM) tolerances, or niche buy-to-let criteria), a lender like Shawbrook can cut time-to-formal-offer by 46% and boost digital conversion by 18% while keeping cost of risk stable at 47–51 bps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However, the Regulatory Adviser warns of the </w:t>
      </w:r>
      <w:r w:rsidDel="00000000" w:rsidR="00000000" w:rsidRPr="00000000">
        <w:rPr>
          <w:rFonts w:ascii="Google Sans" w:cs="Google Sans" w:eastAsia="Google Sans" w:hAnsi="Google Sans"/>
          <w:i w:val="1"/>
          <w:iCs w:val="1"/>
          <w:color w:val="1f1f1f"/>
          <w:rtl w:val="0"/>
        </w:rPr>
        <w:t xml:space="preserve">Peter Cummings / Bank of Scotland</w:t>
      </w:r>
      <w:r w:rsidDel="00000000" w:rsidR="00000000" w:rsidRPr="00000000">
        <w:rPr>
          <w:rFonts w:ascii="Google Sans" w:cs="Google Sans" w:eastAsia="Google Sans" w:hAnsi="Google Sans"/>
          <w:color w:val="1f1f1f"/>
          <w:rtl w:val="0"/>
        </w:rPr>
        <w:t xml:space="preserve"> (2012) and </w:t>
      </w:r>
      <w:r w:rsidDel="00000000" w:rsidR="00000000" w:rsidRPr="00000000">
        <w:rPr>
          <w:rFonts w:ascii="Google Sans" w:cs="Google Sans" w:eastAsia="Google Sans" w:hAnsi="Google Sans"/>
          <w:i w:val="1"/>
          <w:iCs w:val="1"/>
          <w:color w:val="1f1f1f"/>
          <w:rtl w:val="0"/>
        </w:rPr>
        <w:t xml:space="preserve">Starling Bank</w:t>
      </w:r>
      <w:r w:rsidDel="00000000" w:rsidR="00000000" w:rsidRPr="00000000">
        <w:rPr>
          <w:rFonts w:ascii="Google Sans" w:cs="Google Sans" w:eastAsia="Google Sans" w:hAnsi="Google Sans"/>
          <w:color w:val="1f1f1f"/>
          <w:rtl w:val="0"/>
        </w:rPr>
        <w:t xml:space="preserve"> (2024) precedents: if a board expands strategic growth appetite without verifying that operational and financial crime control capacity scales commensurately, senior managers face personal enforcement action under Principle 3 and the Senior Managers and Certification Regime (SMCR)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Stephenson Harwood, </w:t>
      </w:r>
      <w:r w:rsidDel="00000000" w:rsidR="00000000" w:rsidRPr="00000000">
        <w:rPr>
          <w:rFonts w:ascii="Google Sans" w:cs="Google Sans" w:eastAsia="Google Sans" w:hAnsi="Google Sans"/>
          <w:i w:val="1"/>
          <w:iCs w:val="1"/>
          <w:color w:val="1f1f1f"/>
          <w:rtl w:val="0"/>
        </w:rPr>
        <w:t xml:space="preserve">Starling Bank fined £29 million for financial crime systems and controls failings</w:t>
      </w:r>
      <w:r w:rsidDel="00000000" w:rsidR="00000000" w:rsidRPr="00000000">
        <w:rPr>
          <w:rFonts w:ascii="Google Sans" w:cs="Google Sans" w:eastAsia="Google Sans" w:hAnsi="Google Sans"/>
          <w:color w:val="1f1f1f"/>
          <w:rtl w:val="0"/>
        </w:rPr>
        <w:t xml:space="preserve"> (02 October 2024), https://www.stephensonharwood.com/insights/starling-bank-fined-29-million-for-financial-crime-systems-and-controls-failings/; Nottingham Building Society, </w:t>
      </w:r>
      <w:r w:rsidDel="00000000" w:rsidR="00000000" w:rsidRPr="00000000">
        <w:rPr>
          <w:rFonts w:ascii="Google Sans" w:cs="Google Sans" w:eastAsia="Google Sans" w:hAnsi="Google Sans"/>
          <w:i w:val="1"/>
          <w:iCs w:val="1"/>
          <w:color w:val="1f1f1f"/>
          <w:rtl w:val="0"/>
        </w:rPr>
        <w:t xml:space="preserve">2025 Annual Report and Accounts</w:t>
      </w:r>
      <w:r w:rsidDel="00000000" w:rsidR="00000000" w:rsidRPr="00000000">
        <w:rPr>
          <w:rFonts w:ascii="Google Sans" w:cs="Google Sans" w:eastAsia="Google Sans" w:hAnsi="Google Sans"/>
          <w:color w:val="1f1f1f"/>
          <w:rtl w:val="0"/>
        </w:rPr>
        <w:t xml:space="preserve"> (March 2026), https://www.thenottingham.com/media/lxbjhahg/2025-annual-report.pdf; Shawbrook Group plc, </w:t>
      </w:r>
      <w:r w:rsidDel="00000000" w:rsidR="00000000" w:rsidRPr="00000000">
        <w:rPr>
          <w:rFonts w:ascii="Google Sans" w:cs="Google Sans" w:eastAsia="Google Sans" w:hAnsi="Google Sans"/>
          <w:i w:val="1"/>
          <w:iCs w:val="1"/>
          <w:color w:val="1f1f1f"/>
          <w:rtl w:val="0"/>
        </w:rPr>
        <w:t xml:space="preserve">Annual Report and Accounts 2025</w:t>
      </w:r>
      <w:r w:rsidDel="00000000" w:rsidR="00000000" w:rsidRPr="00000000">
        <w:rPr>
          <w:rFonts w:ascii="Google Sans" w:cs="Google Sans" w:eastAsia="Google Sans" w:hAnsi="Google Sans"/>
          <w:color w:val="1f1f1f"/>
          <w:rtl w:val="0"/>
        </w:rPr>
        <w:t xml:space="preserve"> (March 2026)</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feature a "Strategic Growth &amp; Capacity Link" that pairs every growth-enabling appetite adjustment (such as relaxing high-LTV credit limits or accelerating digital onboarding) with a mandatory capacity check on downstream operational and financial crime controls.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A-GM-05: Leading versus Lagging Indicators Across the Nine Risk Domains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pervasive failure in UK board risk packs is an over-reliance on lagging indicators (which measure historical loss events or crystallised breaches that reflect the control environment of quarters or years past) at the expense of leading indicators (which measure predictive vulnerability, control strain, and emerging exposure velocity)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As documented in UK operational risk literature drawing on PRA Statement of Policy methodologies, operational and misconduct losses exhibit long lags between occurrence, detection, and settlement ("tortoises"), whereas boundary and liquidity risks exhibit high velocity ("hares")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To steer strategy, the board and CRO require paired leading and lagging indicators across all nine product domains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Domain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Indicator 1 (Predictive / Vulnerability)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Indicator 2 (Capacity / Control Strain)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Lagging Indicator 1 (Crystallised Outcome)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Lagging Indicator 2 (Historical Loss / Breach)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Credit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of new mortgage originations at &gt;90% LTV or &gt;4.5x loan-to-income (LTI)</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arrears migration rate (customers missing 1st direct debit or entering pre-arrears forbearance)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Proportion of residential mortgage accounts &gt;3 months in arrears (e.g., 0.57% at Leeds BS)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credit impairment charge / Cost of Risk in bps (e.g., 11 bps at Nationwide; 51 bps at Shawbrook)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Market Risk (IRRBB)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Unhedged pipeline volume of fixed-rate mortgage offers relative to swap execution capacity</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Sensitivity of Economic Value of Equity (</w:t>
            </w:r>
            <w:r w:rsidDel="00000000" w:rsidR="00000000" w:rsidRPr="00000000">
              <w:rPr>
                <w:rFonts w:ascii="Google Sans" w:cs="Google Sans" w:eastAsia="Google Sans" w:hAnsi="Google Sans"/>
                <w:color w:val="1f1f1f"/>
              </w:rPr>
              <w:drawing>
                <wp:inline distB="19050" distT="19050" distL="19050" distR="19050">
                  <wp:extent cx="509111" cy="169704"/>
                  <wp:effectExtent b="0" l="0" r="0" t="0"/>
                  <wp:docPr id="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09111" cy="1697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Net Interest Income (</w:t>
            </w:r>
            <w:r w:rsidDel="00000000" w:rsidR="00000000" w:rsidRPr="00000000">
              <w:rPr>
                <w:rFonts w:ascii="Google Sans" w:cs="Google Sans" w:eastAsia="Google Sans" w:hAnsi="Google Sans"/>
                <w:color w:val="1f1f1f"/>
              </w:rPr>
              <w:drawing>
                <wp:inline distB="19050" distT="19050" distL="19050" distR="19050">
                  <wp:extent cx="398502" cy="168597"/>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8502" cy="1685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 200bps parallel rate shock</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Realised Net Interest Margin (NIM) compression quarter-on-quarter (e.g., 1.61% at Nationwide)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 VaR back-testing exceptions or realised treasury hedge accounting ineffectiveness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Liquidity &amp; Funding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Retail deposit pricing spread vs top-5 market competitors and 7-day notice/instant-access outflow velocity</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Wholesale funding reliance ratio approaching internal buffer below the 50% statutory building society limit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12-month trailing average Liquidity Coverage Ratio (LCR) and Net Stable Funding Ratio (NSFR)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Days of survival under severe combined idiosyncratic and market stress in the ILAAP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Conduct &amp; Consumer Duty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Percentage of active fee-paying clients showing zero engagement over 12 months; or drop-off rates in digital support channels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SLA breach rate on vulnerable customer support queues and fair-value price dispersion outliers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Uphold rate on Financial Ombudsman Service (FOS) referrals and total complaints volume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redress and remediation payouts for historical fair-value or disclosure failings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 Climate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of new mortgage lending secured on properties with Energy Performance Certificate (EPC) rated F or G, or in high flood-risk postcodes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Deviation from interim science-based retrofit/decarbonisation pathway milestones (e.g., off-track flags on 2030 targets)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Realised Scope 1, 2, and Scope 3 (Category 15 financed emissions) physical carbon intensity (</w:t>
            </w:r>
            <w:r w:rsidDel="00000000" w:rsidR="00000000" w:rsidRPr="00000000">
              <w:rPr>
                <w:rFonts w:ascii="Google Sans" w:cs="Google Sans" w:eastAsia="Google Sans" w:hAnsi="Google Sans"/>
                <w:color w:val="1f1f1f"/>
              </w:rPr>
              <w:drawing>
                <wp:inline distB="19050" distT="19050" distL="19050" distR="19050">
                  <wp:extent cx="834866" cy="166973"/>
                  <wp:effectExtent b="0" l="0" r="0" t="0"/>
                  <wp:docPr id="6"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834866" cy="1669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Realised physical damage loss write-downs on uninsured flood/subsidence-affected mortgage collateral</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 Financial Crime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automated data-feed reconciliation discrepancy count between core banking and transaction monitoring (ATMS)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Ratio of high-risk customer onboarding velocity to qualified AML/EDD analyst headcount and backlog age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of accounts discovered in breach of a VREQ or sanctions list lookback (e.g., 54,359 accounts at Starling)</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regulatory financial penalties and s166 remediation costs imposed for AML/sanctions failures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 Operational Resilience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Percentage of Important Business Services (IBS) reliant on un-remediated legacy IT or untested Critical Third Parties (CTPs)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of failed disaster-recovery failover tests or change-management deployment rollbacks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and duration of operational incidents breaching board-approved Impact Tolerances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Total customer compensation paid for payment channel or mobile app downtime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 Cyber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Mean time to patch critical zero-day vulnerabilities across internal and third-party vendor systems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Phishing simulation click-through rate among privileged IT administrators and unmonitored API endpoints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of successful unauthorised data exfiltration events or ransomware intrusions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fines (ICO/FCA/PRA) and incident forensic recovery expenditure post-breach</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 Regulatory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Count of upcoming regulatory implementation deadlines (e.g., Basel 3.1, PS6/25, Consumer Duty reviews) with unmapped policies or red project status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Number of overdue second-line compliance monitoring or third-line internal audit high-priority actions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of formal SUP 15 / Fundamental Rule 7 breach notifications submitted to the FCA/PRA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Imposition of s166 Skilled Person reviews, VREQs, OIREQs, or Final Notices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FCA Final Notices for Starling Bank (02 October 2024) and Metro Bank (12 November 2024); Leeds Building Society </w:t>
      </w:r>
      <w:r w:rsidDel="00000000" w:rsidR="00000000" w:rsidRPr="00000000">
        <w:rPr>
          <w:rFonts w:ascii="Google Sans" w:cs="Google Sans" w:eastAsia="Google Sans" w:hAnsi="Google Sans"/>
          <w:i w:val="1"/>
          <w:iCs w:val="1"/>
          <w:color w:val="1f1f1f"/>
          <w:rtl w:val="0"/>
        </w:rPr>
        <w:t xml:space="preserve">Climate Report 2025</w:t>
      </w:r>
      <w:r w:rsidDel="00000000" w:rsidR="00000000" w:rsidRPr="00000000">
        <w:rPr>
          <w:rFonts w:ascii="Google Sans" w:cs="Google Sans" w:eastAsia="Google Sans" w:hAnsi="Google Sans"/>
          <w:color w:val="1f1f1f"/>
          <w:rtl w:val="0"/>
        </w:rPr>
        <w:t xml:space="preserve"> (March 2026); FCA </w:t>
      </w:r>
      <w:r w:rsidDel="00000000" w:rsidR="00000000" w:rsidRPr="00000000">
        <w:rPr>
          <w:rFonts w:ascii="Google Sans" w:cs="Google Sans" w:eastAsia="Google Sans" w:hAnsi="Google Sans"/>
          <w:i w:val="1"/>
          <w:iCs w:val="1"/>
          <w:color w:val="1f1f1f"/>
          <w:rtl w:val="0"/>
        </w:rPr>
        <w:t xml:space="preserve">Payments Consumer Duty Multi-Firm Review</w:t>
      </w:r>
      <w:r w:rsidDel="00000000" w:rsidR="00000000" w:rsidRPr="00000000">
        <w:rPr>
          <w:rFonts w:ascii="Google Sans" w:cs="Google Sans" w:eastAsia="Google Sans" w:hAnsi="Google Sans"/>
          <w:color w:val="1f1f1f"/>
          <w:rtl w:val="0"/>
        </w:rPr>
        <w:t xml:space="preserve"> (2024/2025)</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[inference].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Every domain dashboard in the platform must visually pair leading capacity/strain indicators on the left with lagging outcome indicators on the right, enabling the board to spot control degradation before a lagging limit breaches.</w:t>
      </w:r>
    </w:p>
    <w:p w:rsidR="00000000" w:rsidDel="00000000" w:rsidP="00000000" w:rsidRDefault="00000000" w:rsidRPr="00000000" w14:paraId="0000004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 How boards actually see risk (UK evidence)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Examining the Annual Reports, Strategic Reports, and Pillar 3 disclosures of UK building societies and mid-tier/challenger banks between 2024 and 2026 demonstrates how boards structure their risk oversight in practice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external disclosures anonymise sensitive internal thresholds (such as exact cyber breach counts or internal LCR triggers), they explicitly reveal the taxonomy of principal and emerging risks, the structure of Board Risk Committee (BRC) reporting, and the quantitative capital, liquidity, credit, and climate metrics tracked against board appetite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B-GM-01: Comparative Evidence of UK Building Society and Challenger Bank Risk Disclosures</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the UK mutual and challenger sector, firms organise their board risk view around 6 to 10 Principal Risks (top-down enterprise categories managed continuously against the RAS) supplemented by 4 to 8 Emerging or Top Risks (horizon threats monitored quarterly via scenario analysis and environmental scanning)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 &amp; Year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Principal Risks Count &amp; Taxonomy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Emerging / Top Risks Listed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Appetite Metrics Disclosed Externally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Presentation Style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Notable Practice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Nationwide Building Society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Annual Report &amp; Accounts 2024 (22 May 2024); Strategic Report &amp; Pillar 3 2025 (28 May 2025); Preliminary Results 2026 (May 2026)</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7–8 Principal Risks:</w:t>
            </w:r>
            <w:r w:rsidDel="00000000" w:rsidR="00000000" w:rsidRPr="00000000">
              <w:rPr>
                <w:rFonts w:ascii="Google Sans" w:cs="Google Sans" w:eastAsia="Google Sans" w:hAnsi="Google Sans"/>
                <w:color w:val="1f1f1f"/>
                <w:rtl w:val="0"/>
              </w:rPr>
              <w:t xml:space="preserve"> Credit risk, Liquidity and funding risk, Capital risk, Market risk, Operational &amp; resilience risk, Conduct &amp; compliance risk, Strategic/execution risk (including Virgin Money integration), Climate risk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Macroeconomic/cost-of-living pressures, higher-for-longer interest rates feeding through to household arrears, Virgin Money integration execution, AI &amp; cyber threats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~12 Headline Metrics:</w:t>
            </w:r>
            <w:r w:rsidDel="00000000" w:rsidR="00000000" w:rsidRPr="00000000">
              <w:rPr>
                <w:rFonts w:ascii="Google Sans" w:cs="Google Sans" w:eastAsia="Google Sans" w:hAnsi="Google Sans"/>
                <w:color w:val="1f1f1f"/>
                <w:rtl w:val="0"/>
              </w:rPr>
              <w:t xml:space="preserve"> CET1 (19.1%), UK Leverage ratio (5.3% vs </w:t>
            </w:r>
            <w:r w:rsidDel="00000000" w:rsidR="00000000" w:rsidRPr="00000000">
              <w:rPr>
                <w:rFonts w:ascii="Google Sans" w:cs="Google Sans" w:eastAsia="Google Sans" w:hAnsi="Google Sans"/>
                <w:color w:val="1f1f1f"/>
              </w:rPr>
              <w:drawing>
                <wp:inline distB="19050" distT="19050" distL="19050" distR="19050">
                  <wp:extent cx="547449" cy="169632"/>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7449" cy="169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target), 12m avg LCR (169%), Wholesale funding limit (&lt;50% statutory), Cost of risk (11 bps), 3m+ residential arrears, Customer satisfaction lead (+8.6%pts), Branch promise adherence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Qualitative RAS statements paired with quantitative limits and triggers in Pillar 3; Strategic Report maps KPIs directly to four strategic drivers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disclosure of internal Leverage Ratio target (</w:t>
            </w:r>
            <w:r w:rsidDel="00000000" w:rsidR="00000000" w:rsidRPr="00000000">
              <w:rPr>
                <w:rFonts w:ascii="Google Sans" w:cs="Google Sans" w:eastAsia="Google Sans" w:hAnsi="Google Sans"/>
                <w:color w:val="1f1f1f"/>
              </w:rPr>
              <w:drawing>
                <wp:inline distB="19050" distT="19050" distL="19050" distR="19050">
                  <wp:extent cx="547449" cy="169632"/>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47449" cy="1696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alongside BoE stress test low-point CET1 (14.5% vs 10.7% peer avg)</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Skipton Building Society (Skipton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Annual Report &amp; Accounts 2024 (March 2025); Annual Report &amp; Accounts 2025 (February 2026); Pillar 3 2024</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8 Principal Risks:</w:t>
            </w:r>
            <w:r w:rsidDel="00000000" w:rsidR="00000000" w:rsidRPr="00000000">
              <w:rPr>
                <w:rFonts w:ascii="Google Sans" w:cs="Google Sans" w:eastAsia="Google Sans" w:hAnsi="Google Sans"/>
                <w:color w:val="1f1f1f"/>
                <w:rtl w:val="0"/>
              </w:rPr>
              <w:t xml:space="preserve"> Credit, Capital, Liquidity &amp; Funding, Market (IRRBB), Operational Resilience &amp; Cyber, Conduct &amp; Regulatory, Strategic/Business risk (across Homes, Money, Connells, SIL), Climate/Sustainability risk</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Housing affordability barriers (only 1 in 8 FTBs can afford local area), geopolitical &amp; inflation volatility, digitising home buying/selling journey, historical policy/risk remediation at subsidiary SIL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~10 Headline Metrics:</w:t>
            </w:r>
            <w:r w:rsidDel="00000000" w:rsidR="00000000" w:rsidRPr="00000000">
              <w:rPr>
                <w:rFonts w:ascii="Google Sans" w:cs="Google Sans" w:eastAsia="Google Sans" w:hAnsi="Google Sans"/>
                <w:color w:val="1f1f1f"/>
                <w:rtl w:val="0"/>
              </w:rPr>
              <w:t xml:space="preserve"> HQLA (£6.0bn), LCR (well above 100% regulatory &amp; internal Board limit), FTB share of new lending (50% vs 2028 goal), Group mortgage growth (8.2%), Savings growth (8.9%), Gender parity target (50%), Net zero (2050)</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Group Risk Review linking principal risks to three strategic priorities (</w:t>
            </w:r>
            <w:r w:rsidDel="00000000" w:rsidR="00000000" w:rsidRPr="00000000">
              <w:rPr>
                <w:rFonts w:ascii="Google Sans" w:cs="Google Sans" w:eastAsia="Google Sans" w:hAnsi="Google Sans"/>
                <w:i w:val="1"/>
                <w:iCs w:val="1"/>
                <w:color w:val="1f1f1f"/>
                <w:rtl w:val="0"/>
              </w:rPr>
              <w:t xml:space="preserve">Helping More People Have a Home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Making Money Work Harder</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Making Membership Matter</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Candid board disclosure of subsidiary governance intervention: strengthening Skipton International (SIL) infrastructure in 2025 due to historic policy and risk management issues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Leeds Building Society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Annual Report &amp; Accounts 2024/2025 (06 March 2026); Pillar 3 Disclosures 2025; Climate Report 2025/2026</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7–8 Principal Risks:</w:t>
            </w:r>
            <w:r w:rsidDel="00000000" w:rsidR="00000000" w:rsidRPr="00000000">
              <w:rPr>
                <w:rFonts w:ascii="Google Sans" w:cs="Google Sans" w:eastAsia="Google Sans" w:hAnsi="Google Sans"/>
                <w:color w:val="1f1f1f"/>
                <w:rtl w:val="0"/>
              </w:rPr>
              <w:t xml:space="preserve"> Credit, Capital, Liquidity &amp; Funding, Market, Operational, Conduct, Strategic, and Climate risk (assessed via the Climate Risk Management Framework - CRMF across all principal risks)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Housing supply/planning bottlenecks, core banking platform replacement transformation risk, intense mortgage/savings competition, off-track dependencies on national grid/housing decarbonisation</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~11 Headline Metrics:</w:t>
            </w:r>
            <w:r w:rsidDel="00000000" w:rsidR="00000000" w:rsidRPr="00000000">
              <w:rPr>
                <w:rFonts w:ascii="Google Sans" w:cs="Google Sans" w:eastAsia="Google Sans" w:hAnsi="Google Sans"/>
                <w:color w:val="1f1f1f"/>
                <w:rtl w:val="0"/>
              </w:rPr>
              <w:t xml:space="preserve"> CET1 (25.5%), Cost-to-income ratio (46.1%), Residential arrears (0.57%), Member satisfaction (94%), Colleague engagement (8.4/10), Savings rate above market (+0.90%), plus 4 quantitative 2034 climate targets (90% Scope 1&amp;2 market-based cut; 70% Scope 3 mortgage intensity cut)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Tabular mapping of principal risks to quantitative metrics and regulatory minima in Pillar 3; transparent "on-track / off-track" status reporting on climate targets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board transparency when outside appetite/target: openly reported being off-track on three of its existing (2021–2030) climate targets before re-baselining to 2034</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Nottingham Building Society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Annual Report and Accounts 2025 (March 2026)</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7 Principal Risks:</w:t>
            </w:r>
            <w:r w:rsidDel="00000000" w:rsidR="00000000" w:rsidRPr="00000000">
              <w:rPr>
                <w:rFonts w:ascii="Google Sans" w:cs="Google Sans" w:eastAsia="Google Sans" w:hAnsi="Google Sans"/>
                <w:color w:val="1f1f1f"/>
                <w:rtl w:val="0"/>
              </w:rPr>
              <w:t xml:space="preserve"> Credit, Capital, Liquidity &amp; Funding, Market, Operational Resilience &amp; Cyber, Conduct, Strategic &amp; Transformation risk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tariff/macroeconomic policy shifts, UK Autumn Budget mortgage market dampening, escalating global cyber-attack sophistication, third-party platform (MQube) scaling risk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~8 Headline Metrics:</w:t>
            </w:r>
            <w:r w:rsidDel="00000000" w:rsidR="00000000" w:rsidRPr="00000000">
              <w:rPr>
                <w:rFonts w:ascii="Google Sans" w:cs="Google Sans" w:eastAsia="Google Sans" w:hAnsi="Google Sans"/>
                <w:color w:val="1f1f1f"/>
                <w:rtl w:val="0"/>
              </w:rPr>
              <w:t xml:space="preserve"> Total assets (£5.4bn), New mortgage lending throttled to £0.9bn (from £1.2bn), Statutory PBT (£16.7m), NIM (1.72% in 2024), CET1 (13.7% in 2024), Leverage (4.9% in 2024), LCR (172% in 2024)</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Directional movement arrows ("Positive movement", "Adverse movement", "Stable") alongside strategic narrative of "deliberate consolidation"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Exemplar case of board using risk appetite to </w:t>
            </w:r>
            <w:r w:rsidDel="00000000" w:rsidR="00000000" w:rsidRPr="00000000">
              <w:rPr>
                <w:rFonts w:ascii="Google Sans" w:cs="Google Sans" w:eastAsia="Google Sans" w:hAnsi="Google Sans"/>
                <w:i w:val="1"/>
                <w:iCs w:val="1"/>
                <w:color w:val="1f1f1f"/>
                <w:rtl w:val="0"/>
              </w:rPr>
              <w:t xml:space="preserve">throttle</w:t>
            </w:r>
            <w:r w:rsidDel="00000000" w:rsidR="00000000" w:rsidRPr="00000000">
              <w:rPr>
                <w:rFonts w:ascii="Google Sans" w:cs="Google Sans" w:eastAsia="Google Sans" w:hAnsi="Google Sans"/>
                <w:color w:val="1f1f1f"/>
                <w:rtl w:val="0"/>
              </w:rPr>
              <w:t xml:space="preserve"> growth: deliberately cutting lending by 25% in 2025 to embed technology and resilience foundations before 2026 growth</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Cambridge Building Society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Annual Report and Accounts 2025 (March 2026)</w:t>
            </w:r>
            <w:r w:rsidDel="00000000" w:rsidR="00000000" w:rsidRPr="00000000">
              <w:rPr>
                <w:rFonts w:ascii="Google Sans" w:cs="Google Sans" w:eastAsia="Google Sans" w:hAnsi="Google Sans"/>
                <w:color w:val="444746"/>
                <w:sz w:val="24"/>
                <w:szCs w:val="24"/>
                <w:vertAlign w:val="superscript"/>
                <w:rtl w:val="0"/>
              </w:rPr>
              <w:t xml:space="preserve">51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6–7 Principal Risks:</w:t>
            </w:r>
            <w:r w:rsidDel="00000000" w:rsidR="00000000" w:rsidRPr="00000000">
              <w:rPr>
                <w:rFonts w:ascii="Google Sans" w:cs="Google Sans" w:eastAsia="Google Sans" w:hAnsi="Google Sans"/>
                <w:color w:val="1f1f1f"/>
                <w:rtl w:val="0"/>
              </w:rPr>
              <w:t xml:space="preserve"> Credit, Capital, Liquidity, Market, Operational, Conduct/Compliance, Strategic</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Interest rate margin compression, regional housing affordability, cyber and operational resilience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Capital and liquidity ratios maintained above regulatory minima and internal board appetite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Narrative governance summary confirming board monitoring of principal risks in line with strategy and risk appetite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Proportionate mid-tier mutual governance linking board risk appetite directly to local community lending strategy</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Coventry, Yorkshire &amp; Principality Building Societies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Sector Benchmark Disclosures &amp; BSA Yearbook 2024/25 / Trading Updates (2025)</w:t>
            </w:r>
            <w:r w:rsidDel="00000000" w:rsidR="00000000" w:rsidRPr="00000000">
              <w:rPr>
                <w:rFonts w:ascii="Google Sans" w:cs="Google Sans" w:eastAsia="Google Sans" w:hAnsi="Google Sans"/>
                <w:color w:val="444746"/>
                <w:sz w:val="24"/>
                <w:szCs w:val="24"/>
                <w:vertAlign w:val="superscript"/>
                <w:rtl w:val="0"/>
              </w:rPr>
              <w:t xml:space="preserve">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7–8 Principal Risks:</w:t>
            </w:r>
            <w:r w:rsidDel="00000000" w:rsidR="00000000" w:rsidRPr="00000000">
              <w:rPr>
                <w:rFonts w:ascii="Google Sans" w:cs="Google Sans" w:eastAsia="Google Sans" w:hAnsi="Google Sans"/>
                <w:color w:val="1f1f1f"/>
                <w:rtl w:val="0"/>
              </w:rPr>
              <w:t xml:space="preserve"> Standardised mutual taxonomy covering Credit, Capital, Liquidity, Market/IRRBB, Operational Resilience, Conduct/Consumer Duty, FinCrime/Fraud, and Climate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NIM compression from higher deposit costs (flagged by Fitch Ratings for 2025), physical branch cost vs digital channel investment (mutuals hold 30% of UK branches), Co-op Bank integration (for Coventry)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CET1, Leverage, LCR, NSFR, Arrears &lt; market average, Fair value savings premium (£2.3bn sector-wide above big banks in 2024)</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Principal risk heatmaps showing directional trend arrows and alignment to FCA sector priorities (Consumer Duty, borrowers in financial difficulty, operational resilience)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Balancing physical branch footprint resilience (only 12% branch reduction over a decade vs 44% at banks) against real-time IT data transformation</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Shawbrook Group plc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Pillar 3 Disclosures 2023 (2024); Interim Financial Report H1 2025 (2025); Annual Report &amp; Accounts 2025 (March 2026)</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7–8 Principal Risks:</w:t>
            </w:r>
            <w:r w:rsidDel="00000000" w:rsidR="00000000" w:rsidRPr="00000000">
              <w:rPr>
                <w:rFonts w:ascii="Google Sans" w:cs="Google Sans" w:eastAsia="Google Sans" w:hAnsi="Google Sans"/>
                <w:color w:val="1f1f1f"/>
                <w:rtl w:val="0"/>
              </w:rPr>
              <w:t xml:space="preserve"> Credit risk, Capital risk, Liquidity &amp; funding risk, Market/IRRBB risk, Operational &amp; resilience risk, Conduct &amp; regulatory risk, Strategic/M&amp;A risk (e.g., ThinCats, TML/Bluestone integration)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downside scenarios (40% combined probability weight assigned to downside/severe downside in ECL models), TFSME repayment refinancing (repaid July 2025), AI/automation scaling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~12 Headline Metrics:</w:t>
            </w:r>
            <w:r w:rsidDel="00000000" w:rsidR="00000000" w:rsidRPr="00000000">
              <w:rPr>
                <w:rFonts w:ascii="Google Sans" w:cs="Google Sans" w:eastAsia="Google Sans" w:hAnsi="Google Sans"/>
                <w:color w:val="1f1f1f"/>
                <w:rtl w:val="0"/>
              </w:rPr>
              <w:t xml:space="preserve"> CET1 (12.4%), Total Capital (14.8%), Leverage ratio (8.4% in 2023), LCR (310.9% in 2023), NSFR, Loan book growth (+16% to £19.2bn), Cost of risk (47bps underlying / 51bps statutory), Cost-to-income (39.0%), RoTE (17.2%)</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w:t>
            </w:r>
            <w:r w:rsidDel="00000000" w:rsidR="00000000" w:rsidRPr="00000000">
              <w:rPr>
                <w:rFonts w:ascii="Google Sans" w:cs="Google Sans" w:eastAsia="Google Sans" w:hAnsi="Google Sans"/>
                <w:i w:val="1"/>
                <w:iCs w:val="1"/>
                <w:color w:val="1f1f1f"/>
                <w:rtl w:val="0"/>
              </w:rPr>
              <w:t xml:space="preserve">Top and Emerging Risks</w:t>
            </w:r>
            <w:r w:rsidDel="00000000" w:rsidR="00000000" w:rsidRPr="00000000">
              <w:rPr>
                <w:rFonts w:ascii="Google Sans" w:cs="Google Sans" w:eastAsia="Google Sans" w:hAnsi="Google Sans"/>
                <w:color w:val="1f1f1f"/>
                <w:rtl w:val="0"/>
              </w:rPr>
              <w:t xml:space="preserve"> section (p. 22) separated from </w:t>
            </w:r>
            <w:r w:rsidDel="00000000" w:rsidR="00000000" w:rsidRPr="00000000">
              <w:rPr>
                <w:rFonts w:ascii="Google Sans" w:cs="Google Sans" w:eastAsia="Google Sans" w:hAnsi="Google Sans"/>
                <w:i w:val="1"/>
                <w:iCs w:val="1"/>
                <w:color w:val="1f1f1f"/>
                <w:rtl w:val="0"/>
              </w:rPr>
              <w:t xml:space="preserve">Principal Risks</w:t>
            </w:r>
            <w:r w:rsidDel="00000000" w:rsidR="00000000" w:rsidRPr="00000000">
              <w:rPr>
                <w:rFonts w:ascii="Google Sans" w:cs="Google Sans" w:eastAsia="Google Sans" w:hAnsi="Google Sans"/>
                <w:color w:val="1f1f1f"/>
                <w:rtl w:val="0"/>
              </w:rPr>
              <w:t xml:space="preserve"> (p. 24); explicit confirmation that credit performance remained well within risk appetite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linkage of data-led credit risk appetite and automated underwriting (AVMs + income verification) to 36%–46% faster completion times and IPO readiness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OakNorth Bank plc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Annual Report 2024 (March 2025)</w:t>
            </w:r>
            <w:r w:rsidDel="00000000" w:rsidR="00000000" w:rsidRPr="00000000">
              <w:rPr>
                <w:rFonts w:ascii="Google Sans" w:cs="Google Sans" w:eastAsia="Google Sans" w:hAnsi="Google Sans"/>
                <w:color w:val="444746"/>
                <w:sz w:val="24"/>
                <w:szCs w:val="24"/>
                <w:vertAlign w:val="superscript"/>
                <w:rtl w:val="0"/>
              </w:rPr>
              <w:t xml:space="preserve">16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6–7 Principal Risks:</w:t>
            </w:r>
            <w:r w:rsidDel="00000000" w:rsidR="00000000" w:rsidRPr="00000000">
              <w:rPr>
                <w:rFonts w:ascii="Google Sans" w:cs="Google Sans" w:eastAsia="Google Sans" w:hAnsi="Google Sans"/>
                <w:color w:val="1f1f1f"/>
                <w:rtl w:val="0"/>
              </w:rPr>
              <w:t xml:space="preserve"> Credit, Interest Rate Risk in the Banking Book (IRRBB), Liquidity, Capital, Operational, Conduct/Financial Crime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real estate and SME borrower stress under elevated base rates, deposit competition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 confirmation that IRRBB, credit, capital, and liquidity metrics remained within OakNorth's board risk appetite throughout 2024</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Focused specialist lender risk review emphasizing granular borrower monitoring and IRRBB appetite compliance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of forward-looking credit monitoring with tight IRRBB risk appetite boundaries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Starling Bank &amp; Monzo Bank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FCA Final Notices (02 Oct 2024 &amp; 07 Jul 2025) and Corporate Responses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7–8 Principal Risks:</w:t>
            </w:r>
            <w:r w:rsidDel="00000000" w:rsidR="00000000" w:rsidRPr="00000000">
              <w:rPr>
                <w:rFonts w:ascii="Google Sans" w:cs="Google Sans" w:eastAsia="Google Sans" w:hAnsi="Google Sans"/>
                <w:color w:val="1f1f1f"/>
                <w:rtl w:val="0"/>
              </w:rPr>
              <w:t xml:space="preserve"> Financial Crime &amp; Sanctions, Credit, Capital, Liquidity, Operational Resilience, Conduct, Strategic/Growth risk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Exponential customer growth outrunning control scaling (Starling grew from 43k in 2017 to 3.6m in 2023), VREQ compliance governance, automated screening misconfiguration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VREQ zero-tolerance limit on high-risk account openings (breached 54,359 times at Starling; repeatedly breached at Monzo)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Post-remediation enhancements: third-party assurance testing of customer/payment screening and formalised VREQ governance frameworks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Negative benchmark: demonstrates that board risk packs lacking automated KCI reconciliation and clear SMF accountability conceal multi-year systemic breaches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Annual Reports, Pillar 3 Disclosures, and FCA Final Notices as cited per row above (2024–2026)</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ship with pre-configured UK mutual and challenger principal risk taxonomies, separating "Principal Risks" (monitored continuously against quantitative RAS limits) from "Top &amp; Emerging Risks" (tracked via horizon scanning, velocity arrows, and scenario weights).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B-GM-02: Escalation Filtering — Board vs Board Risk Committee vs Executive Committees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UK deposit-takers, information flow from the business to the board is governed by strict escalation filtering rules to prevent board overload while guaranteeing that material threats surface rapidly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standard UK practice, the operational business (Line 1) and Risk/Compliance teams (Line 2) review the full suite of Level 1, 2, and 3 metrics monthly at the Executive Risk Committee (ERC) or specialised sub-committees (such as the Asset and Liability Committee (ALCO), Credit Risk Committee, or Financial Crime Steering Group)</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ERC reviews all Red and Amber metrics across Levels 1, 2, and 3, approving remediation plans and owners for Level 2 and Level 3 triggers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When reporting moves upward to the Board Risk Committee (BRC)—which meets quarterly or six to eight times a year—the pack includes all Level 1 metrics (Green, Amber, and Red), all Level 2 Red breaches, and persistent Level 2 Ambers (for example, metrics that have remained Amber for two or more consecutive quarters or exhibit an adverse trajectory arrow), alongside a quarterly horizon-scanning report on emerging risks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Finally, the full Board receives a concise synthesis: the 10–12 headline strategic KPIs/KRIs, any Level 1 Red or Amber metrics requiring a strategic trade-off or appetite waiver, and the BRC Chair's escalation report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panel exposes a dangerous failure mode in this filtering hierarchy. The Regulatory Adviser points to the Metro Bank Final Notice (12 November 2024), where junior staff raised concerns about "Bad Data" in transaction monitoring in 2017, a financial crime steering group deleted the review action from its January 2018 minutes as lacking context and not yet substantiated, and an operations risk board ranked bad data among its top five risks between May and August 2018 before reassigning and dropping the actions after 16 August 2018—meaning no periodic MI or formal escalation ever reached the BRC or Board until an external firm was engaged in December 2018</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NED remarks that executive committees frequently "manage out" or suppress embarrassing operational data gaps before they reach the BRC. The First-Line Owner adds that when a metric is downgraded or removed at an executive sub-committee, there is rarely an immutable audit trail visible to the second or third line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FCA, </w:t>
      </w:r>
      <w:r w:rsidDel="00000000" w:rsidR="00000000" w:rsidRPr="00000000">
        <w:rPr>
          <w:rFonts w:ascii="Google Sans" w:cs="Google Sans" w:eastAsia="Google Sans" w:hAnsi="Google Sans"/>
          <w:i w:val="1"/>
          <w:iCs w:val="1"/>
          <w:color w:val="1f1f1f"/>
          <w:rtl w:val="0"/>
        </w:rPr>
        <w:t xml:space="preserve">Final Notice: Metro Bank PLC</w:t>
      </w:r>
      <w:r w:rsidDel="00000000" w:rsidR="00000000" w:rsidRPr="00000000">
        <w:rPr>
          <w:rFonts w:ascii="Google Sans" w:cs="Google Sans" w:eastAsia="Google Sans" w:hAnsi="Google Sans"/>
          <w:color w:val="1f1f1f"/>
          <w:rtl w:val="0"/>
        </w:rPr>
        <w:t xml:space="preserve"> (12 November 2024), https://www.fca.org.uk/publication/final-notices/metro-bank-plc-2024.pdf; LearnSignal, </w:t>
      </w:r>
      <w:r w:rsidDel="00000000" w:rsidR="00000000" w:rsidRPr="00000000">
        <w:rPr>
          <w:rFonts w:ascii="Google Sans" w:cs="Google Sans" w:eastAsia="Google Sans" w:hAnsi="Google Sans"/>
          <w:i w:val="1"/>
          <w:iCs w:val="1"/>
          <w:color w:val="1f1f1f"/>
          <w:rtl w:val="0"/>
        </w:rPr>
        <w:t xml:space="preserve">Metro Bank FCA Fine: £16.7m for Transaction Monitoring That Missed 60 Million Transactions</w:t>
      </w:r>
      <w:r w:rsidDel="00000000" w:rsidR="00000000" w:rsidRPr="00000000">
        <w:rPr>
          <w:rFonts w:ascii="Google Sans" w:cs="Google Sans" w:eastAsia="Google Sans" w:hAnsi="Google Sans"/>
          <w:color w:val="1f1f1f"/>
          <w:rtl w:val="0"/>
        </w:rPr>
        <w:t xml:space="preserve"> (2025/2026), https://www.learnsignal.com/blog/metro-bank-fca-final-notice-16-7-million-automated-transaction-monitoring-data-feed-failure-guide/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enforce immutable escalation rules: if an issue or metric is flagged as a top risk at an operational forum (L3/L2) or remains un-remediated beyond its SLA, the software must automatically surface it on the BRC dashboard, preventing manual suppression or minute-editing by intermediate committees.</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 — Reportable versus not reportable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Deciding whether an internal risk event, control failure, or conduct breach crosses the threshold for mandatory external notification to the FCA, PRA, Information Commissioner's Office (ICO), Office of Financial Sanctions Implementation (OFSI), or National Crime Agency (NCA) is one of the highest-stakes judgements made by senior management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C-GM-01: The UK Statutory and Regulatory Notification Regime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 deposit-takers are bound by overlapping, strict notification regimes across conduct, prudential, personal accountability, operational resilience, and financial crime perimeters. Under FCA Principle 11 (</w:t>
      </w:r>
      <w:r w:rsidDel="00000000" w:rsidR="00000000" w:rsidRPr="00000000">
        <w:rPr>
          <w:rFonts w:ascii="Google Sans" w:cs="Google Sans" w:eastAsia="Google Sans" w:hAnsi="Google Sans"/>
          <w:i w:val="1"/>
          <w:iCs w:val="1"/>
          <w:color w:val="1f1f1f"/>
          <w:rtl w:val="0"/>
        </w:rPr>
        <w:t xml:space="preserve">Relations with regulators</w:t>
      </w:r>
      <w:r w:rsidDel="00000000" w:rsidR="00000000" w:rsidRPr="00000000">
        <w:rPr>
          <w:rFonts w:ascii="Google Sans" w:cs="Google Sans" w:eastAsia="Google Sans" w:hAnsi="Google Sans"/>
          <w:color w:val="1f1f1f"/>
          <w:rtl w:val="0"/>
        </w:rPr>
        <w:t xml:space="preserve">), a firm must deal with its regulators in an open and cooperative way and must disclose to the FCA appropriately anything relating to the firm of which that regulator would reasonably expect notice. FCA Handbook SUP 15.3.1R operationalises this obligation by requiring a firm to notify the FCA </w:t>
      </w:r>
      <w:r w:rsidDel="00000000" w:rsidR="00000000" w:rsidRPr="00000000">
        <w:rPr>
          <w:rFonts w:ascii="Google Sans" w:cs="Google Sans" w:eastAsia="Google Sans" w:hAnsi="Google Sans"/>
          <w:i w:val="1"/>
          <w:iCs w:val="1"/>
          <w:color w:val="1f1f1f"/>
          <w:rtl w:val="0"/>
        </w:rPr>
        <w:t xml:space="preserve">immediately</w:t>
      </w:r>
      <w:r w:rsidDel="00000000" w:rsidR="00000000" w:rsidRPr="00000000">
        <w:rPr>
          <w:rFonts w:ascii="Google Sans" w:cs="Google Sans" w:eastAsia="Google Sans" w:hAnsi="Google Sans"/>
          <w:color w:val="1f1f1f"/>
          <w:rtl w:val="0"/>
        </w:rPr>
        <w:t xml:space="preserve"> it becomes aware, or has information which reasonably suggests, that any of the matters in SUP 15.3.1R has occurred, may have occurred, or may occur in the foreseeable future—including matters having a serious regulatory impact, significant breaches of rules (such as the Consumer Duty or VREQs), or significant operational fraud and control failures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On the prudential side, PRA Fundamental Rule 7 mirrors Principle 11 verbatim for safety-and-soundness matters, requiring open, cooperative, and timely disclosure to the PRA, including prospective material booking model changes under SS5/21 / PS6/25 (published 20 May 2025), capital or liquidity buffer triggers, or material operational resilience disruptions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individual conduct under the SMCR, where a firm takes disciplinary action (issuing a formal written warning, suspension, dismissal, or reduction/recovery of remuneration) against a Senior Manager (SMF) for a breach of FCA COCON or PRA Conduct Rules, it must notify the regulator within 7 business days via Form C (if the individual ceases to perform the role) or Form D under SUP 15.11. Breaches by Certified Persons or other conduct rule staff that do not result in loss of fitness and propriety are reported annually via the REP008 return within two months of the firm's accounting reference date, although serious breaches triggering SUP 15.3 must still be notified immediately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Under the Operational Resilience and Critical Third Parties regime (PS21/3, SS1/21, SS2/21, PS16/24, and CP24/28 on incident reporting), firms must notify the FCA and PRA immediately upon an operational incident breaching an Impact Tolerance for an Important Business Service, and provide advance notification of material outsourcing or third-party arrangements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Finally, specialized statutory reporting applies to financial crime and data privacy: under the Proceeds of Crime Act 2002 (POCA) s.330–331 and Terrorism Act 2000, the Nominated Officer (MLRO / SMF17) must submit a Suspicious Activity Report (SAR) to the NCA as soon as practicable after knowledge or suspicion of money laundering forms (as seen in the 62 SARs filed by CB Payments or 153 lookback SARs filed by Metro Bank)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under the Sanctions and Anti-Money Laundering Act 2018 (SAMLA), suspected sanctions breaches or frozen assets must be reported immediately to OFSI (as Starling did in September 2024 following its screening lookback)</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and personal data breaches risking individual rights and freedoms must be notified to the ICO within 72 hours under UK GDPR Article 33</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Notification Regime &amp; Rule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Receiving Authority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Statutory Trigger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Timeline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FCA Principle 11 &amp; SUP 15.3.1R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Conduct Authority (FCA)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matter having a serious regulatory impact, significant rule/VREQ breach, or significant fraud/control failure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Immediately</w:t>
            </w:r>
            <w:r w:rsidDel="00000000" w:rsidR="00000000" w:rsidRPr="00000000">
              <w:rPr>
                <w:rFonts w:ascii="Google Sans" w:cs="Google Sans" w:eastAsia="Google Sans" w:hAnsi="Google Sans"/>
                <w:color w:val="1f1f1f"/>
                <w:rtl w:val="0"/>
              </w:rPr>
              <w:t xml:space="preserve"> upon becoming aware or having information that reasonably suggests occurrence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PRA Fundamental Rule 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Prudential Regulation Authority (PRA)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Material safety &amp; soundness events, capital/liquidity buffer triggers, or prospective material booking changes (SS5/21 / PS6/25)</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Immediately</w:t>
            </w:r>
            <w:r w:rsidDel="00000000" w:rsidR="00000000" w:rsidRPr="00000000">
              <w:rPr>
                <w:rFonts w:ascii="Google Sans" w:cs="Google Sans" w:eastAsia="Google Sans" w:hAnsi="Google Sans"/>
                <w:color w:val="1f1f1f"/>
                <w:rtl w:val="0"/>
              </w:rPr>
              <w:t xml:space="preserve"> (or well in advance for prospective material booking/outsourcing changes)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SMCR Conduct Breach (SUP 15.11)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FCA &amp; PRA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Disciplinary action for COCON/Conduct Rule breach (Form C/D for SMFs; REP008 for other staff)</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Within 7 business days</w:t>
            </w:r>
            <w:r w:rsidDel="00000000" w:rsidR="00000000" w:rsidRPr="00000000">
              <w:rPr>
                <w:rFonts w:ascii="Google Sans" w:cs="Google Sans" w:eastAsia="Google Sans" w:hAnsi="Google Sans"/>
                <w:color w:val="1f1f1f"/>
                <w:rtl w:val="0"/>
              </w:rPr>
              <w:t xml:space="preserve"> for SMF breaches (Form C/D); </w:t>
            </w:r>
            <w:r w:rsidDel="00000000" w:rsidR="00000000" w:rsidRPr="00000000">
              <w:rPr>
                <w:rFonts w:ascii="Google Sans" w:cs="Google Sans" w:eastAsia="Google Sans" w:hAnsi="Google Sans"/>
                <w:b w:val="1"/>
                <w:bCs w:val="1"/>
                <w:color w:val="1f1f1f"/>
                <w:rtl w:val="0"/>
              </w:rPr>
              <w:t xml:space="preserve">Annually</w:t>
            </w:r>
            <w:r w:rsidDel="00000000" w:rsidR="00000000" w:rsidRPr="00000000">
              <w:rPr>
                <w:rFonts w:ascii="Google Sans" w:cs="Google Sans" w:eastAsia="Google Sans" w:hAnsi="Google Sans"/>
                <w:color w:val="1f1f1f"/>
                <w:rtl w:val="0"/>
              </w:rPr>
              <w:t xml:space="preserve"> (REP008) for non-SMF staff</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Incident &amp; Outsourcing (SS1/21, SS2/21, PS16/24)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FCA &amp; PRA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disruption breaching an Important Business Service Impact Tolerance or material third-party failure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Immediately</w:t>
            </w:r>
            <w:r w:rsidDel="00000000" w:rsidR="00000000" w:rsidRPr="00000000">
              <w:rPr>
                <w:rFonts w:ascii="Google Sans" w:cs="Google Sans" w:eastAsia="Google Sans" w:hAnsi="Google Sans"/>
                <w:color w:val="1f1f1f"/>
                <w:rtl w:val="0"/>
              </w:rPr>
              <w:t xml:space="preserve"> upon Impact Tolerance breach (staged initial, intermediate, and closure reports).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Financial Crime &amp; Data Privacy (POCA, SAMLA, UK GDPR)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NCA (SARs), OFSI (Sanctions), ICO (Data Breaches)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Knowledge/suspicion of money laundering (NCA); suspected sanctions breach (OFSI); personal data breach (ICO)</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As soon as practicable</w:t>
            </w:r>
            <w:r w:rsidDel="00000000" w:rsidR="00000000" w:rsidRPr="00000000">
              <w:rPr>
                <w:rFonts w:ascii="Google Sans" w:cs="Google Sans" w:eastAsia="Google Sans" w:hAnsi="Google Sans"/>
                <w:color w:val="1f1f1f"/>
                <w:rtl w:val="0"/>
              </w:rPr>
              <w:t xml:space="preserve"> (NCA SAR); </w:t>
            </w:r>
            <w:r w:rsidDel="00000000" w:rsidR="00000000" w:rsidRPr="00000000">
              <w:rPr>
                <w:rFonts w:ascii="Google Sans" w:cs="Google Sans" w:eastAsia="Google Sans" w:hAnsi="Google Sans"/>
                <w:b w:val="1"/>
                <w:bCs w:val="1"/>
                <w:color w:val="1f1f1f"/>
                <w:rtl w:val="0"/>
              </w:rPr>
              <w:t xml:space="preserve">Immediately</w:t>
            </w:r>
            <w:r w:rsidDel="00000000" w:rsidR="00000000" w:rsidRPr="00000000">
              <w:rPr>
                <w:rFonts w:ascii="Google Sans" w:cs="Google Sans" w:eastAsia="Google Sans" w:hAnsi="Google Sans"/>
                <w:color w:val="1f1f1f"/>
                <w:rtl w:val="0"/>
              </w:rPr>
              <w:t xml:space="preserve"> (OFSI); </w:t>
            </w:r>
            <w:r w:rsidDel="00000000" w:rsidR="00000000" w:rsidRPr="00000000">
              <w:rPr>
                <w:rFonts w:ascii="Google Sans" w:cs="Google Sans" w:eastAsia="Google Sans" w:hAnsi="Google Sans"/>
                <w:b w:val="1"/>
                <w:bCs w:val="1"/>
                <w:color w:val="1f1f1f"/>
                <w:rtl w:val="0"/>
              </w:rPr>
              <w:t xml:space="preserve">Within 72 hours</w:t>
            </w:r>
            <w:r w:rsidDel="00000000" w:rsidR="00000000" w:rsidRPr="00000000">
              <w:rPr>
                <w:rFonts w:ascii="Google Sans" w:cs="Google Sans" w:eastAsia="Google Sans" w:hAnsi="Google Sans"/>
                <w:color w:val="1f1f1f"/>
                <w:rtl w:val="0"/>
              </w:rPr>
              <w:t xml:space="preserve"> (ICO)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FCA, </w:t>
      </w:r>
      <w:r w:rsidDel="00000000" w:rsidR="00000000" w:rsidRPr="00000000">
        <w:rPr>
          <w:rFonts w:ascii="Google Sans" w:cs="Google Sans" w:eastAsia="Google Sans" w:hAnsi="Google Sans"/>
          <w:i w:val="1"/>
          <w:iCs w:val="1"/>
          <w:color w:val="1f1f1f"/>
          <w:rtl w:val="0"/>
        </w:rPr>
        <w:t xml:space="preserve">Final Notice: Starling Bank Limited</w:t>
      </w:r>
      <w:r w:rsidDel="00000000" w:rsidR="00000000" w:rsidRPr="00000000">
        <w:rPr>
          <w:rFonts w:ascii="Google Sans" w:cs="Google Sans" w:eastAsia="Google Sans" w:hAnsi="Google Sans"/>
          <w:color w:val="1f1f1f"/>
          <w:rtl w:val="0"/>
        </w:rPr>
        <w:t xml:space="preserve"> (02 October 2024), https://www.fca.org.uk/publication/final-notices/starling-bank-limited-2024.pdf; FCA, </w:t>
      </w:r>
      <w:r w:rsidDel="00000000" w:rsidR="00000000" w:rsidRPr="00000000">
        <w:rPr>
          <w:rFonts w:ascii="Google Sans" w:cs="Google Sans" w:eastAsia="Google Sans" w:hAnsi="Google Sans"/>
          <w:i w:val="1"/>
          <w:iCs w:val="1"/>
          <w:color w:val="1f1f1f"/>
          <w:rtl w:val="0"/>
        </w:rPr>
        <w:t xml:space="preserve">Regulatory Bulletin / SUP 15 Reminder</w:t>
      </w:r>
      <w:r w:rsidDel="00000000" w:rsidR="00000000" w:rsidRPr="00000000">
        <w:rPr>
          <w:rFonts w:ascii="Google Sans" w:cs="Google Sans" w:eastAsia="Google Sans" w:hAnsi="Google Sans"/>
          <w:color w:val="1f1f1f"/>
          <w:rtl w:val="0"/>
        </w:rPr>
        <w:t xml:space="preserve"> (2023/2025), https://content.govdelivery.com/accounts/UKFCA/bulletins/3671a74; Deloitte UK, </w:t>
      </w:r>
      <w:r w:rsidDel="00000000" w:rsidR="00000000" w:rsidRPr="00000000">
        <w:rPr>
          <w:rFonts w:ascii="Google Sans" w:cs="Google Sans" w:eastAsia="Google Sans" w:hAnsi="Google Sans"/>
          <w:i w:val="1"/>
          <w:iCs w:val="1"/>
          <w:color w:val="1f1f1f"/>
          <w:rtl w:val="0"/>
        </w:rPr>
        <w:t xml:space="preserve">PRA booking model and branch risk appetite finalised (SS5/21 / PS6/25)</w:t>
      </w:r>
      <w:r w:rsidDel="00000000" w:rsidR="00000000" w:rsidRPr="00000000">
        <w:rPr>
          <w:rFonts w:ascii="Google Sans" w:cs="Google Sans" w:eastAsia="Google Sans" w:hAnsi="Google Sans"/>
          <w:color w:val="1f1f1f"/>
          <w:rtl w:val="0"/>
        </w:rPr>
        <w:t xml:space="preserve"> (20 May 2025), https://www.deloitte.com/uk/en/blogs/ecrs/pra-booking-model-and-branch-risk-appetite-finalised-act-now-on-self-assessment.html</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(internal triage steps).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contain a built-in "Regulatory Notification Triage Engine" that maps every logged control failure, incident, or conduct breach against the specific statutory triggers and countdown clocks (Immediate SUP 15/FR7, 72-hour ICO, 7-business-day SMCR Form C/D, Immediate OFSI, As-Soon-As-Practicable NCA SAR).</w:t>
      </w:r>
    </w:p>
    <w:p w:rsidR="00000000" w:rsidDel="00000000" w:rsidP="00000000" w:rsidRDefault="00000000" w:rsidRPr="00000000" w14:paraId="000000B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C-GM-02: Timelines, Materiality Thresholds, and Consequences of Under- vs Over-Reporting</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UK enforcement practice, the word "immediately" in SUP 15.3 is interpreted strictly: a firm is not permitted to wait until an internal investigation or remediation is complete before notifying the FCA or PRA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However, the firm is permitted a brief, focused triage window (typically 24 to 72 hours, or up to a few days for complex technical bugs) to establish that the information "reasonably suggests" a material issue exists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contrast between proactive and delayed notification is illustrated sharply in recent enforcement actions. In January 2023, Starling Bank's second line discovered that its automated screening had generated zero alerts for individuals since July 2022 due to a 2017 UK-residency filter; Starling reconfigured and tested the system on 10 February 2023, notified the FCA on 16 February 2023, and completed re-screening 3.5 million customers by 24 February 2023—receiving explicit credit in the Final Notice (para 2.11) for proactive cooperation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Conversely, at Metro Bank, staff flagged "Bad Data" rejections in 2017, a report confirmed the scale in April 2018, the timestamp coding error was found on 17 April 2019, and the FCA was only notified on 29 May 2019—contributing to a £16.67 million penalty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panel's deliberation highlights the acute governance dilemma between under-reporting and defensive over-reporting. The Regulatory Adviser notes that under-reporting or delayed reporting transforms an inadvertent operational failure (a Principle 2 or Principle 3 breach) into a career-ending Principle 11 / Fundamental Rule 7 violation alongside a breach of Senior Manager Conduct Rule 3 (</w:t>
      </w:r>
      <w:r w:rsidDel="00000000" w:rsidR="00000000" w:rsidRPr="00000000">
        <w:rPr>
          <w:rFonts w:ascii="Google Sans" w:cs="Google Sans" w:eastAsia="Google Sans" w:hAnsi="Google Sans"/>
          <w:i w:val="1"/>
          <w:iCs w:val="1"/>
          <w:color w:val="1f1f1f"/>
          <w:rtl w:val="0"/>
        </w:rPr>
        <w:t xml:space="preserve">taking reasonable steps to ensure compliance</w:t>
      </w:r>
      <w:r w:rsidDel="00000000" w:rsidR="00000000" w:rsidRPr="00000000">
        <w:rPr>
          <w:rFonts w:ascii="Google Sans" w:cs="Google Sans" w:eastAsia="Google Sans" w:hAnsi="Google Sans"/>
          <w:color w:val="1f1f1f"/>
          <w:rtl w:val="0"/>
        </w:rPr>
        <w:t xml:space="preserve">) and Rule 4 (</w:t>
      </w:r>
      <w:r w:rsidDel="00000000" w:rsidR="00000000" w:rsidRPr="00000000">
        <w:rPr>
          <w:rFonts w:ascii="Google Sans" w:cs="Google Sans" w:eastAsia="Google Sans" w:hAnsi="Google Sans"/>
          <w:i w:val="1"/>
          <w:iCs w:val="1"/>
          <w:color w:val="1f1f1f"/>
          <w:rtl w:val="0"/>
        </w:rPr>
        <w:t xml:space="preserve">disclosing appropriately any information of which the FCA or PRA would reasonably expect notice</w:t>
      </w:r>
      <w:r w:rsidDel="00000000" w:rsidR="00000000" w:rsidRPr="00000000">
        <w:rPr>
          <w:rFonts w:ascii="Google Sans" w:cs="Google Sans" w:eastAsia="Google Sans" w:hAnsi="Google Sans"/>
          <w:color w:val="1f1f1f"/>
          <w:rtl w:val="0"/>
        </w:rPr>
        <w:t xml:space="preserve">). Furthermore, when a firm under-reports and the FCA discovers the issue via a multi-firm review (as in the 2021 challenger bank financial crime review), the regulator frequently triggers a "read-across" s166 Skilled Person review or VREQ across the entire firm</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Conversely, the First-Line Risk Owner and CRO highlight the operational danger of defensive over-reporting: if a nervous Compliance Director (SMF16) reports every minor, unverified Level 3 control anomaly to the FCA under SUP 15, supervisors lose confidence in management's grip, deluge the firm with "read-across" information requests demanding verification across all sibling product systems, and place the firm on a supervisory watch-list. To resolve this tension, the Board NED insists that what makes a "reportable or not" decision defensible—particularly when the decision is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to report—is a contemporaneously documented human governance step: a structured materiality assessment logged in the risk system, signed off by the relevant SMF (typically SMF4 CRO or SMF16 Head of Compliance), recording the facts known at that timestamp, the specific SUP 15 / FR7 criteria evaluated, the rationale for concluding the threshold was not met, and the date set for re-evaluation if remediation stalls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BankingNewsAI / FCA, </w:t>
      </w:r>
      <w:r w:rsidDel="00000000" w:rsidR="00000000" w:rsidRPr="00000000">
        <w:rPr>
          <w:rFonts w:ascii="Google Sans" w:cs="Google Sans" w:eastAsia="Google Sans" w:hAnsi="Google Sans"/>
          <w:i w:val="1"/>
          <w:iCs w:val="1"/>
          <w:color w:val="1f1f1f"/>
          <w:rtl w:val="0"/>
        </w:rPr>
        <w:t xml:space="preserve">Starling 2024 FCA Automated Sanctions Screening</w:t>
      </w:r>
      <w:r w:rsidDel="00000000" w:rsidR="00000000" w:rsidRPr="00000000">
        <w:rPr>
          <w:rFonts w:ascii="Google Sans" w:cs="Google Sans" w:eastAsia="Google Sans" w:hAnsi="Google Sans"/>
          <w:color w:val="1f1f1f"/>
          <w:rtl w:val="0"/>
        </w:rPr>
        <w:t xml:space="preserve"> (02 October 2024 / reviewed 21 October 2026), https://www.bankingnewsai.com/ai-incidents/starling-2024-fca-automated-sanctions-screening; LearnSignal, </w:t>
      </w:r>
      <w:r w:rsidDel="00000000" w:rsidR="00000000" w:rsidRPr="00000000">
        <w:rPr>
          <w:rFonts w:ascii="Google Sans" w:cs="Google Sans" w:eastAsia="Google Sans" w:hAnsi="Google Sans"/>
          <w:i w:val="1"/>
          <w:iCs w:val="1"/>
          <w:color w:val="1f1f1f"/>
          <w:rtl w:val="0"/>
        </w:rPr>
        <w:t xml:space="preserve">CB Payments FCA Fine Guide</w:t>
      </w:r>
      <w:r w:rsidDel="00000000" w:rsidR="00000000" w:rsidRPr="00000000">
        <w:rPr>
          <w:rFonts w:ascii="Google Sans" w:cs="Google Sans" w:eastAsia="Google Sans" w:hAnsi="Google Sans"/>
          <w:color w:val="1f1f1f"/>
          <w:rtl w:val="0"/>
        </w:rPr>
        <w:t xml:space="preserve"> (22 October 2026), https://www.learnsignal.com/blog/cb-payments-fca-final-notice-voluntary-requirement-high-risk-customer-onboarding-failures-guide/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[inference].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provide a "Defensible SUP 15 / FR7 Decision Log" workflow that records both positive notifications and documented "Near-Miss / Not Reportable" decisions with timestamped SMF sign-off, rationale, and an automatic "Read-Across Prompt" that checks horizontal sibling systems before the regulator asks.</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 — Accountability: SMCR, risk owners and control owners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Senior Managers and Certification Regime (SMCR), governed by the Financial Services and Markets Act 2000 (FSMA) (as amended by the Bank of England and Financial Services Act 2016), FCA SYSC 24–26, and the PRA Rulebook (</w:t>
      </w:r>
      <w:r w:rsidDel="00000000" w:rsidR="00000000" w:rsidRPr="00000000">
        <w:rPr>
          <w:rFonts w:ascii="Google Sans" w:cs="Google Sans" w:eastAsia="Google Sans" w:hAnsi="Google Sans"/>
          <w:i w:val="1"/>
          <w:iCs w:val="1"/>
          <w:color w:val="1f1f1f"/>
          <w:rtl w:val="0"/>
        </w:rPr>
        <w:t xml:space="preserve">Allocation of Responsibilities</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i w:val="1"/>
          <w:iCs w:val="1"/>
          <w:color w:val="1f1f1f"/>
          <w:rtl w:val="0"/>
        </w:rPr>
        <w:t xml:space="preserve">Senior Managers Regime</w:t>
      </w:r>
      <w:r w:rsidDel="00000000" w:rsidR="00000000" w:rsidRPr="00000000">
        <w:rPr>
          <w:rFonts w:ascii="Google Sans" w:cs="Google Sans" w:eastAsia="Google Sans" w:hAnsi="Google Sans"/>
          <w:color w:val="1f1f1f"/>
          <w:rtl w:val="0"/>
        </w:rPr>
        <w:t xml:space="preserve">), anchors every element of a UK bank's risk framework to named personal accountability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D-GM-01: Statements of Responsibilities, Management Responsibilities Maps, Reasonable Steps, and SMCR Reform (2023–2026)</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Senior Management Function (SMF) holder—such as the CEO (SMF1), CFO (SMF2), CRO (SMF4), Head of Internal Audit (SMF5), Chair of the Risk Committee (SMF10), Chair of the Audit Committee (SMF11), Compliance Oversight (SMF16), and MLRO (SMF17)—must have a single, statutory Statement of Responsibilities (SoR) (FCA SUP 10C.11) setting out the exact areas of the firm for which they are accountable, including assigned Prescribed Responsibilities (PRs) under SYSC 24.2 (such as PR (d): responsibility for the firm's policies and procedures for countering the risk that the firm might be used to further financial crime)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For banks and larger building societies, these SoRs are aggregated into a comprehensive Management Responsibilities Map (MRM) under SYSC 25, proving there are no gaps or unclear overlaps in governance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Under FSMA s.66A(5) (the </w:t>
      </w:r>
      <w:r w:rsidDel="00000000" w:rsidR="00000000" w:rsidRPr="00000000">
        <w:rPr>
          <w:rFonts w:ascii="Google Sans" w:cs="Google Sans" w:eastAsia="Google Sans" w:hAnsi="Google Sans"/>
          <w:b w:val="1"/>
          <w:bCs w:val="1"/>
          <w:color w:val="1f1f1f"/>
          <w:rtl w:val="0"/>
        </w:rPr>
        <w:t xml:space="preserve">Duty of Responsibility</w:t>
      </w:r>
      <w:r w:rsidDel="00000000" w:rsidR="00000000" w:rsidRPr="00000000">
        <w:rPr>
          <w:rFonts w:ascii="Google Sans" w:cs="Google Sans" w:eastAsia="Google Sans" w:hAnsi="Google Sans"/>
          <w:color w:val="1f1f1f"/>
          <w:rtl w:val="0"/>
        </w:rPr>
        <w:t xml:space="preserve">), the FCA or PRA can take enforcement action against an SMF personally if there is a regulatory breach in their area of responsibility and the SMF failed to take such steps as a person in their position could reasonably be expected to take to avoid the breach occurring or continuing (</w:t>
      </w:r>
      <w:r w:rsidDel="00000000" w:rsidR="00000000" w:rsidRPr="00000000">
        <w:rPr>
          <w:rFonts w:ascii="Google Sans" w:cs="Google Sans" w:eastAsia="Google Sans" w:hAnsi="Google Sans"/>
          <w:b w:val="1"/>
          <w:bCs w:val="1"/>
          <w:color w:val="1f1f1f"/>
          <w:rtl w:val="0"/>
        </w:rPr>
        <w:t xml:space="preserve">"reasonable steps"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Regarding recent SMCR reforms: following the Edinburgh Reforms, HM Treasury issued a Call for Evidence while the FCA and PRA published joint Discussion Paper </w:t>
      </w:r>
      <w:r w:rsidDel="00000000" w:rsidR="00000000" w:rsidRPr="00000000">
        <w:rPr>
          <w:rFonts w:ascii="Google Sans" w:cs="Google Sans" w:eastAsia="Google Sans" w:hAnsi="Google Sans"/>
          <w:b w:val="1"/>
          <w:bCs w:val="1"/>
          <w:color w:val="1f1f1f"/>
          <w:rtl w:val="0"/>
        </w:rPr>
        <w:t xml:space="preserve">DP1/23 / DP23/1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Review of the Senior Managers and Certification Regime</w:t>
      </w:r>
      <w:r w:rsidDel="00000000" w:rsidR="00000000" w:rsidRPr="00000000">
        <w:rPr>
          <w:rFonts w:ascii="Google Sans" w:cs="Google Sans" w:eastAsia="Google Sans" w:hAnsi="Google Sans"/>
          <w:color w:val="1f1f1f"/>
          <w:rtl w:val="0"/>
        </w:rPr>
        <w:t xml:space="preserve">, 30 March 2023). Between 2024 and 2026, following industry feedback and the secondary international competitiveness and growth objective introduced by FSMA 2023</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UK regulators and HM Treasury moved toward streamlining administrative burdens—such as simplifying the 12-week rule, reducing delays in SMF criminal record and regulatory reference checks, and reviewing the administrative overhead of the Certification Regime—while firmly retaining the core accountability pillars of SoRs, MRMs, and the Duty of Responsibility. Concurrently, the FCA expanded the reach of the Code of Conduct (COCON) via its Non-Financial Misconduct consultation and rules (July 2025 and April 2026 updates)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In enforcement, the Monzo Final Notice (07 July 2025) specifically highlighted that a root cause of Monzo's VREQ breach was that it remained unclear who at the firm was accountable for various aspects of managing the VREQ</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Norton Rose Fulbright, </w:t>
      </w:r>
      <w:r w:rsidDel="00000000" w:rsidR="00000000" w:rsidRPr="00000000">
        <w:rPr>
          <w:rFonts w:ascii="Google Sans" w:cs="Google Sans" w:eastAsia="Google Sans" w:hAnsi="Google Sans"/>
          <w:i w:val="1"/>
          <w:iCs w:val="1"/>
          <w:color w:val="1f1f1f"/>
          <w:rtl w:val="0"/>
        </w:rPr>
        <w:t xml:space="preserve">Notice in a nutshell: Bank fined for financial crime failings (Monzo Bank Limited)</w:t>
      </w:r>
      <w:r w:rsidDel="00000000" w:rsidR="00000000" w:rsidRPr="00000000">
        <w:rPr>
          <w:rFonts w:ascii="Google Sans" w:cs="Google Sans" w:eastAsia="Google Sans" w:hAnsi="Google Sans"/>
          <w:color w:val="1f1f1f"/>
          <w:rtl w:val="0"/>
        </w:rPr>
        <w:t xml:space="preserve"> (07 July 2025 / October 2026), https://connections.nortonrosefulbright.com/post/102kv0z/notice-in-a-nutshell-bank-fined-for-financial-crime-failings; Greenberg Traurig, </w:t>
      </w:r>
      <w:r w:rsidDel="00000000" w:rsidR="00000000" w:rsidRPr="00000000">
        <w:rPr>
          <w:rFonts w:ascii="Google Sans" w:cs="Google Sans" w:eastAsia="Google Sans" w:hAnsi="Google Sans"/>
          <w:i w:val="1"/>
          <w:iCs w:val="1"/>
          <w:color w:val="1f1f1f"/>
          <w:rtl w:val="0"/>
        </w:rPr>
        <w:t xml:space="preserve">UK Enforcement Agencies Crack Down on Financial Crime Control Failures</w:t>
      </w:r>
      <w:r w:rsidDel="00000000" w:rsidR="00000000" w:rsidRPr="00000000">
        <w:rPr>
          <w:rFonts w:ascii="Google Sans" w:cs="Google Sans" w:eastAsia="Google Sans" w:hAnsi="Google Sans"/>
          <w:color w:val="1f1f1f"/>
          <w:rtl w:val="0"/>
        </w:rPr>
        <w:t xml:space="preserve"> (referencing July 2025 and April 2026 COCON updates), https://www.gtlaw-londonlawblog.com/2024/10/uk-enforcement-agencies-crack-down-on-financial-crime-control-failures-sanctions-violations/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(reasonable steps evidence packs).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Every principal risk, RAS metric, policy, and regulatory requirement (including VREQs) in the platform must be hard-linked to a single accountable SMF role and their Statement of Responsibilities, automatically generating a timestamped "Reasonable Steps Evidence Pack" of challenges, escalations, and resource requests.</w:t>
      </w:r>
    </w:p>
    <w:p w:rsidR="00000000" w:rsidDel="00000000" w:rsidP="00000000" w:rsidRDefault="00000000" w:rsidRPr="00000000" w14:paraId="000000C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D-GM-02: Testing the Six-Monthly SMF Certification Claim</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the practitioner claim that "every SMF gives a six-monthly certification to the regulator" establishes that </w:t>
      </w:r>
      <w:r w:rsidDel="00000000" w:rsidR="00000000" w:rsidRPr="00000000">
        <w:rPr>
          <w:rFonts w:ascii="Google Sans" w:cs="Google Sans" w:eastAsia="Google Sans" w:hAnsi="Google Sans"/>
          <w:b w:val="1"/>
          <w:bCs w:val="1"/>
          <w:color w:val="1f1f1f"/>
          <w:rtl w:val="0"/>
        </w:rPr>
        <w:t xml:space="preserve">this is not a statutory rule or universal regulatory requirement</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Under FSMA s.63F and FCA SYSC 27, firms must issue certificates of Fitness and Propriety </w:t>
      </w:r>
      <w:r w:rsidDel="00000000" w:rsidR="00000000" w:rsidRPr="00000000">
        <w:rPr>
          <w:rFonts w:ascii="Google Sans" w:cs="Google Sans" w:eastAsia="Google Sans" w:hAnsi="Google Sans"/>
          <w:b w:val="1"/>
          <w:bCs w:val="1"/>
          <w:color w:val="1f1f1f"/>
          <w:rtl w:val="0"/>
        </w:rPr>
        <w:t xml:space="preserve">annually</w:t>
      </w:r>
      <w:r w:rsidDel="00000000" w:rsidR="00000000" w:rsidRPr="00000000">
        <w:rPr>
          <w:rFonts w:ascii="Google Sans" w:cs="Google Sans" w:eastAsia="Google Sans" w:hAnsi="Google Sans"/>
          <w:color w:val="1f1f1f"/>
          <w:rtl w:val="0"/>
        </w:rPr>
        <w:t xml:space="preserve"> (every 12 months) to their Certified Staff, and firms must assess the fitness and propriety of their SMF holders at least </w:t>
      </w:r>
      <w:r w:rsidDel="00000000" w:rsidR="00000000" w:rsidRPr="00000000">
        <w:rPr>
          <w:rFonts w:ascii="Google Sans" w:cs="Google Sans" w:eastAsia="Google Sans" w:hAnsi="Google Sans"/>
          <w:b w:val="1"/>
          <w:bCs w:val="1"/>
          <w:color w:val="1f1f1f"/>
          <w:rtl w:val="0"/>
        </w:rPr>
        <w:t xml:space="preserve">annually</w:t>
      </w:r>
      <w:r w:rsidDel="00000000" w:rsidR="00000000" w:rsidRPr="00000000">
        <w:rPr>
          <w:rFonts w:ascii="Google Sans" w:cs="Google Sans" w:eastAsia="Google Sans" w:hAnsi="Google Sans"/>
          <w:color w:val="1f1f1f"/>
          <w:rtl w:val="0"/>
        </w:rPr>
        <w:t xml:space="preserve">, alongside an annual submission of the Conduct Rules breach return (REP008). There is no FCA or PRA Handbook rule requiring every SMF to submit a six-monthly certification to the regulator.</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panel explains why an experienced UK bank executive would recall a six-monthly certification through two distinct mechanisms in UK banking practice. First, as an internal governance attestation ([practice-not-rule]), many UK banks and large building societies run an internal six-monthly (half-yearly) Risk and Control Attestation aligned to Interim Results and Full-Year Results cycles, where first-line executives and SMFs sign an internal certification to the CEO, CRO, and Board Risk Committee confirming that their Statement of Responsibilities remains accurate, their RCSA controls have been tested, and all material breaches have been escalated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Second, as a bespoke supervisory VREQ or s166 attestation ([practice-not-rule]), where a firm is under heightened supervision, a Voluntary Requirement (VREQ), or remediating a Skilled Person (s166) report (as seen at Starling Bank and Monzo Bank), the FCA or PRA frequently requires a periodic quarterly or six-monthly attestation signed by an accountable SMF (such as SMF4 or SMF17) certifying compliance progress directly to the supervisor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FCA Final Notice to Starling Bank Limited (02 October 2024) (referencing periodic VREQ compliance reporting to the Authority)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Skipton Group </w:t>
      </w:r>
      <w:r w:rsidDel="00000000" w:rsidR="00000000" w:rsidRPr="00000000">
        <w:rPr>
          <w:rFonts w:ascii="Google Sans" w:cs="Google Sans" w:eastAsia="Google Sans" w:hAnsi="Google Sans"/>
          <w:i w:val="1"/>
          <w:iCs w:val="1"/>
          <w:color w:val="1f1f1f"/>
          <w:rtl w:val="0"/>
        </w:rPr>
        <w:t xml:space="preserve">Half-Yearly Financial Report 2024</w:t>
      </w:r>
      <w:r w:rsidDel="00000000" w:rsidR="00000000" w:rsidRPr="00000000">
        <w:rPr>
          <w:rFonts w:ascii="Google Sans" w:cs="Google Sans" w:eastAsia="Google Sans" w:hAnsi="Google Sans"/>
          <w:color w:val="1f1f1f"/>
          <w:rtl w:val="0"/>
        </w:rPr>
        <w:t xml:space="preserve"> (Directors' Responsibility Statement)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[conflict]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should provide a configurable "SMF &amp; Executive Attestation Workflow" that defaults to six-monthly and annual internal cycles (supporting SoR accuracy and RCSA sign-off), with an exportable supervisory attestation template for firms managing VREQs or s166 remediation programmes.</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D-GM-03: Risk Owner vs Control Owner, Horizontal vs Vertical Ownership, and "Line of Sight"</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foundational flaw in mid-tier bank risk systems is conflating the </w:t>
      </w:r>
      <w:r w:rsidDel="00000000" w:rsidR="00000000" w:rsidRPr="00000000">
        <w:rPr>
          <w:rFonts w:ascii="Google Sans" w:cs="Google Sans" w:eastAsia="Google Sans" w:hAnsi="Google Sans"/>
          <w:b w:val="1"/>
          <w:bCs w:val="1"/>
          <w:color w:val="1f1f1f"/>
          <w:rtl w:val="0"/>
        </w:rPr>
        <w:t xml:space="preserve">Risk Owner</w:t>
      </w:r>
      <w:r w:rsidDel="00000000" w:rsidR="00000000" w:rsidRPr="00000000">
        <w:rPr>
          <w:rFonts w:ascii="Google Sans" w:cs="Google Sans" w:eastAsia="Google Sans" w:hAnsi="Google Sans"/>
          <w:color w:val="1f1f1f"/>
          <w:rtl w:val="0"/>
        </w:rPr>
        <w:t xml:space="preserve"> with the </w:t>
      </w:r>
      <w:r w:rsidDel="00000000" w:rsidR="00000000" w:rsidRPr="00000000">
        <w:rPr>
          <w:rFonts w:ascii="Google Sans" w:cs="Google Sans" w:eastAsia="Google Sans" w:hAnsi="Google Sans"/>
          <w:b w:val="1"/>
          <w:bCs w:val="1"/>
          <w:color w:val="1f1f1f"/>
          <w:rtl w:val="0"/>
        </w:rPr>
        <w:t xml:space="preserve">Control Owner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In UK best practice (aligned to ISO 31000 and the IIA Three Lines Model), the </w:t>
      </w:r>
      <w:r w:rsidDel="00000000" w:rsidR="00000000" w:rsidRPr="00000000">
        <w:rPr>
          <w:rFonts w:ascii="Google Sans" w:cs="Google Sans" w:eastAsia="Google Sans" w:hAnsi="Google Sans"/>
          <w:b w:val="1"/>
          <w:bCs w:val="1"/>
          <w:color w:val="1f1f1f"/>
          <w:rtl w:val="0"/>
        </w:rPr>
        <w:t xml:space="preserve">Risk Owner</w:t>
      </w:r>
      <w:r w:rsidDel="00000000" w:rsidR="00000000" w:rsidRPr="00000000">
        <w:rPr>
          <w:rFonts w:ascii="Google Sans" w:cs="Google Sans" w:eastAsia="Google Sans" w:hAnsi="Google Sans"/>
          <w:color w:val="1f1f1f"/>
          <w:rtl w:val="0"/>
        </w:rPr>
        <w:t xml:space="preserve"> is a senior first-line executive (often an SMF or direct report, such as the Managing Director of Retail Mortgages or Head of Savings) who has accountability and authority to manage a specific risk within the board's appetite and make risk-reward trade-off decisions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w:t>
      </w:r>
      <w:r w:rsidDel="00000000" w:rsidR="00000000" w:rsidRPr="00000000">
        <w:rPr>
          <w:rFonts w:ascii="Google Sans" w:cs="Google Sans" w:eastAsia="Google Sans" w:hAnsi="Google Sans"/>
          <w:b w:val="1"/>
          <w:bCs w:val="1"/>
          <w:color w:val="1f1f1f"/>
          <w:rtl w:val="0"/>
        </w:rPr>
        <w:t xml:space="preserve">Control Owner</w:t>
      </w:r>
      <w:r w:rsidDel="00000000" w:rsidR="00000000" w:rsidRPr="00000000">
        <w:rPr>
          <w:rFonts w:ascii="Google Sans" w:cs="Google Sans" w:eastAsia="Google Sans" w:hAnsi="Google Sans"/>
          <w:color w:val="1f1f1f"/>
          <w:rtl w:val="0"/>
        </w:rPr>
        <w:t xml:space="preserve"> is the operational manager or technical lead responsible for the day-to-day execution and performance of a specific preventive or detective control that modifies that risk (for example, the Head of Financial Crime Operations running payment screening queues, or the Core Banking Engineering Lead managing data-feed scripts)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distinction becomes critical when mapping </w:t>
      </w:r>
      <w:r w:rsidDel="00000000" w:rsidR="00000000" w:rsidRPr="00000000">
        <w:rPr>
          <w:rFonts w:ascii="Google Sans" w:cs="Google Sans" w:eastAsia="Google Sans" w:hAnsi="Google Sans"/>
          <w:b w:val="1"/>
          <w:bCs w:val="1"/>
          <w:color w:val="1f1f1f"/>
          <w:rtl w:val="0"/>
        </w:rPr>
        <w:t xml:space="preserve">horizontal (end-to-end customer journey or product)</w:t>
      </w:r>
      <w:r w:rsidDel="00000000" w:rsidR="00000000" w:rsidRPr="00000000">
        <w:rPr>
          <w:rFonts w:ascii="Google Sans" w:cs="Google Sans" w:eastAsia="Google Sans" w:hAnsi="Google Sans"/>
          <w:color w:val="1f1f1f"/>
          <w:rtl w:val="0"/>
        </w:rPr>
        <w:t xml:space="preserve"> ownership against </w:t>
      </w:r>
      <w:r w:rsidDel="00000000" w:rsidR="00000000" w:rsidRPr="00000000">
        <w:rPr>
          <w:rFonts w:ascii="Google Sans" w:cs="Google Sans" w:eastAsia="Google Sans" w:hAnsi="Google Sans"/>
          <w:b w:val="1"/>
          <w:bCs w:val="1"/>
          <w:color w:val="1f1f1f"/>
          <w:rtl w:val="0"/>
        </w:rPr>
        <w:t xml:space="preserve">vertical (functional department)</w:t>
      </w:r>
      <w:r w:rsidDel="00000000" w:rsidR="00000000" w:rsidRPr="00000000">
        <w:rPr>
          <w:rFonts w:ascii="Google Sans" w:cs="Google Sans" w:eastAsia="Google Sans" w:hAnsi="Google Sans"/>
          <w:color w:val="1f1f1f"/>
          <w:rtl w:val="0"/>
        </w:rPr>
        <w:t xml:space="preserve"> ownership</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 customer onboarding journey cuts horizontally across Marketing, Digital App Engineering, Credit Underwriting, Financial Crime Screening, and Customer Operations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When ownership is assigned purely vertically by function, severe gaps emerge at the hand-offs, as demonstrated across three major FCA Final Notices. In the CB Payments Final Notice (23 July 2024), customers migrated from other group entities (1,034 customers) bypassed the onboarding risk flag, a new service let flagged customers trade for four months, and customer service teams manually credited e-money to 199 restricted customers because no single horizontal owner monitored the end-to-end outcome of whether restricted customers were actually transacting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Starling Bank Final Notice (02 October 2024), a technology configuration set in July 2017 restricted sanctions screening only to UK citizens or residents (39 of 3,088 designated persons), and a separate control failed to update correctly, allowing 294 customers previously exited for financial-crime reasons to open new accounts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Similarly, in the Metro Bank Final Notice (12 November 2024), a timestamp code logic error in the IT data feed excluded same-day accounts (166,358 accounts) from the Automated Transaction Monitoring System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Consequently, the First-Line Risk Owner and CRO agree on what genuine </w:t>
      </w:r>
      <w:r w:rsidDel="00000000" w:rsidR="00000000" w:rsidRPr="00000000">
        <w:rPr>
          <w:rFonts w:ascii="Google Sans" w:cs="Google Sans" w:eastAsia="Google Sans" w:hAnsi="Google Sans"/>
          <w:b w:val="1"/>
          <w:bCs w:val="1"/>
          <w:color w:val="1f1f1f"/>
          <w:rtl w:val="0"/>
        </w:rPr>
        <w:t xml:space="preserve">"line of sight"</w:t>
      </w:r>
      <w:r w:rsidDel="00000000" w:rsidR="00000000" w:rsidRPr="00000000">
        <w:rPr>
          <w:rFonts w:ascii="Google Sans" w:cs="Google Sans" w:eastAsia="Google Sans" w:hAnsi="Google Sans"/>
          <w:color w:val="1f1f1f"/>
          <w:rtl w:val="0"/>
        </w:rPr>
        <w:t xml:space="preserve"> for a horizontal Risk Owner must include: the Risk Owner cannot rely on a static quarterly RCSA workshop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but must have live dashboard visibility into customer complaints and root-cause trends along their journey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operational errors, rejected data records, and manual overrides (such as customer service manual credits or bad-data folders)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and parameter, rule-logic, or threshold changes made by technology and engineering teams in underlying IT systems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LearnSignal, </w:t>
      </w:r>
      <w:r w:rsidDel="00000000" w:rsidR="00000000" w:rsidRPr="00000000">
        <w:rPr>
          <w:rFonts w:ascii="Google Sans" w:cs="Google Sans" w:eastAsia="Google Sans" w:hAnsi="Google Sans"/>
          <w:i w:val="1"/>
          <w:iCs w:val="1"/>
          <w:color w:val="1f1f1f"/>
          <w:rtl w:val="0"/>
        </w:rPr>
        <w:t xml:space="preserve">CB Payments FCA Fine: How High-Risk Customer Onboarding Controls Failed</w:t>
      </w:r>
      <w:r w:rsidDel="00000000" w:rsidR="00000000" w:rsidRPr="00000000">
        <w:rPr>
          <w:rFonts w:ascii="Google Sans" w:cs="Google Sans" w:eastAsia="Google Sans" w:hAnsi="Google Sans"/>
          <w:color w:val="1f1f1f"/>
          <w:rtl w:val="0"/>
        </w:rPr>
        <w:t xml:space="preserve"> (22 October 2026), https://www.learnsignal.com/blog/cb-payments-fca-final-notice-voluntary-requirement-high-risk-customer-onboarding-failures-guide/; FCA Final Notices for Starling Bank (02 October 2024) and Metro Bank (12 November 2024); Protecht Academy UK, </w:t>
      </w:r>
      <w:r w:rsidDel="00000000" w:rsidR="00000000" w:rsidRPr="00000000">
        <w:rPr>
          <w:rFonts w:ascii="Google Sans" w:cs="Google Sans" w:eastAsia="Google Sans" w:hAnsi="Google Sans"/>
          <w:i w:val="1"/>
          <w:iCs w:val="1"/>
          <w:color w:val="1f1f1f"/>
          <w:rtl w:val="0"/>
        </w:rPr>
        <w:t xml:space="preserve">Risk and Control Self Assessment</w:t>
      </w:r>
      <w:r w:rsidDel="00000000" w:rsidR="00000000" w:rsidRPr="00000000">
        <w:rPr>
          <w:rFonts w:ascii="Google Sans" w:cs="Google Sans" w:eastAsia="Google Sans" w:hAnsi="Google Sans"/>
          <w:color w:val="1f1f1f"/>
          <w:rtl w:val="0"/>
        </w:rPr>
        <w:t xml:space="preserve"> (2025/2026), https://www.protechtgroup.com/en-gb/academy/risk-and-control-self-assessment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model dual-axis ownership—linking horizontal Product/Journey Risk Owners to vertical Functional Control Owners—and automatically pipe IT rule/parameter change logs, data-feed reconciliation counts, manual overrides, and journey complaints directly into the Risk Owner's dashboard.</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D-GM-04: Monthly Human Attestation of Reported Data Quality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automated APIs pull KRI and KCI metrics from source systems, the Metro Bank and Starling Bank enforcement cases prove that automated dashboards frequently display "green" simply because the underlying data feed is broken or filtering out exceptions ("silent failure")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Consequently, mature UK banks and building societies institute a </w:t>
      </w:r>
      <w:r w:rsidDel="00000000" w:rsidR="00000000" w:rsidRPr="00000000">
        <w:rPr>
          <w:rFonts w:ascii="Google Sans" w:cs="Google Sans" w:eastAsia="Google Sans" w:hAnsi="Google Sans"/>
          <w:b w:val="1"/>
          <w:bCs w:val="1"/>
          <w:color w:val="1f1f1f"/>
          <w:rtl w:val="0"/>
        </w:rPr>
        <w:t xml:space="preserve">monthly human data-completeness and metric attestation</w:t>
      </w:r>
      <w:r w:rsidDel="00000000" w:rsidR="00000000" w:rsidRPr="00000000">
        <w:rPr>
          <w:rFonts w:ascii="Google Sans" w:cs="Google Sans" w:eastAsia="Google Sans" w:hAnsi="Google Sans"/>
          <w:color w:val="1f1f1f"/>
          <w:rtl w:val="0"/>
        </w:rPr>
        <w:t xml:space="preserve"> step: before the monthly Executive Risk Committee pack is locked, the vertical Control Owner and horizontal Risk Owner must digitally sign off not only the metric value, but also the underlying reconciliation control proving that 100% of source records reached the monitoring system</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NED notes that when an executive's name and timestamp appear next to a metric in the Board Risk Pack, behavioural accountability sharpens dramatically, eliminating the excuse that the dashboard was generated automatically by IT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BankingNewsAI, </w:t>
      </w:r>
      <w:r w:rsidDel="00000000" w:rsidR="00000000" w:rsidRPr="00000000">
        <w:rPr>
          <w:rFonts w:ascii="Google Sans" w:cs="Google Sans" w:eastAsia="Google Sans" w:hAnsi="Google Sans"/>
          <w:i w:val="1"/>
          <w:iCs w:val="1"/>
          <w:color w:val="1f1f1f"/>
          <w:rtl w:val="0"/>
        </w:rPr>
        <w:t xml:space="preserve">FCA fines Metro Bank £16.7m after its automated transaction monitoring missed 60m transactions</w:t>
      </w:r>
      <w:r w:rsidDel="00000000" w:rsidR="00000000" w:rsidRPr="00000000">
        <w:rPr>
          <w:rFonts w:ascii="Google Sans" w:cs="Google Sans" w:eastAsia="Google Sans" w:hAnsi="Google Sans"/>
          <w:color w:val="1f1f1f"/>
          <w:rtl w:val="0"/>
        </w:rPr>
        <w:t xml:space="preserve"> (12 November 2024 / reviewed 21 October 2026), https://www.bankingnewsai.com/ai-incidents/metro-bank-2024-fca-automated-transaction-monitoring</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[inference].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Every automated metric feed in the platform must pair the KRI value with an automated "Source-to-Target Completeness Reconciliation Check" and require a one-click monthly human attestation from the metric owner before propagating to the BRC pack.</w:t>
      </w:r>
    </w:p>
    <w:p w:rsidR="00000000" w:rsidDel="00000000" w:rsidP="00000000" w:rsidRDefault="00000000" w:rsidRPr="00000000" w14:paraId="000000CF">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 — Three lines of defence</w:t>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E-GM-01: The IIA Three Lines Model (2020) and UK Regulatory Application</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July 2020, the Institute of Internal Auditors (IIA) updated the traditional "Three Lines of Defence" into the </w:t>
      </w:r>
      <w:r w:rsidDel="00000000" w:rsidR="00000000" w:rsidRPr="00000000">
        <w:rPr>
          <w:rFonts w:ascii="Google Sans" w:cs="Google Sans" w:eastAsia="Google Sans" w:hAnsi="Google Sans"/>
          <w:b w:val="1"/>
          <w:bCs w:val="1"/>
          <w:color w:val="1f1f1f"/>
          <w:rtl w:val="0"/>
        </w:rPr>
        <w:t xml:space="preserve">Three Lines Model (2020)</w:t>
      </w:r>
      <w:r w:rsidDel="00000000" w:rsidR="00000000" w:rsidRPr="00000000">
        <w:rPr>
          <w:rFonts w:ascii="Google Sans" w:cs="Google Sans" w:eastAsia="Google Sans" w:hAnsi="Google Sans"/>
          <w:color w:val="1f1f1f"/>
          <w:rtl w:val="0"/>
        </w:rPr>
        <w:t xml:space="preserve">, shifting emphasis from purely defensive compliance to value creation, alignment with strategic objectives, and clearer delineation between assurance and advisory roles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As articulated in recent UK enterprise risk analysis (such as Protecht UK's examination of the IIA 2020 model and the Basel Committee on Banking Supervision (BCBS) Corporate Governance Principles), the clearest operational distinction among the three lines centres on decision-making authority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Line 1 (Business Operations and Risk Owners) </w:t>
      </w:r>
      <w:r w:rsidDel="00000000" w:rsidR="00000000" w:rsidRPr="00000000">
        <w:rPr>
          <w:rFonts w:ascii="Google Sans" w:cs="Google Sans" w:eastAsia="Google Sans" w:hAnsi="Google Sans"/>
          <w:i w:val="1"/>
          <w:iCs w:val="1"/>
          <w:color w:val="1f1f1f"/>
          <w:rtl w:val="0"/>
        </w:rPr>
        <w:t xml:space="preserve">makes decisions</w:t>
      </w:r>
      <w:r w:rsidDel="00000000" w:rsidR="00000000" w:rsidRPr="00000000">
        <w:rPr>
          <w:rFonts w:ascii="Google Sans" w:cs="Google Sans" w:eastAsia="Google Sans" w:hAnsi="Google Sans"/>
          <w:color w:val="1f1f1f"/>
          <w:rtl w:val="0"/>
        </w:rPr>
        <w:t xml:space="preserve">, owns and manages risk day-to-day, and designs and executes controls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Line 2 (Risk Management and Compliance—led by SMF4, SMF16, and SMF17) </w:t>
      </w:r>
      <w:r w:rsidDel="00000000" w:rsidR="00000000" w:rsidRPr="00000000">
        <w:rPr>
          <w:rFonts w:ascii="Google Sans" w:cs="Google Sans" w:eastAsia="Google Sans" w:hAnsi="Google Sans"/>
          <w:i w:val="1"/>
          <w:iCs w:val="1"/>
          <w:color w:val="1f1f1f"/>
          <w:rtl w:val="0"/>
        </w:rPr>
        <w:t xml:space="preserve">improves decision quality</w:t>
      </w:r>
      <w:r w:rsidDel="00000000" w:rsidR="00000000" w:rsidRPr="00000000">
        <w:rPr>
          <w:rFonts w:ascii="Google Sans" w:cs="Google Sans" w:eastAsia="Google Sans" w:hAnsi="Google Sans"/>
          <w:color w:val="1f1f1f"/>
          <w:rtl w:val="0"/>
        </w:rPr>
        <w:t xml:space="preserve">, sets the enterprise risk framework and policies, provides informed independent challenge, aggregates risk exposure against board appetite, and monitors trade-offs and escalations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Line 3 (Internal Audit—led by SMF5) </w:t>
      </w:r>
      <w:r w:rsidDel="00000000" w:rsidR="00000000" w:rsidRPr="00000000">
        <w:rPr>
          <w:rFonts w:ascii="Google Sans" w:cs="Google Sans" w:eastAsia="Google Sans" w:hAnsi="Google Sans"/>
          <w:i w:val="1"/>
          <w:iCs w:val="1"/>
          <w:color w:val="1f1f1f"/>
          <w:rtl w:val="0"/>
        </w:rPr>
        <w:t xml:space="preserve">provides independent assurance over decision-making processes</w:t>
      </w:r>
      <w:r w:rsidDel="00000000" w:rsidR="00000000" w:rsidRPr="00000000">
        <w:rPr>
          <w:rFonts w:ascii="Google Sans" w:cs="Google Sans" w:eastAsia="Google Sans" w:hAnsi="Google Sans"/>
          <w:color w:val="1f1f1f"/>
          <w:rtl w:val="0"/>
        </w:rPr>
        <w:t xml:space="preserve">, assessing whether the overall risk management framework across Lines 1 and 2 is coherent and operating effectively, while reporting directly to the Board Audit Committee (chaired by SMF11)</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some international regulators (such as the Reserve Bank of New Zealand in its 2026 guidance) have formally adopted the "Three Lines Model" phrasing, the FCA and PRA continue to use "Three Lines of Defence" and "Three Lines Model" interchangeably in supervisory communications and Final Notices, holding fast to the core principle that Line 2 and Line 3 must remain operationally independent of Line 1 revenue generation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Protecht UK, </w:t>
      </w:r>
      <w:r w:rsidDel="00000000" w:rsidR="00000000" w:rsidRPr="00000000">
        <w:rPr>
          <w:rFonts w:ascii="Google Sans" w:cs="Google Sans" w:eastAsia="Google Sans" w:hAnsi="Google Sans"/>
          <w:i w:val="1"/>
          <w:iCs w:val="1"/>
          <w:color w:val="1f1f1f"/>
          <w:rtl w:val="0"/>
        </w:rPr>
        <w:t xml:space="preserve">The Three Lines Model: Internal Audit vs Risk Management</w:t>
      </w:r>
      <w:r w:rsidDel="00000000" w:rsidR="00000000" w:rsidRPr="00000000">
        <w:rPr>
          <w:rFonts w:ascii="Google Sans" w:cs="Google Sans" w:eastAsia="Google Sans" w:hAnsi="Google Sans"/>
          <w:color w:val="1f1f1f"/>
          <w:rtl w:val="0"/>
        </w:rPr>
        <w:t xml:space="preserve"> (citing IIA Three Lines Model 2020 and BCBS 2015) (2026), https://www.protechtgroup.com/en-gb/blog/the-three-lines-model-internal-audit-risk-management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provide distinct role-based workspaces for Line 1 (operational risk taking, control execution, action remediation), Line 2 (framework calibration, challenge logs, appetite aggregation), and Line 3 (audit universe planning, independent control testing, direct Audit Committee reporting) sharing a single risk taxonomy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E-GM-02: Typical Metric Suites Owned by the First, Second, and Third Lines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Each line of defence owns a distinct metric suite that must interlock without duplication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Line of Defence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Role &amp; Accountable SMFs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Metric Suite Owned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Reporting Destination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First Line (Line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Product, Operations &amp; IT Heads (COOs, Chief Commercial Officers, Product MDs)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Operational KRIs &amp; KCIs:</w:t>
            </w:r>
            <w:r w:rsidDel="00000000" w:rsidR="00000000" w:rsidRPr="00000000">
              <w:rPr>
                <w:rFonts w:ascii="Google Sans" w:cs="Google Sans" w:eastAsia="Google Sans" w:hAnsi="Google Sans"/>
                <w:color w:val="1f1f1f"/>
                <w:rtl w:val="0"/>
              </w:rPr>
              <w:t xml:space="preserve"> RCSA control pass/fail rates, customer onboarding volumes and drop-offs, automated data reconciliation counts, IT patching SLAs, manual override counts, customer support SLAs, first-stage complaint resolution times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Divisional Risk Forums &amp; Executive Risk Committee (ERC)</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Second Line (Line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 (SMF4), Head of Compliance (SMF16), MLRO (SMF17)</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Appetite, Aggregation &amp; Thematic Monitoring Metrics:</w:t>
            </w:r>
            <w:r w:rsidDel="00000000" w:rsidR="00000000" w:rsidRPr="00000000">
              <w:rPr>
                <w:rFonts w:ascii="Google Sans" w:cs="Google Sans" w:eastAsia="Google Sans" w:hAnsi="Google Sans"/>
                <w:color w:val="1f1f1f"/>
                <w:rtl w:val="0"/>
              </w:rPr>
              <w:t xml:space="preserve"> Level 1 &amp; Level 2 RAS limit utilization, stress test buffers (ICAAP/ILAAP), thematic compliance monitoring pass rates, VREQ compliance assurance metrics, SAR submission volumes and quality, model risk validation pass rates (SS1/23), overdue L1 risk actions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Risk Committee (ERC) &amp; Board Risk Committee (BRC) (with direct access to BRC Chair SMF10)</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Third Line (Line 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Head of Internal Audit (SMF5)</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Independent Assurance &amp; Governance Health Metrics:</w:t>
            </w:r>
            <w:r w:rsidDel="00000000" w:rsidR="00000000" w:rsidRPr="00000000">
              <w:rPr>
                <w:rFonts w:ascii="Google Sans" w:cs="Google Sans" w:eastAsia="Google Sans" w:hAnsi="Google Sans"/>
                <w:color w:val="1f1f1f"/>
                <w:rtl w:val="0"/>
              </w:rPr>
              <w:t xml:space="preserve"> Annual audit plan completion %, distribution of audit ratings (Satisfactory / Needs Improvement / Unsatisfactory), volume of repeat or reopened audit findings, overdue high-priority audit issues, management self-identification ratio (% of issues identified by L1/L2 prior to L3 audit)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Board Audit Committee (BAC) (chaired by SMF11, with administrative link to CEO)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Protecht UK, </w:t>
      </w:r>
      <w:r w:rsidDel="00000000" w:rsidR="00000000" w:rsidRPr="00000000">
        <w:rPr>
          <w:rFonts w:ascii="Google Sans" w:cs="Google Sans" w:eastAsia="Google Sans" w:hAnsi="Google Sans"/>
          <w:i w:val="1"/>
          <w:iCs w:val="1"/>
          <w:color w:val="1f1f1f"/>
          <w:rtl w:val="0"/>
        </w:rPr>
        <w:t xml:space="preserve">The Three Lines Model: Internal Audit vs Risk Management</w:t>
      </w:r>
      <w:r w:rsidDel="00000000" w:rsidR="00000000" w:rsidRPr="00000000">
        <w:rPr>
          <w:rFonts w:ascii="Google Sans" w:cs="Google Sans" w:eastAsia="Google Sans" w:hAnsi="Google Sans"/>
          <w:color w:val="1f1f1f"/>
          <w:rtl w:val="0"/>
        </w:rPr>
        <w:t xml:space="preserve"> (2026); Centraleyes, </w:t>
      </w:r>
      <w:r w:rsidDel="00000000" w:rsidR="00000000" w:rsidRPr="00000000">
        <w:rPr>
          <w:rFonts w:ascii="Google Sans" w:cs="Google Sans" w:eastAsia="Google Sans" w:hAnsi="Google Sans"/>
          <w:i w:val="1"/>
          <w:iCs w:val="1"/>
          <w:color w:val="1f1f1f"/>
          <w:rtl w:val="0"/>
        </w:rPr>
        <w:t xml:space="preserve">6 Best Operational Risk Management Software Platforms in 2026</w:t>
      </w:r>
      <w:r w:rsidDel="00000000" w:rsidR="00000000" w:rsidRPr="00000000">
        <w:rPr>
          <w:rFonts w:ascii="Google Sans" w:cs="Google Sans" w:eastAsia="Google Sans" w:hAnsi="Google Sans"/>
          <w:color w:val="1f1f1f"/>
          <w:rtl w:val="0"/>
        </w:rPr>
        <w:t xml:space="preserve"> (2026), https://www.centraleyes.com/6-best-operational-risk-management-software-platforms-in-2026/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should track the "Self-Identification Ratio" (comparing issues logged proactively by Line 1 RCSA/Line 2 monitoring against issues discovered by Line 3 Audit or the regulator), giving the BRC an objective measure of first-line risk maturity.</w:t>
      </w:r>
    </w:p>
    <w:p w:rsidR="00000000" w:rsidDel="00000000" w:rsidP="00000000" w:rsidRDefault="00000000" w:rsidRPr="00000000" w14:paraId="000000E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E-GM-03: Regulatory Findings on Weak First-Line Ownership and Internal Audit in Fast-Growing Firms</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FCA and PRA supervisory reviews of fast-growing digital challengers and mid-tier lenders, a recurring enforcement theme is that rapid commercial scaling outstrips the maturity of the three lines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First, product and engineering teams in fast-growing challengers frequently abdicate first-line risk ownership to Compliance (Line 2), deploying new products (such as Coinbase Pro in the CB Payments case) or changing onboarding logic without Line 1 risk assessment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Second, second-line functions frequently become under-resourced and under-skilled relative to commercial expansion: in the Starling Bank Final Notice (02 October 2024, para 4.15), the FCA explicitly found that senior management lacked the required AML skills, experience, and awareness of the impact of a VREQ to design an adequate financial crime VREQ risk management framework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Similarly, in the Sonali Bank (Steven Smith, 2016) precedent cited alongside Starling, the FCA penalised an MLRO who failed to impress upon senior management how overstretched and under-resourced his department had become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Third, fast-growing firms over-rely on episodic external reviews instead of embedded continuous assurance: both Starling and Monzo relied on periodic third-party reviews (Monzo received a third-party review in late 2019 flagging transaction monitoring weaknesses; Starling discovered its 2017 screening bug only during a January 2023 second-line review) because continuous first-line control assurance and internal audit testing of system configurations were absent during the hyper-growth years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FCA, </w:t>
      </w:r>
      <w:r w:rsidDel="00000000" w:rsidR="00000000" w:rsidRPr="00000000">
        <w:rPr>
          <w:rFonts w:ascii="Google Sans" w:cs="Google Sans" w:eastAsia="Google Sans" w:hAnsi="Google Sans"/>
          <w:i w:val="1"/>
          <w:iCs w:val="1"/>
          <w:color w:val="1f1f1f"/>
          <w:rtl w:val="0"/>
        </w:rPr>
        <w:t xml:space="preserve">Final Notice: Starling Bank Limited</w:t>
      </w:r>
      <w:r w:rsidDel="00000000" w:rsidR="00000000" w:rsidRPr="00000000">
        <w:rPr>
          <w:rFonts w:ascii="Google Sans" w:cs="Google Sans" w:eastAsia="Google Sans" w:hAnsi="Google Sans"/>
          <w:color w:val="1f1f1f"/>
          <w:rtl w:val="0"/>
        </w:rPr>
        <w:t xml:space="preserve"> (02 October 2024); Stephenson Harwood, </w:t>
      </w:r>
      <w:r w:rsidDel="00000000" w:rsidR="00000000" w:rsidRPr="00000000">
        <w:rPr>
          <w:rFonts w:ascii="Google Sans" w:cs="Google Sans" w:eastAsia="Google Sans" w:hAnsi="Google Sans"/>
          <w:i w:val="1"/>
          <w:iCs w:val="1"/>
          <w:color w:val="1f1f1f"/>
          <w:rtl w:val="0"/>
        </w:rPr>
        <w:t xml:space="preserve">Starling Bank fined £29 million</w:t>
      </w:r>
      <w:r w:rsidDel="00000000" w:rsidR="00000000" w:rsidRPr="00000000">
        <w:rPr>
          <w:rFonts w:ascii="Google Sans" w:cs="Google Sans" w:eastAsia="Google Sans" w:hAnsi="Google Sans"/>
          <w:color w:val="1f1f1f"/>
          <w:rtl w:val="0"/>
        </w:rPr>
        <w:t xml:space="preserve"> (02 October 2024); Norton Rose Fulbright, </w:t>
      </w:r>
      <w:r w:rsidDel="00000000" w:rsidR="00000000" w:rsidRPr="00000000">
        <w:rPr>
          <w:rFonts w:ascii="Google Sans" w:cs="Google Sans" w:eastAsia="Google Sans" w:hAnsi="Google Sans"/>
          <w:i w:val="1"/>
          <w:iCs w:val="1"/>
          <w:color w:val="1f1f1f"/>
          <w:rtl w:val="0"/>
        </w:rPr>
        <w:t xml:space="preserve">Monzo Bank Limited Final Notice Summary</w:t>
      </w:r>
      <w:r w:rsidDel="00000000" w:rsidR="00000000" w:rsidRPr="00000000">
        <w:rPr>
          <w:rFonts w:ascii="Google Sans" w:cs="Google Sans" w:eastAsia="Google Sans" w:hAnsi="Google Sans"/>
          <w:color w:val="1f1f1f"/>
          <w:rtl w:val="0"/>
        </w:rPr>
        <w:t xml:space="preserve"> (07 July 2025)</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include a "Resource &amp; Capability Strain Indicator" for SMF16/SMF17/SMF4 views, correlating alert/onboarding growth against compliance headcount and logging formal resource escalation requests to the Board to protect SMFs under the Sonali Bank / Starling standard</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 — Conduct, culture and Consumer Duty</w:t>
      </w:r>
    </w:p>
    <w:p w:rsidR="00000000" w:rsidDel="00000000" w:rsidP="00000000" w:rsidRDefault="00000000" w:rsidRPr="00000000" w14:paraId="000000E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F-GM-01: Consumer Duty (PRIN 12 / PRIN 2A) Outcome Monitoring, Annual Board Reports, and Journey Ownership</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FCA's Consumer Duty (Principle 12: </w:t>
      </w:r>
      <w:r w:rsidDel="00000000" w:rsidR="00000000" w:rsidRPr="00000000">
        <w:rPr>
          <w:rFonts w:ascii="Google Sans" w:cs="Google Sans" w:eastAsia="Google Sans" w:hAnsi="Google Sans"/>
          <w:i w:val="1"/>
          <w:iCs w:val="1"/>
          <w:color w:val="1f1f1f"/>
          <w:rtl w:val="0"/>
        </w:rPr>
        <w:t xml:space="preserve">A firm must act to deliver good outcomes for retail customers</w:t>
      </w:r>
      <w:r w:rsidDel="00000000" w:rsidR="00000000" w:rsidRPr="00000000">
        <w:rPr>
          <w:rFonts w:ascii="Google Sans" w:cs="Google Sans" w:eastAsia="Google Sans" w:hAnsi="Google Sans"/>
          <w:color w:val="1f1f1f"/>
          <w:rtl w:val="0"/>
        </w:rPr>
        <w:t xml:space="preserve">, supported by cross-cutting rules and the four outcomes in PRIN 2A—</w:t>
      </w:r>
      <w:r w:rsidDel="00000000" w:rsidR="00000000" w:rsidRPr="00000000">
        <w:rPr>
          <w:rFonts w:ascii="Google Sans" w:cs="Google Sans" w:eastAsia="Google Sans" w:hAnsi="Google Sans"/>
          <w:b w:val="1"/>
          <w:bCs w:val="1"/>
          <w:color w:val="1f1f1f"/>
          <w:rtl w:val="0"/>
        </w:rPr>
        <w:t xml:space="preserve">Products and Services, Price and Value, Consumer Understanding, and Consumer Support</w:t>
      </w:r>
      <w:r w:rsidDel="00000000" w:rsidR="00000000" w:rsidRPr="00000000">
        <w:rPr>
          <w:rFonts w:ascii="Google Sans" w:cs="Google Sans" w:eastAsia="Google Sans" w:hAnsi="Google Sans"/>
          <w:color w:val="1f1f1f"/>
          <w:rtl w:val="0"/>
        </w:rPr>
        <w:t xml:space="preserve">) came into force for open products on 31 July 2023 and for closed products on 31 July 2024</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Under </w:t>
      </w:r>
      <w:r w:rsidDel="00000000" w:rsidR="00000000" w:rsidRPr="00000000">
        <w:rPr>
          <w:rFonts w:ascii="Google Sans" w:cs="Google Sans" w:eastAsia="Google Sans" w:hAnsi="Google Sans"/>
          <w:b w:val="1"/>
          <w:bCs w:val="1"/>
          <w:color w:val="1f1f1f"/>
          <w:rtl w:val="0"/>
        </w:rPr>
        <w:t xml:space="preserve">PRIN 2A.8.3R to 2A.8.5R</w:t>
      </w:r>
      <w:r w:rsidDel="00000000" w:rsidR="00000000" w:rsidRPr="00000000">
        <w:rPr>
          <w:rFonts w:ascii="Google Sans" w:cs="Google Sans" w:eastAsia="Google Sans" w:hAnsi="Google Sans"/>
          <w:color w:val="1f1f1f"/>
          <w:rtl w:val="0"/>
        </w:rPr>
        <w:t xml:space="preserve">, a firm's board (or equivalent governing body) must review and approve an </w:t>
      </w:r>
      <w:r w:rsidDel="00000000" w:rsidR="00000000" w:rsidRPr="00000000">
        <w:rPr>
          <w:rFonts w:ascii="Google Sans" w:cs="Google Sans" w:eastAsia="Google Sans" w:hAnsi="Google Sans"/>
          <w:b w:val="1"/>
          <w:bCs w:val="1"/>
          <w:color w:val="1f1f1f"/>
          <w:rtl w:val="0"/>
        </w:rPr>
        <w:t xml:space="preserve">Annual Consumer Duty Board Report</w:t>
      </w:r>
      <w:r w:rsidDel="00000000" w:rsidR="00000000" w:rsidRPr="00000000">
        <w:rPr>
          <w:rFonts w:ascii="Google Sans" w:cs="Google Sans" w:eastAsia="Google Sans" w:hAnsi="Google Sans"/>
          <w:color w:val="1f1f1f"/>
          <w:rtl w:val="0"/>
        </w:rPr>
        <w:t xml:space="preserve"> at least once a year assessing whether the firm is delivering good outcomes for retail customers, whether any groups of customers (particularly those with characteristics of vulnerability) are receiving worse outcomes, and agreeing the action plan and future business strategy adjustments required</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its cross-cutting reviews—including the </w:t>
      </w:r>
      <w:r w:rsidDel="00000000" w:rsidR="00000000" w:rsidRPr="00000000">
        <w:rPr>
          <w:rFonts w:ascii="Google Sans" w:cs="Google Sans" w:eastAsia="Google Sans" w:hAnsi="Google Sans"/>
          <w:i w:val="1"/>
          <w:iCs w:val="1"/>
          <w:color w:val="1f1f1f"/>
          <w:rtl w:val="0"/>
        </w:rPr>
        <w:t xml:space="preserve">Consumer Duty Board Reports: Good Practice and Areas for Improvement</w:t>
      </w:r>
      <w:r w:rsidDel="00000000" w:rsidR="00000000" w:rsidRPr="00000000">
        <w:rPr>
          <w:rFonts w:ascii="Google Sans" w:cs="Google Sans" w:eastAsia="Google Sans" w:hAnsi="Google Sans"/>
          <w:color w:val="1f1f1f"/>
          <w:rtl w:val="0"/>
        </w:rPr>
        <w:t xml:space="preserve"> (December 2024), </w:t>
      </w:r>
      <w:r w:rsidDel="00000000" w:rsidR="00000000" w:rsidRPr="00000000">
        <w:rPr>
          <w:rFonts w:ascii="Google Sans" w:cs="Google Sans" w:eastAsia="Google Sans" w:hAnsi="Google Sans"/>
          <w:i w:val="1"/>
          <w:iCs w:val="1"/>
          <w:color w:val="1f1f1f"/>
          <w:rtl w:val="0"/>
        </w:rPr>
        <w:t xml:space="preserve">Complaints and Root Cause Analysis</w:t>
      </w:r>
      <w:r w:rsidDel="00000000" w:rsidR="00000000" w:rsidRPr="00000000">
        <w:rPr>
          <w:rFonts w:ascii="Google Sans" w:cs="Google Sans" w:eastAsia="Google Sans" w:hAnsi="Google Sans"/>
          <w:color w:val="1f1f1f"/>
          <w:rtl w:val="0"/>
        </w:rPr>
        <w:t xml:space="preserve"> (December 2024), </w:t>
      </w:r>
      <w:r w:rsidDel="00000000" w:rsidR="00000000" w:rsidRPr="00000000">
        <w:rPr>
          <w:rFonts w:ascii="Google Sans" w:cs="Google Sans" w:eastAsia="Google Sans" w:hAnsi="Google Sans"/>
          <w:i w:val="1"/>
          <w:iCs w:val="1"/>
          <w:color w:val="1f1f1f"/>
          <w:rtl w:val="0"/>
        </w:rPr>
        <w:t xml:space="preserve">Payments Consumer Duty Multi-Firm Review</w:t>
      </w:r>
      <w:r w:rsidDel="00000000" w:rsidR="00000000" w:rsidRPr="00000000">
        <w:rPr>
          <w:rFonts w:ascii="Google Sans" w:cs="Google Sans" w:eastAsia="Google Sans" w:hAnsi="Google Sans"/>
          <w:color w:val="1f1f1f"/>
          <w:rtl w:val="0"/>
        </w:rPr>
        <w:t xml:space="preserve"> (2024/2025), and </w:t>
      </w:r>
      <w:r w:rsidDel="00000000" w:rsidR="00000000" w:rsidRPr="00000000">
        <w:rPr>
          <w:rFonts w:ascii="Google Sans" w:cs="Google Sans" w:eastAsia="Google Sans" w:hAnsi="Google Sans"/>
          <w:i w:val="1"/>
          <w:iCs w:val="1"/>
          <w:color w:val="1f1f1f"/>
          <w:rtl w:val="0"/>
        </w:rPr>
        <w:t xml:space="preserve">Consumer Duty Focus Areas 2025/26</w:t>
      </w:r>
      <w:r w:rsidDel="00000000" w:rsidR="00000000" w:rsidRPr="00000000">
        <w:rPr>
          <w:rFonts w:ascii="Google Sans" w:cs="Google Sans" w:eastAsia="Google Sans" w:hAnsi="Google Sans"/>
          <w:color w:val="1f1f1f"/>
          <w:rtl w:val="0"/>
        </w:rPr>
        <w:t xml:space="preserve"> (updated 07 May 2026 and 24 September 2026)—the FCA exposed sharp failings in how boards oversee the Duty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Poor-practice firms made minimal changes to their pre-Consumer Duty Board MI, failed to define statistical thresholds or clear qualitative tolerances for what constitutes a "good outcome", and could not identify outcome shortfalls across customer cohorts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Furthermore, in its September 2024 and 2025/26 fair value feedback, the FCA rejected firms that treated Fair Value Assessments purely as a competitor fee-benchmarking exercise ("charges are roughly in line with competitors"), demanding critical evaluation of total lifetime cost against actual benefits received, non-financial support quality, and policies to stop collecting fees when clients have not engaged with a service for an extended period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The regulator also criticised Board minutes that recorded generic satisfaction with progress in embedding the Duty while ignoring late delivery of key remediation actions raised in lower-level packs, or that failed to evidence active challenge by the Board and the Consumer Duty Champion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Conversely, good-practice firms restructured their outcomes monitoring and complaints root-cause analysis horizontally around end-to-end </w:t>
      </w:r>
      <w:r w:rsidDel="00000000" w:rsidR="00000000" w:rsidRPr="00000000">
        <w:rPr>
          <w:rFonts w:ascii="Google Sans" w:cs="Google Sans" w:eastAsia="Google Sans" w:hAnsi="Google Sans"/>
          <w:b w:val="1"/>
          <w:bCs w:val="1"/>
          <w:color w:val="1f1f1f"/>
          <w:rtl w:val="0"/>
        </w:rPr>
        <w:t xml:space="preserve">customer journeys</w:t>
      </w:r>
      <w:r w:rsidDel="00000000" w:rsidR="00000000" w:rsidRPr="00000000">
        <w:rPr>
          <w:rFonts w:ascii="Google Sans" w:cs="Google Sans" w:eastAsia="Google Sans" w:hAnsi="Google Sans"/>
          <w:color w:val="1f1f1f"/>
          <w:rtl w:val="0"/>
        </w:rPr>
        <w:t xml:space="preserve"> (such as borrowing in financial difficulty, bereavement support, student account onboarding, or mortgage maturity internal transfer) rather than product silos, linking internal SLAs and complaints data directly to journey owners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FCA, </w:t>
      </w:r>
      <w:r w:rsidDel="00000000" w:rsidR="00000000" w:rsidRPr="00000000">
        <w:rPr>
          <w:rFonts w:ascii="Google Sans" w:cs="Google Sans" w:eastAsia="Google Sans" w:hAnsi="Google Sans"/>
          <w:i w:val="1"/>
          <w:iCs w:val="1"/>
          <w:color w:val="1f1f1f"/>
          <w:rtl w:val="0"/>
        </w:rPr>
        <w:t xml:space="preserve">Payments Consumer Duty Multi-Firm Review</w:t>
      </w:r>
      <w:r w:rsidDel="00000000" w:rsidR="00000000" w:rsidRPr="00000000">
        <w:rPr>
          <w:rFonts w:ascii="Google Sans" w:cs="Google Sans" w:eastAsia="Google Sans" w:hAnsi="Google Sans"/>
          <w:color w:val="1f1f1f"/>
          <w:rtl w:val="0"/>
        </w:rPr>
        <w:t xml:space="preserve"> (2024/2025), https://www.fca.org.uk/publications/multi-firm-reviews/payments-consumer-duty; FCA, </w:t>
      </w:r>
      <w:r w:rsidDel="00000000" w:rsidR="00000000" w:rsidRPr="00000000">
        <w:rPr>
          <w:rFonts w:ascii="Google Sans" w:cs="Google Sans" w:eastAsia="Google Sans" w:hAnsi="Google Sans"/>
          <w:i w:val="1"/>
          <w:iCs w:val="1"/>
          <w:color w:val="1f1f1f"/>
          <w:rtl w:val="0"/>
        </w:rPr>
        <w:t xml:space="preserve">Our Consumer Duty Focus Areas</w:t>
      </w:r>
      <w:r w:rsidDel="00000000" w:rsidR="00000000" w:rsidRPr="00000000">
        <w:rPr>
          <w:rFonts w:ascii="Google Sans" w:cs="Google Sans" w:eastAsia="Google Sans" w:hAnsi="Google Sans"/>
          <w:color w:val="1f1f1f"/>
          <w:rtl w:val="0"/>
        </w:rPr>
        <w:t xml:space="preserve"> (updated 24 September 2026), https://www.fca.org.uk/publications/corporate-documents/consumer-duty-focus-areas; YCM UK, </w:t>
      </w:r>
      <w:r w:rsidDel="00000000" w:rsidR="00000000" w:rsidRPr="00000000">
        <w:rPr>
          <w:rFonts w:ascii="Google Sans" w:cs="Google Sans" w:eastAsia="Google Sans" w:hAnsi="Google Sans"/>
          <w:i w:val="1"/>
          <w:iCs w:val="1"/>
          <w:color w:val="1f1f1f"/>
          <w:rtl w:val="0"/>
        </w:rPr>
        <w:t xml:space="preserve">FCA priorities under the Consumer Duty for 2024/25</w:t>
      </w:r>
      <w:r w:rsidDel="00000000" w:rsidR="00000000" w:rsidRPr="00000000">
        <w:rPr>
          <w:rFonts w:ascii="Google Sans" w:cs="Google Sans" w:eastAsia="Google Sans" w:hAnsi="Google Sans"/>
          <w:color w:val="1f1f1f"/>
          <w:rtl w:val="0"/>
        </w:rPr>
        <w:t xml:space="preserve"> (citing FCA December 2024 Board Report review), https://www.ycmuk.co.uk/fca-priorities-under-the-consumer-duty-for-the-remainder-of-2024-25d11a23fa</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(journey mapping structure).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include a dedicated "Consumer Duty Outcomes &amp; Annual Board Report Studio" that maps KRIs and statistical tolerances to the Four Outcomes across horizontal customer journeys, segments outcomes for vulnerable cohorts, tracks fair-value engagement ratios, and logs Board / Consumer Duty Champion challenge minutes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F-GM-02: Measuring Conduct, Culture, Speak-Up Health, and Non-Financial Misconduct</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Measuring culture and conduct risk requires combining behavioural indicators with formal regulatory conduct rules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Between July 2025 and April 2026, the FCA expanded the scope of the Code of Conduct (COCON) and updated its regime on </w:t>
      </w:r>
      <w:r w:rsidDel="00000000" w:rsidR="00000000" w:rsidRPr="00000000">
        <w:rPr>
          <w:rFonts w:ascii="Google Sans" w:cs="Google Sans" w:eastAsia="Google Sans" w:hAnsi="Google Sans"/>
          <w:b w:val="1"/>
          <w:bCs w:val="1"/>
          <w:color w:val="1f1f1f"/>
          <w:rtl w:val="0"/>
        </w:rPr>
        <w:t xml:space="preserve">Non-Financial Misconduct (NFM)</w:t>
      </w:r>
      <w:r w:rsidDel="00000000" w:rsidR="00000000" w:rsidRPr="00000000">
        <w:rPr>
          <w:rFonts w:ascii="Google Sans" w:cs="Google Sans" w:eastAsia="Google Sans" w:hAnsi="Google Sans"/>
          <w:color w:val="1f1f1f"/>
          <w:rtl w:val="0"/>
        </w:rPr>
        <w:t xml:space="preserve"> (such as bullying, harassment, and discrimination), explicitly integrating NFM into Fitness and Propriety assessments and regulatory breach reporting</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Simultaneously, UK building societies and banks track colleague engagement and listening tools at board level (for example, Leeds Building Society tracking its "Your Voice" colleague engagement score at 8.4/10 with an 89% response rate across 1,653 respondents in June 2025, and Skipton Group deploying new colleague listening and gender parity metrics in 2025)</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panel draws a sharp distinction between what can be measured from automated data versus what requires human attestation and qualitative judgement. Automated data pipelines can reliably measure whistleblowing and speak-up channel volumes (tracked under SYSC 18 and overseen by the Whistleblowers' Champion, typically an independent NED), average time to investigate speak-up cases, colleague survey participation and psychological safety scores by business unit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HR grievance and NFM disciplinary rates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mandatory training or policy attestation completion rates, and </w:t>
      </w:r>
      <w:r w:rsidDel="00000000" w:rsidR="00000000" w:rsidRPr="00000000">
        <w:rPr>
          <w:rFonts w:ascii="Google Sans" w:cs="Google Sans" w:eastAsia="Google Sans" w:hAnsi="Google Sans"/>
          <w:b w:val="1"/>
          <w:bCs w:val="1"/>
          <w:color w:val="1f1f1f"/>
          <w:rtl w:val="0"/>
        </w:rPr>
        <w:t xml:space="preserve">information-flow and escalation health metrics</w:t>
      </w:r>
      <w:r w:rsidDel="00000000" w:rsidR="00000000" w:rsidRPr="00000000">
        <w:rPr>
          <w:rFonts w:ascii="Google Sans" w:cs="Google Sans" w:eastAsia="Google Sans" w:hAnsi="Google Sans"/>
          <w:color w:val="1f1f1f"/>
          <w:rtl w:val="0"/>
        </w:rPr>
        <w:t xml:space="preserve">—such as the average lag in days between an issue being logged in a working group and its escalation to the ERC/BRC, or the count of risk actions reassigned or dropped from committee minutes (the exact failure mode in the Metro Bank case)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By contrast, human attestation and qualitative board judgement are essential to interpret whether zero whistleblowing reports in a high-growth division reflects a healthy culture or a culture of fear, whether executive committee debates allow genuine psychological safety for Line 2 challenge, and whether commercial bonus structures (such as high variable pay schemes) are subtly blinding management to risks in the most profitable business lines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As operational risk expert Ariane Chapelle notes, the risks most likely to strike a firm severely are those occurring in the most profitable parts of the business, because high revenues and profits blind leadership to control weaknesses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Greenberg Traurig, </w:t>
      </w:r>
      <w:r w:rsidDel="00000000" w:rsidR="00000000" w:rsidRPr="00000000">
        <w:rPr>
          <w:rFonts w:ascii="Google Sans" w:cs="Google Sans" w:eastAsia="Google Sans" w:hAnsi="Google Sans"/>
          <w:i w:val="1"/>
          <w:iCs w:val="1"/>
          <w:color w:val="1f1f1f"/>
          <w:rtl w:val="0"/>
        </w:rPr>
        <w:t xml:space="preserve">Non-Financial Misconduct Under the UK FCA's New Regime</w:t>
      </w:r>
      <w:r w:rsidDel="00000000" w:rsidR="00000000" w:rsidRPr="00000000">
        <w:rPr>
          <w:rFonts w:ascii="Google Sans" w:cs="Google Sans" w:eastAsia="Google Sans" w:hAnsi="Google Sans"/>
          <w:color w:val="1f1f1f"/>
          <w:rtl w:val="0"/>
        </w:rPr>
        <w:t xml:space="preserve"> (17 April 2026 &amp; 14 July 2025), https://www.gtlaw-londonlawblog.com/2024/10/uk-enforcement-agencies-crack-down-on-financial-crime-control-failures-sanctions-violations/; Risk.net, </w:t>
      </w:r>
      <w:r w:rsidDel="00000000" w:rsidR="00000000" w:rsidRPr="00000000">
        <w:rPr>
          <w:rFonts w:ascii="Google Sans" w:cs="Google Sans" w:eastAsia="Google Sans" w:hAnsi="Google Sans"/>
          <w:i w:val="1"/>
          <w:iCs w:val="1"/>
          <w:color w:val="1f1f1f"/>
          <w:rtl w:val="0"/>
        </w:rPr>
        <w:t xml:space="preserve">Identifying and managing emerging operational risks</w:t>
      </w:r>
      <w:r w:rsidDel="00000000" w:rsidR="00000000" w:rsidRPr="00000000">
        <w:rPr>
          <w:rFonts w:ascii="Google Sans" w:cs="Google Sans" w:eastAsia="Google Sans" w:hAnsi="Google Sans"/>
          <w:color w:val="1f1f1f"/>
          <w:rtl w:val="0"/>
        </w:rPr>
        <w:t xml:space="preserve"> (citing Ariane Chapelle), https://www.risk.net/risk-management/operational-risk/2393632/identifying-and-managing-emerging-operational-risks; FCA Final Notice to Metro Bank (12 November 2024)</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[inference].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compute an automated "Escalation Health &amp; Information-Flow Index" per business unit (measuring issue-to-escalation latency, action reassignment frequency, and overdue challenges) so the Board can detect cultural suppression of bad news quantitatively</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 — Policy-to-metric linkage and metric tension</w:t>
      </w:r>
    </w:p>
    <w:p w:rsidR="00000000" w:rsidDel="00000000" w:rsidP="00000000" w:rsidRDefault="00000000" w:rsidRPr="00000000" w14:paraId="000000F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G-GM-01: Evidencing Policy-to-Metric Linkage and Regulatory Findings on Untracked Policies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compliant UK risk architecture, every internal policy (and every external regulatory requirement or VREQ) must be mapped to at least one operational control (tested via RCSA/KCI) and one outcome metric (KRI)</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policies exist only as prose PDF documents on an intranet without mapped metrics or controls, systemic breaches occur undetected for years, as demonstrated in recent supervisory and enforcement actions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In the Monzo Bank Final Notice (07 July 2025), Monzo's Enhanced Due Diligence (EDD) procedure did not clearly specify when EDD was required or how it should be documented, politically exposed persons (PEPs) were not clearly defined, and customers were permitted to transact </w:t>
      </w:r>
      <w:r w:rsidDel="00000000" w:rsidR="00000000" w:rsidRPr="00000000">
        <w:rPr>
          <w:rFonts w:ascii="Google Sans" w:cs="Google Sans" w:eastAsia="Google Sans" w:hAnsi="Google Sans"/>
          <w:i w:val="1"/>
          <w:iCs w:val="1"/>
          <w:color w:val="1f1f1f"/>
          <w:rtl w:val="0"/>
        </w:rPr>
        <w:t xml:space="preserve">prior</w:t>
      </w:r>
      <w:r w:rsidDel="00000000" w:rsidR="00000000" w:rsidRPr="00000000">
        <w:rPr>
          <w:rFonts w:ascii="Google Sans" w:cs="Google Sans" w:eastAsia="Google Sans" w:hAnsi="Google Sans"/>
          <w:color w:val="1f1f1f"/>
          <w:rtl w:val="0"/>
        </w:rPr>
        <w:t xml:space="preserve"> to the completion of due diligence checks because policy rules were not enforced by hard system gates or tracked by adherence metrics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In the CB Payments Limited Final Notice (23 July 2024), the automated flag meant to stop restricted high-risk customers was coded from an </w:t>
      </w:r>
      <w:r w:rsidDel="00000000" w:rsidR="00000000" w:rsidRPr="00000000">
        <w:rPr>
          <w:rFonts w:ascii="Google Sans" w:cs="Google Sans" w:eastAsia="Google Sans" w:hAnsi="Google Sans"/>
          <w:i w:val="1"/>
          <w:iCs w:val="1"/>
          <w:color w:val="1f1f1f"/>
          <w:rtl w:val="0"/>
        </w:rPr>
        <w:t xml:space="preserve">earlier draft</w:t>
      </w:r>
      <w:r w:rsidDel="00000000" w:rsidR="00000000" w:rsidRPr="00000000">
        <w:rPr>
          <w:rFonts w:ascii="Google Sans" w:cs="Google Sans" w:eastAsia="Google Sans" w:hAnsi="Google Sans"/>
          <w:color w:val="1f1f1f"/>
          <w:rtl w:val="0"/>
        </w:rPr>
        <w:t xml:space="preserve"> of the VREQ requirements rather than the final policy text, leaving four risk-indicating questions unmapped; furthermore, dashboards tracked only whether the flag fired, not the policy outcome of whether restricted customers were accessing services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Similarly, in its 2025 Annual Report, Skipton Group's Board disclosed taking deliberate steps in 2025 to strengthen infrastructure at its subsidiary Skipton International Limited (SIL) in response to historic issues with the book of business and with SIL's policies, procedures, and overall risk management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LearnSignal, </w:t>
      </w:r>
      <w:r w:rsidDel="00000000" w:rsidR="00000000" w:rsidRPr="00000000">
        <w:rPr>
          <w:rFonts w:ascii="Google Sans" w:cs="Google Sans" w:eastAsia="Google Sans" w:hAnsi="Google Sans"/>
          <w:i w:val="1"/>
          <w:iCs w:val="1"/>
          <w:color w:val="1f1f1f"/>
          <w:rtl w:val="0"/>
        </w:rPr>
        <w:t xml:space="preserve">CB Payments FCA Fine Guide</w:t>
      </w:r>
      <w:r w:rsidDel="00000000" w:rsidR="00000000" w:rsidRPr="00000000">
        <w:rPr>
          <w:rFonts w:ascii="Google Sans" w:cs="Google Sans" w:eastAsia="Google Sans" w:hAnsi="Google Sans"/>
          <w:color w:val="1f1f1f"/>
          <w:rtl w:val="0"/>
        </w:rPr>
        <w:t xml:space="preserve"> (22 October 2026); Norton Rose Fulbright, </w:t>
      </w:r>
      <w:r w:rsidDel="00000000" w:rsidR="00000000" w:rsidRPr="00000000">
        <w:rPr>
          <w:rFonts w:ascii="Google Sans" w:cs="Google Sans" w:eastAsia="Google Sans" w:hAnsi="Google Sans"/>
          <w:i w:val="1"/>
          <w:iCs w:val="1"/>
          <w:color w:val="1f1f1f"/>
          <w:rtl w:val="0"/>
        </w:rPr>
        <w:t xml:space="preserve">Monzo Bank Limited Final Notice Summary</w:t>
      </w:r>
      <w:r w:rsidDel="00000000" w:rsidR="00000000" w:rsidRPr="00000000">
        <w:rPr>
          <w:rFonts w:ascii="Google Sans" w:cs="Google Sans" w:eastAsia="Google Sans" w:hAnsi="Google Sans"/>
          <w:color w:val="1f1f1f"/>
          <w:rtl w:val="0"/>
        </w:rPr>
        <w:t xml:space="preserve"> (07 July 2025); Skipton Group, </w:t>
      </w:r>
      <w:r w:rsidDel="00000000" w:rsidR="00000000" w:rsidRPr="00000000">
        <w:rPr>
          <w:rFonts w:ascii="Google Sans" w:cs="Google Sans" w:eastAsia="Google Sans" w:hAnsi="Google Sans"/>
          <w:i w:val="1"/>
          <w:iCs w:val="1"/>
          <w:color w:val="1f1f1f"/>
          <w:rtl w:val="0"/>
        </w:rPr>
        <w:t xml:space="preserve">Annual Report &amp; Accounts 2025</w:t>
      </w:r>
      <w:r w:rsidDel="00000000" w:rsidR="00000000" w:rsidRPr="00000000">
        <w:rPr>
          <w:rFonts w:ascii="Google Sans" w:cs="Google Sans" w:eastAsia="Google Sans" w:hAnsi="Google Sans"/>
          <w:color w:val="1f1f1f"/>
          <w:rtl w:val="0"/>
        </w:rPr>
        <w:t xml:space="preserve"> (February 2026)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must enforce "Zero Orphan Policies": a policy or VREQ clause cannot be marked "Active" in the system unless each operative obligation is linked to a live control ID and a quantitative adherence metric, with automated alerts whenever policy text is updated without a corresponding control re-test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G-GM-02: Managing Deliberate Metric Tensions and Conflicting Appetites</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deposit-taker operates with inherent, structural tensions between competing strategic and risk appetites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panel highlights the four most acute metric tensions in UK mid-tier banking. First, commercial onboarding velocity directly conflicts with financial crime and VREQ friction: a first-line growth target to onboard 1 million current accounts or approve digital mortgages in under 11 days creates strain against strict EDD, PEP, and VREQ high-risk customer screening controls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When Starling and Monzo prioritised frictionless digital onboarding without commensurate financial crime controls, they breached their VREQs tens of thousands of times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conversely, if an MLRO sets an uncalibrated rule that blocks all complex SME structures, legitimate growth halts. Second, first-time buyer and specialist lending growth conflicts with credit concentration appetite: supporting first-time buyers via 95%–100% LTV products or 6x LTI mortgages (as at Skipton, Leeds, and Nationwide) increases high-LTV concentration risk, requiring compensating controls such as boosted Experian credit scoring, automated income verification, or tighter affordability stress rates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Third, member savings value conflicts with Net Interest Margin (NIM) and capital generation: mutuals like Nationwide, Leeds, and Skipton commit to paying above-market savings rates (£2.3 billion sector-wide extra interest in 2024; Leeds paying +0.90% above market in 2025), which directly compresses NIM and retained profit needed for CET1 capital generation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Fourth, Consumer Duty vulnerability data capture conflicts with UK GDPR data minimisation: as the FCA and ICO explicitly acknowledged in their joint statement referenced in the FCA's </w:t>
      </w:r>
      <w:r w:rsidDel="00000000" w:rsidR="00000000" w:rsidRPr="00000000">
        <w:rPr>
          <w:rFonts w:ascii="Google Sans" w:cs="Google Sans" w:eastAsia="Google Sans" w:hAnsi="Google Sans"/>
          <w:i w:val="1"/>
          <w:iCs w:val="1"/>
          <w:color w:val="1f1f1f"/>
          <w:rtl w:val="0"/>
        </w:rPr>
        <w:t xml:space="preserve">2025/26 Consumer Duty Focus Areas</w:t>
      </w:r>
      <w:r w:rsidDel="00000000" w:rsidR="00000000" w:rsidRPr="00000000">
        <w:rPr>
          <w:rFonts w:ascii="Google Sans" w:cs="Google Sans" w:eastAsia="Google Sans" w:hAnsi="Google Sans"/>
          <w:color w:val="1f1f1f"/>
          <w:rtl w:val="0"/>
        </w:rPr>
        <w:t xml:space="preserve">, firms struggle to balance the Consumer Duty expectation to proactively identify and record customer vulnerability characteristics against UK GDPR data protection and privacy constraints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legacy GRC platforms (such as Archer or OpenPages) track metrics in isolated vertical silos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leading UK practice (supported by GARP and Protecht methodology on "Risk Appetite Driven Decision Making" and evolving from "siloed risk-type thresholds") manages metric tension through </w:t>
      </w:r>
      <w:r w:rsidDel="00000000" w:rsidR="00000000" w:rsidRPr="00000000">
        <w:rPr>
          <w:rFonts w:ascii="Google Sans" w:cs="Google Sans" w:eastAsia="Google Sans" w:hAnsi="Google Sans"/>
          <w:b w:val="1"/>
          <w:bCs w:val="1"/>
          <w:color w:val="1f1f1f"/>
          <w:rtl w:val="0"/>
        </w:rPr>
        <w:t xml:space="preserve">paired constraint matrices (or "guardrail pairs")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Under this method, a growth KPI (such as </w:t>
      </w:r>
      <w:r w:rsidDel="00000000" w:rsidR="00000000" w:rsidRPr="00000000">
        <w:rPr>
          <w:rFonts w:ascii="Google Sans" w:cs="Google Sans" w:eastAsia="Google Sans" w:hAnsi="Google Sans"/>
          <w:i w:val="1"/>
          <w:iCs w:val="1"/>
          <w:color w:val="1f1f1f"/>
          <w:rtl w:val="0"/>
        </w:rPr>
        <w:t xml:space="preserve">Mortgage Offer Turnaround Time</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Digital Account Conversion Rate</w:t>
      </w:r>
      <w:r w:rsidDel="00000000" w:rsidR="00000000" w:rsidRPr="00000000">
        <w:rPr>
          <w:rFonts w:ascii="Google Sans" w:cs="Google Sans" w:eastAsia="Google Sans" w:hAnsi="Google Sans"/>
          <w:color w:val="1f1f1f"/>
          <w:rtl w:val="0"/>
        </w:rPr>
        <w:t xml:space="preserve">) is formally paired in the governance database with its counter-balancing risk KRI (such as </w:t>
      </w:r>
      <w:r w:rsidDel="00000000" w:rsidR="00000000" w:rsidRPr="00000000">
        <w:rPr>
          <w:rFonts w:ascii="Google Sans" w:cs="Google Sans" w:eastAsia="Google Sans" w:hAnsi="Google Sans"/>
          <w:i w:val="1"/>
          <w:iCs w:val="1"/>
          <w:color w:val="1f1f1f"/>
          <w:rtl w:val="0"/>
        </w:rPr>
        <w:t xml:space="preserve">EDD Pre-Transaction Completion %</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i w:val="1"/>
          <w:iCs w:val="1"/>
          <w:color w:val="1f1f1f"/>
          <w:rtl w:val="0"/>
        </w:rPr>
        <w:t xml:space="preserve">Early Arrears Rate</w:t>
      </w:r>
      <w:r w:rsidDel="00000000" w:rsidR="00000000" w:rsidRPr="00000000">
        <w:rPr>
          <w:rFonts w:ascii="Google Sans" w:cs="Google Sans" w:eastAsia="Google Sans" w:hAnsi="Google Sans"/>
          <w:color w:val="1f1f1f"/>
          <w:rtl w:val="0"/>
        </w:rPr>
        <w:t xml:space="preserve">). A first-line owner is only permitted to optimise the primary metric provided the paired guardrail metric remains in its Green zone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Tension Pair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Strategic / Growth Metric (Accelerator)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Paired Risk Appetite Guardrail Metric (Brake)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Compensating Control / Resolution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 Onboarding vs FinCrime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account opening velocity &amp; conversion rate (e.g., &gt;1m accounts/yr; 84% BTL conversion)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of accounts transacting pre-CDD; VREQ high-risk onboarding breach count (Target: 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 automated system gate blocking transaction activation until CDD/EDD flag clears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FTB Growth vs Credit 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 of new lending to First-Time Buyers (e.g., 50% at Skipton) &amp; high-LTV (&gt;90%) volume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arrears migration rate &amp; Portfolio Cost of Risk (e.g., 11 bps at Nationwide; 51 bps at Shawbrook)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Valuation Models (AVMs), open-banking income verification, and boosted credit scoring</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 Member Pricing vs Capital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Savings interest rate premium paid above market average (e.g., +0.90% at Leeds BS; £2.3bn sector-wide)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Net Interest Margin (NIM) floor &amp; CET1 / Leverage ratio internal buffers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Structural hedging and dynamic ALCO margin reallocation between mortgage pricing and deposit tiers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 Vulnerability vs Privacy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of vulnerable customer cohort identified and provided tailored Consumer Duty support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UK GDPR data minimisation compliance &amp; explicit consent audit pass rate</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Joint FCA/ICO compliant necessity protocols recording support needs rather intrusive raw medical data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GARP / Protecht Group, </w:t>
      </w:r>
      <w:r w:rsidDel="00000000" w:rsidR="00000000" w:rsidRPr="00000000">
        <w:rPr>
          <w:rFonts w:ascii="Google Sans" w:cs="Google Sans" w:eastAsia="Google Sans" w:hAnsi="Google Sans"/>
          <w:i w:val="1"/>
          <w:iCs w:val="1"/>
          <w:color w:val="1f1f1f"/>
          <w:rtl w:val="0"/>
        </w:rPr>
        <w:t xml:space="preserve">Risk Insights: Risk appetite statements must evolve from siloed risk-type thresholds</w:t>
      </w:r>
      <w:r w:rsidDel="00000000" w:rsidR="00000000" w:rsidRPr="00000000">
        <w:rPr>
          <w:rFonts w:ascii="Google Sans" w:cs="Google Sans" w:eastAsia="Google Sans" w:hAnsi="Google Sans"/>
          <w:color w:val="1f1f1f"/>
          <w:rtl w:val="0"/>
        </w:rPr>
        <w:t xml:space="preserve"> (October 2026), https://www.garp.org/risk-insights-resources; FCA, </w:t>
      </w:r>
      <w:r w:rsidDel="00000000" w:rsidR="00000000" w:rsidRPr="00000000">
        <w:rPr>
          <w:rFonts w:ascii="Google Sans" w:cs="Google Sans" w:eastAsia="Google Sans" w:hAnsi="Google Sans"/>
          <w:i w:val="1"/>
          <w:iCs w:val="1"/>
          <w:color w:val="1f1f1f"/>
          <w:rtl w:val="0"/>
        </w:rPr>
        <w:t xml:space="preserve">Our Consumer Duty Focus Areas</w:t>
      </w:r>
      <w:r w:rsidDel="00000000" w:rsidR="00000000" w:rsidRPr="00000000">
        <w:rPr>
          <w:rFonts w:ascii="Google Sans" w:cs="Google Sans" w:eastAsia="Google Sans" w:hAnsi="Google Sans"/>
          <w:color w:val="1f1f1f"/>
          <w:rtl w:val="0"/>
        </w:rPr>
        <w:t xml:space="preserve"> (joint FCA/ICO statement on vulnerability vs data protection) (24 September 2026); Leeds Building Society </w:t>
      </w:r>
      <w:r w:rsidDel="00000000" w:rsidR="00000000" w:rsidRPr="00000000">
        <w:rPr>
          <w:rFonts w:ascii="Google Sans" w:cs="Google Sans" w:eastAsia="Google Sans" w:hAnsi="Google Sans"/>
          <w:i w:val="1"/>
          <w:iCs w:val="1"/>
          <w:color w:val="1f1f1f"/>
          <w:rtl w:val="0"/>
        </w:rPr>
        <w:t xml:space="preserve">Annual Report 2025</w:t>
      </w:r>
      <w:r w:rsidDel="00000000" w:rsidR="00000000" w:rsidRPr="00000000">
        <w:rPr>
          <w:rFonts w:ascii="Google Sans" w:cs="Google Sans" w:eastAsia="Google Sans" w:hAnsi="Google Sans"/>
          <w:color w:val="1f1f1f"/>
          <w:rtl w:val="0"/>
        </w:rPr>
        <w:t xml:space="preserve"> (06 March 2026)</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[inference].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Differentiator feature: build a "Metric Tension &amp; Trade-Off Matrix" that visually pairs commercial growth KPIs with their constraining risk KRIs (such as Onboarding Speed vs EDD Completeness; FTB High-LTV Share vs Cost of Risk), highlighting when a policy rule or threshold adjustment in one domain pushes a paired domain into Amber.</w:t>
      </w:r>
    </w:p>
    <w:p w:rsidR="00000000" w:rsidDel="00000000" w:rsidP="00000000" w:rsidRDefault="00000000" w:rsidRPr="00000000" w14:paraId="0000011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 — Enforcement case studies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Recent UK enforcement actions between 2024 and 2026 provide an empirical forensic laboratory showing where bank risk frameworks break in practice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Across every case, the failure was not the absence of a high-level board risk appetite statement; rather, the failure occurred in the </w:t>
      </w:r>
      <w:r w:rsidDel="00000000" w:rsidR="00000000" w:rsidRPr="00000000">
        <w:rPr>
          <w:rFonts w:ascii="Google Sans" w:cs="Google Sans" w:eastAsia="Google Sans" w:hAnsi="Google Sans"/>
          <w:i w:val="1"/>
          <w:iCs w:val="1"/>
          <w:color w:val="1f1f1f"/>
          <w:rtl w:val="0"/>
        </w:rPr>
        <w:t xml:space="preserve">translation</w:t>
      </w:r>
      <w:r w:rsidDel="00000000" w:rsidR="00000000" w:rsidRPr="00000000">
        <w:rPr>
          <w:rFonts w:ascii="Google Sans" w:cs="Google Sans" w:eastAsia="Google Sans" w:hAnsi="Google Sans"/>
          <w:color w:val="1f1f1f"/>
          <w:rtl w:val="0"/>
        </w:rPr>
        <w:t xml:space="preserve"> of requirements into system logic, data-feed reconciliations, horizontal ownership, and escalation governance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105650"/>
            <wp:effectExtent b="0" l="0" r="0" t="0"/>
            <wp:docPr id="1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905500" cy="710565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H-GM-01: Comparative Forensic Analysis of UK Enforcement Cases (2021–2025)</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table below synthesises the specific failures, framework breakdowns, policy tracking gaps, and missed leading indicators across recent FCA enforcement actions against UK deposit-takers and payment institutions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Firm &amp; Date of Final Notice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Penalty &amp; Rules Breached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What Failed (Factual Summary)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Framework Layer(s) That Failed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Was Policy Adherence Tracked?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Leading Indicator That Would Have Shown the Problem Early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Starling Bank Limited</w:t>
            </w:r>
            <w:r w:rsidDel="00000000" w:rsidR="00000000" w:rsidRPr="00000000">
              <w:rPr>
                <w:rFonts w:ascii="Google Sans" w:cs="Google Sans" w:eastAsia="Google Sans" w:hAnsi="Google Sans"/>
                <w:color w:val="1f1f1f"/>
                <w:rtl w:val="0"/>
              </w:rPr>
              <w:t xml:space="preserve"> (02 October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£28,959,426</w:t>
            </w:r>
            <w:r w:rsidDel="00000000" w:rsidR="00000000" w:rsidRPr="00000000">
              <w:rPr>
                <w:rFonts w:ascii="Google Sans" w:cs="Google Sans" w:eastAsia="Google Sans" w:hAnsi="Google Sans"/>
                <w:color w:val="1f1f1f"/>
                <w:rtl w:val="0"/>
              </w:rPr>
              <w:t xml:space="preserve"> (£40,959,426 pre-30% discount). Principle 3 &amp; VREQ contravention (s.55L / s.204A FSMA)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Grew from 43k customers (2017) to 3.6m (2023) without scaling FinCrime controls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Accepted VREQ on 17 Sept 2021 not to open accounts for high-risk customers, but opened </w:t>
            </w:r>
            <w:r w:rsidDel="00000000" w:rsidR="00000000" w:rsidRPr="00000000">
              <w:rPr>
                <w:rFonts w:ascii="Google Sans" w:cs="Google Sans" w:eastAsia="Google Sans" w:hAnsi="Google Sans"/>
                <w:b w:val="1"/>
                <w:bCs w:val="1"/>
                <w:color w:val="1f1f1f"/>
                <w:rtl w:val="0"/>
              </w:rPr>
              <w:t xml:space="preserve">54,359 accounts for 49,183 high-risk customers</w:t>
            </w:r>
            <w:r w:rsidDel="00000000" w:rsidR="00000000" w:rsidRPr="00000000">
              <w:rPr>
                <w:rFonts w:ascii="Google Sans" w:cs="Google Sans" w:eastAsia="Google Sans" w:hAnsi="Google Sans"/>
                <w:color w:val="1f1f1f"/>
                <w:rtl w:val="0"/>
              </w:rPr>
              <w:t xml:space="preserve"> (Sept 2021–Nov 2023), including 294 previously exited customers, earning ~£900k in interest/fees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Separately, from 20 July 2017 to 30 Jan 2023, automated customer screening checked only UK citizens/residents (</w:t>
            </w:r>
            <w:r w:rsidDel="00000000" w:rsidR="00000000" w:rsidRPr="00000000">
              <w:rPr>
                <w:rFonts w:ascii="Google Sans" w:cs="Google Sans" w:eastAsia="Google Sans" w:hAnsi="Google Sans"/>
                <w:b w:val="1"/>
                <w:bCs w:val="1"/>
                <w:color w:val="1f1f1f"/>
                <w:rtl w:val="0"/>
              </w:rPr>
              <w:t xml:space="preserve">39 of 3,088 designated persons</w:t>
            </w:r>
            <w:r w:rsidDel="00000000" w:rsidR="00000000" w:rsidRPr="00000000">
              <w:rPr>
                <w:rFonts w:ascii="Google Sans" w:cs="Google Sans" w:eastAsia="Google Sans" w:hAnsi="Google Sans"/>
                <w:color w:val="1f1f1f"/>
                <w:rtl w:val="0"/>
              </w:rPr>
              <w:t xml:space="preserve">), screened only every 14 days post-onboarding, and used a customer tool for payments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Strategy vs Appetite Alignment</w:t>
            </w:r>
            <w:r w:rsidDel="00000000" w:rsidR="00000000" w:rsidRPr="00000000">
              <w:rPr>
                <w:rFonts w:ascii="Google Sans" w:cs="Google Sans" w:eastAsia="Google Sans" w:hAnsi="Google Sans"/>
                <w:color w:val="1f1f1f"/>
                <w:rtl w:val="0"/>
              </w:rPr>
              <w:t xml:space="preserve"> (hyper-growth outran controls); </w:t>
            </w:r>
            <w:r w:rsidDel="00000000" w:rsidR="00000000" w:rsidRPr="00000000">
              <w:rPr>
                <w:rFonts w:ascii="Google Sans" w:cs="Google Sans" w:eastAsia="Google Sans" w:hAnsi="Google Sans"/>
                <w:b w:val="1"/>
                <w:bCs w:val="1"/>
                <w:color w:val="1f1f1f"/>
                <w:rtl w:val="0"/>
              </w:rPr>
              <w:t xml:space="preserve">Control Design &amp; IT Configuration</w:t>
            </w:r>
            <w:r w:rsidDel="00000000" w:rsidR="00000000" w:rsidRPr="00000000">
              <w:rPr>
                <w:rFonts w:ascii="Google Sans" w:cs="Google Sans" w:eastAsia="Google Sans" w:hAnsi="Google Sans"/>
                <w:color w:val="1f1f1f"/>
                <w:rtl w:val="0"/>
              </w:rPr>
              <w:t xml:space="preserve"> (2017 residency filter); </w:t>
            </w:r>
            <w:r w:rsidDel="00000000" w:rsidR="00000000" w:rsidRPr="00000000">
              <w:rPr>
                <w:rFonts w:ascii="Google Sans" w:cs="Google Sans" w:eastAsia="Google Sans" w:hAnsi="Google Sans"/>
                <w:b w:val="1"/>
                <w:bCs w:val="1"/>
                <w:color w:val="1f1f1f"/>
                <w:rtl w:val="0"/>
              </w:rPr>
              <w:t xml:space="preserve">Ownership &amp; Capability</w:t>
            </w:r>
            <w:r w:rsidDel="00000000" w:rsidR="00000000" w:rsidRPr="00000000">
              <w:rPr>
                <w:rFonts w:ascii="Google Sans" w:cs="Google Sans" w:eastAsia="Google Sans" w:hAnsi="Google Sans"/>
                <w:color w:val="1f1f1f"/>
                <w:rtl w:val="0"/>
              </w:rPr>
              <w:t xml:space="preserve"> (senior management lacked AML skills and VREQ oversight)</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No effective control assurance activity tracked VREQ compliance until late in the period (April 2024 was the first month with zero high-risk VREQ breaches), and no testing verified sanctions list coverage until Jan 2023</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w:t>
            </w:r>
            <w:r w:rsidDel="00000000" w:rsidR="00000000" w:rsidRPr="00000000">
              <w:rPr>
                <w:rFonts w:ascii="Google Sans" w:cs="Google Sans" w:eastAsia="Google Sans" w:hAnsi="Google Sans"/>
                <w:color w:val="1f1f1f"/>
                <w:rtl w:val="0"/>
              </w:rPr>
              <w:t xml:space="preserve"> Sanctions Alert Volume Anomaly KRI (system generated </w:t>
            </w:r>
            <w:r w:rsidDel="00000000" w:rsidR="00000000" w:rsidRPr="00000000">
              <w:rPr>
                <w:rFonts w:ascii="Google Sans" w:cs="Google Sans" w:eastAsia="Google Sans" w:hAnsi="Google Sans"/>
                <w:i w:val="1"/>
                <w:iCs w:val="1"/>
                <w:color w:val="1f1f1f"/>
                <w:rtl w:val="0"/>
              </w:rPr>
              <w:t xml:space="preserve">zero</w:t>
            </w:r>
            <w:r w:rsidDel="00000000" w:rsidR="00000000" w:rsidRPr="00000000">
              <w:rPr>
                <w:rFonts w:ascii="Google Sans" w:cs="Google Sans" w:eastAsia="Google Sans" w:hAnsi="Google Sans"/>
                <w:color w:val="1f1f1f"/>
                <w:rtl w:val="0"/>
              </w:rPr>
              <w:t xml:space="preserve"> individual sanctions alerts between 1 July 2022 and 30 Jan 2023)</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w:t>
            </w:r>
            <w:r w:rsidDel="00000000" w:rsidR="00000000" w:rsidRPr="00000000">
              <w:rPr>
                <w:rFonts w:ascii="Google Sans" w:cs="Google Sans" w:eastAsia="Google Sans" w:hAnsi="Google Sans"/>
                <w:color w:val="1f1f1f"/>
                <w:rtl w:val="0"/>
              </w:rPr>
              <w:t xml:space="preserve"> Automated reconciliation comparing Consolidated List count (3,088) against active system rule records (39)</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FCA Final Notice: </w:t>
            </w:r>
            <w:r w:rsidDel="00000000" w:rsidR="00000000" w:rsidRPr="00000000">
              <w:rPr>
                <w:rFonts w:ascii="Google Sans" w:cs="Google Sans" w:eastAsia="Google Sans" w:hAnsi="Google Sans"/>
                <w:i w:val="1"/>
                <w:iCs w:val="1"/>
                <w:color w:val="1f1f1f"/>
                <w:rtl w:val="0"/>
              </w:rPr>
              <w:t xml:space="preserve">Starling Bank Limited</w:t>
            </w:r>
            <w:r w:rsidDel="00000000" w:rsidR="00000000" w:rsidRPr="00000000">
              <w:rPr>
                <w:rFonts w:ascii="Google Sans" w:cs="Google Sans" w:eastAsia="Google Sans" w:hAnsi="Google Sans"/>
                <w:color w:val="1f1f1f"/>
                <w:rtl w:val="0"/>
              </w:rPr>
              <w:t xml:space="preserve"> (02 October 2024), https://www.fca.org.uk/publication/final-notices/starling-bank-limited-2024.pdf</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Monzo Bank Limited</w:t>
            </w:r>
            <w:r w:rsidDel="00000000" w:rsidR="00000000" w:rsidRPr="00000000">
              <w:rPr>
                <w:rFonts w:ascii="Google Sans" w:cs="Google Sans" w:eastAsia="Google Sans" w:hAnsi="Google Sans"/>
                <w:color w:val="1f1f1f"/>
                <w:rtl w:val="0"/>
              </w:rPr>
              <w:t xml:space="preserve"> (07 July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£21,091,300</w:t>
            </w:r>
            <w:r w:rsidDel="00000000" w:rsidR="00000000" w:rsidRPr="00000000">
              <w:rPr>
                <w:rFonts w:ascii="Google Sans" w:cs="Google Sans" w:eastAsia="Google Sans" w:hAnsi="Google Sans"/>
                <w:color w:val="1f1f1f"/>
                <w:rtl w:val="0"/>
              </w:rPr>
              <w:t xml:space="preserve"> (after 30% discount; includes £10.0m deterrence uplift on £805,250 post-VREQ figure). Principle 3 &amp; VREQ breach</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Inadequate financial crime framework between 01 Oct 2018 and 04 Aug 2020, plus repeated breaches of an FCA VREQ restricting high-risk customer onboarding</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Lacked clarity on customer risk ratings, failed to clearly define PEPs at onboarding, lacked EDD provisions/documentation, allowed customers to transact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CDD completion, and had known transaction monitoring weaknesses (flagged by a third-party review in late 2019)</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Policy Layer</w:t>
            </w:r>
            <w:r w:rsidDel="00000000" w:rsidR="00000000" w:rsidRPr="00000000">
              <w:rPr>
                <w:rFonts w:ascii="Google Sans" w:cs="Google Sans" w:eastAsia="Google Sans" w:hAnsi="Google Sans"/>
                <w:color w:val="1f1f1f"/>
                <w:rtl w:val="0"/>
              </w:rPr>
              <w:t xml:space="preserve"> (vague EDD/PEP definitions); </w:t>
            </w:r>
            <w:r w:rsidDel="00000000" w:rsidR="00000000" w:rsidRPr="00000000">
              <w:rPr>
                <w:rFonts w:ascii="Google Sans" w:cs="Google Sans" w:eastAsia="Google Sans" w:hAnsi="Google Sans"/>
                <w:b w:val="1"/>
                <w:bCs w:val="1"/>
                <w:color w:val="1f1f1f"/>
                <w:rtl w:val="0"/>
              </w:rPr>
              <w:t xml:space="preserve">Control Layer</w:t>
            </w:r>
            <w:r w:rsidDel="00000000" w:rsidR="00000000" w:rsidRPr="00000000">
              <w:rPr>
                <w:rFonts w:ascii="Google Sans" w:cs="Google Sans" w:eastAsia="Google Sans" w:hAnsi="Google Sans"/>
                <w:color w:val="1f1f1f"/>
                <w:rtl w:val="0"/>
              </w:rPr>
              <w:t xml:space="preserve"> (customers transacting pre-CDD); </w:t>
            </w:r>
            <w:r w:rsidDel="00000000" w:rsidR="00000000" w:rsidRPr="00000000">
              <w:rPr>
                <w:rFonts w:ascii="Google Sans" w:cs="Google Sans" w:eastAsia="Google Sans" w:hAnsi="Google Sans"/>
                <w:b w:val="1"/>
                <w:bCs w:val="1"/>
                <w:color w:val="1f1f1f"/>
                <w:rtl w:val="0"/>
              </w:rPr>
              <w:t xml:space="preserve">Accountability / SMCR Layer</w:t>
            </w:r>
            <w:r w:rsidDel="00000000" w:rsidR="00000000" w:rsidRPr="00000000">
              <w:rPr>
                <w:rFonts w:ascii="Google Sans" w:cs="Google Sans" w:eastAsia="Google Sans" w:hAnsi="Google Sans"/>
                <w:color w:val="1f1f1f"/>
                <w:rtl w:val="0"/>
              </w:rPr>
              <w:t xml:space="preserve"> (external law firm review found it was unclear who at the firm was accountable for various aspects of the VREQ)</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VREQ adherence and pre-transaction CDD completion were not tracked by a robust governance framework or assigned to a clear accountable owner</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w:t>
            </w:r>
            <w:r w:rsidDel="00000000" w:rsidR="00000000" w:rsidRPr="00000000">
              <w:rPr>
                <w:rFonts w:ascii="Google Sans" w:cs="Google Sans" w:eastAsia="Google Sans" w:hAnsi="Google Sans"/>
                <w:color w:val="1f1f1f"/>
                <w:rtl w:val="0"/>
              </w:rPr>
              <w:t xml:space="preserve"> Percentage of new accounts executing a payment transaction where CDD_Status != Complete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w:t>
            </w:r>
            <w:r w:rsidDel="00000000" w:rsidR="00000000" w:rsidRPr="00000000">
              <w:rPr>
                <w:rFonts w:ascii="Google Sans" w:cs="Google Sans" w:eastAsia="Google Sans" w:hAnsi="Google Sans"/>
                <w:color w:val="1f1f1f"/>
                <w:rtl w:val="0"/>
              </w:rPr>
              <w:t xml:space="preserve"> Count of VREQ requirements without a named SMF/First-Line owner in the Responsibilities Map</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Norton Rose Fulbright / FCA Final Notice: </w:t>
            </w:r>
            <w:r w:rsidDel="00000000" w:rsidR="00000000" w:rsidRPr="00000000">
              <w:rPr>
                <w:rFonts w:ascii="Google Sans" w:cs="Google Sans" w:eastAsia="Google Sans" w:hAnsi="Google Sans"/>
                <w:i w:val="1"/>
                <w:iCs w:val="1"/>
                <w:color w:val="1f1f1f"/>
                <w:rtl w:val="0"/>
              </w:rPr>
              <w:t xml:space="preserve">Monzo Bank Limited</w:t>
            </w:r>
            <w:r w:rsidDel="00000000" w:rsidR="00000000" w:rsidRPr="00000000">
              <w:rPr>
                <w:rFonts w:ascii="Google Sans" w:cs="Google Sans" w:eastAsia="Google Sans" w:hAnsi="Google Sans"/>
                <w:color w:val="1f1f1f"/>
                <w:rtl w:val="0"/>
              </w:rPr>
              <w:t xml:space="preserve"> (07 July 2025), https://connections.nortonrosefulbright.com/post/102kv0z/notice-in-a-nutshell-bank-fined-for-financial-crime-failings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Metro Bank PLC</w:t>
            </w:r>
            <w:r w:rsidDel="00000000" w:rsidR="00000000" w:rsidRPr="00000000">
              <w:rPr>
                <w:rFonts w:ascii="Google Sans" w:cs="Google Sans" w:eastAsia="Google Sans" w:hAnsi="Google Sans"/>
                <w:color w:val="1f1f1f"/>
                <w:rtl w:val="0"/>
              </w:rPr>
              <w:t xml:space="preserve"> (12 November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£16,675,200</w:t>
            </w:r>
            <w:r w:rsidDel="00000000" w:rsidR="00000000" w:rsidRPr="00000000">
              <w:rPr>
                <w:rFonts w:ascii="Google Sans" w:cs="Google Sans" w:eastAsia="Google Sans" w:hAnsi="Google Sans"/>
                <w:color w:val="1f1f1f"/>
                <w:rtl w:val="0"/>
              </w:rPr>
              <w:t xml:space="preserve"> (£23,821,700 pre-30% discount). Principle 3, SYSC 6, MLR 2007 Reg 8</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06 June 2016 and 17 Dec 2020, automated transaction monitoring (ATMS) missed </w:t>
            </w:r>
            <w:r w:rsidDel="00000000" w:rsidR="00000000" w:rsidRPr="00000000">
              <w:rPr>
                <w:rFonts w:ascii="Google Sans" w:cs="Google Sans" w:eastAsia="Google Sans" w:hAnsi="Google Sans"/>
                <w:b w:val="1"/>
                <w:bCs w:val="1"/>
                <w:color w:val="1f1f1f"/>
                <w:rtl w:val="0"/>
              </w:rPr>
              <w:t xml:space="preserve">60,483,951 of 1,008,426,668 transactions (~6%)</w:t>
            </w:r>
            <w:r w:rsidDel="00000000" w:rsidR="00000000" w:rsidRPr="00000000">
              <w:rPr>
                <w:rFonts w:ascii="Google Sans" w:cs="Google Sans" w:eastAsia="Google Sans" w:hAnsi="Google Sans"/>
                <w:color w:val="1f1f1f"/>
                <w:rtl w:val="0"/>
              </w:rPr>
              <w:t xml:space="preserve">, worth </w:t>
            </w:r>
            <w:r w:rsidDel="00000000" w:rsidR="00000000" w:rsidRPr="00000000">
              <w:rPr>
                <w:rFonts w:ascii="Google Sans" w:cs="Google Sans" w:eastAsia="Google Sans" w:hAnsi="Google Sans"/>
                <w:b w:val="1"/>
                <w:bCs w:val="1"/>
                <w:color w:val="1f1f1f"/>
                <w:rtl w:val="0"/>
              </w:rPr>
              <w:t xml:space="preserve">£51.25bn</w:t>
            </w:r>
            <w:r w:rsidDel="00000000" w:rsidR="00000000" w:rsidRPr="00000000">
              <w:rPr>
                <w:rFonts w:ascii="Google Sans" w:cs="Google Sans" w:eastAsia="Google Sans" w:hAnsi="Google Sans"/>
                <w:color w:val="1f1f1f"/>
                <w:rtl w:val="0"/>
              </w:rPr>
              <w:t xml:space="preserve"> out of £675.8bn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"Bad Data" field rejections (e.g., postcode/country) blocked customer and account records (62% in partnerships), and a "Time Stamp Code Logic Error" excluded accounts opened and used on the same day—leaving </w:t>
            </w:r>
            <w:r w:rsidDel="00000000" w:rsidR="00000000" w:rsidRPr="00000000">
              <w:rPr>
                <w:rFonts w:ascii="Google Sans" w:cs="Google Sans" w:eastAsia="Google Sans" w:hAnsi="Google Sans"/>
                <w:b w:val="1"/>
                <w:bCs w:val="1"/>
                <w:color w:val="1f1f1f"/>
                <w:rtl w:val="0"/>
              </w:rPr>
              <w:t xml:space="preserve">238,000 accounts missing</w:t>
            </w:r>
            <w:r w:rsidDel="00000000" w:rsidR="00000000" w:rsidRPr="00000000">
              <w:rPr>
                <w:rFonts w:ascii="Google Sans" w:cs="Google Sans" w:eastAsia="Google Sans" w:hAnsi="Google Sans"/>
                <w:color w:val="1f1f1f"/>
                <w:rtl w:val="0"/>
              </w:rPr>
              <w:t xml:space="preserve"> (166,358 from timestamp error; 71,627 other)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Lookback led to 153 SARs and 43 account closures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Data &amp; Control Layer</w:t>
            </w:r>
            <w:r w:rsidDel="00000000" w:rsidR="00000000" w:rsidRPr="00000000">
              <w:rPr>
                <w:rFonts w:ascii="Google Sans" w:cs="Google Sans" w:eastAsia="Google Sans" w:hAnsi="Google Sans"/>
                <w:color w:val="1f1f1f"/>
                <w:rtl w:val="0"/>
              </w:rPr>
              <w:t xml:space="preserve"> (no daily source-to-ATMS reconciliation until 17 Dec 2020; no replay facility); </w:t>
            </w:r>
            <w:r w:rsidDel="00000000" w:rsidR="00000000" w:rsidRPr="00000000">
              <w:rPr>
                <w:rFonts w:ascii="Google Sans" w:cs="Google Sans" w:eastAsia="Google Sans" w:hAnsi="Google Sans"/>
                <w:b w:val="1"/>
                <w:bCs w:val="1"/>
                <w:color w:val="1f1f1f"/>
                <w:rtl w:val="0"/>
              </w:rPr>
              <w:t xml:space="preserve">Culture &amp; Escalation Layer</w:t>
            </w:r>
            <w:r w:rsidDel="00000000" w:rsidR="00000000" w:rsidRPr="00000000">
              <w:rPr>
                <w:rFonts w:ascii="Google Sans" w:cs="Google Sans" w:eastAsia="Google Sans" w:hAnsi="Google Sans"/>
                <w:color w:val="1f1f1f"/>
                <w:rtl w:val="0"/>
              </w:rPr>
              <w:t xml:space="preserve"> (junior staff warnings in 2017–2018 deleted from Jan 2018 minutes as unsubstantiated and dropped from tracking by Ops Risk Board after 16 Aug 2018)</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No periodic MI on "Bad Data" existed, and even after the July 2019 tactical fix (cutting rejections from 1,352,665 to 438/month), the bank could not prove adherence until daily reconciliation started in Dec 2020</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w:t>
            </w:r>
            <w:r w:rsidDel="00000000" w:rsidR="00000000" w:rsidRPr="00000000">
              <w:rPr>
                <w:rFonts w:ascii="Google Sans" w:cs="Google Sans" w:eastAsia="Google Sans" w:hAnsi="Google Sans"/>
                <w:color w:val="1f1f1f"/>
                <w:rtl w:val="0"/>
              </w:rPr>
              <w:t xml:space="preserve"> Daily automated record-count reconciliation between Core Banking Data Store and ATMS (which found a 3,135 customer discrepancy when finally run ad hoc in July 2020)</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w:t>
            </w:r>
            <w:r w:rsidDel="00000000" w:rsidR="00000000" w:rsidRPr="00000000">
              <w:rPr>
                <w:rFonts w:ascii="Google Sans" w:cs="Google Sans" w:eastAsia="Google Sans" w:hAnsi="Google Sans"/>
                <w:color w:val="1f1f1f"/>
                <w:rtl w:val="0"/>
              </w:rPr>
              <w:t xml:space="preserve"> Volume of rejected records sitting in "Bad Data" folders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FCA Final Notice: </w:t>
            </w:r>
            <w:r w:rsidDel="00000000" w:rsidR="00000000" w:rsidRPr="00000000">
              <w:rPr>
                <w:rFonts w:ascii="Google Sans" w:cs="Google Sans" w:eastAsia="Google Sans" w:hAnsi="Google Sans"/>
                <w:i w:val="1"/>
                <w:iCs w:val="1"/>
                <w:color w:val="1f1f1f"/>
                <w:rtl w:val="0"/>
              </w:rPr>
              <w:t xml:space="preserve">Metro Bank PLC</w:t>
            </w:r>
            <w:r w:rsidDel="00000000" w:rsidR="00000000" w:rsidRPr="00000000">
              <w:rPr>
                <w:rFonts w:ascii="Google Sans" w:cs="Google Sans" w:eastAsia="Google Sans" w:hAnsi="Google Sans"/>
                <w:color w:val="1f1f1f"/>
                <w:rtl w:val="0"/>
              </w:rPr>
              <w:t xml:space="preserve"> (12 November 2024), https://www.fca.org.uk/publication/final-notices/metro-bank-plc-2024.pdf</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CB Payments Limited</w:t>
            </w:r>
            <w:r w:rsidDel="00000000" w:rsidR="00000000" w:rsidRPr="00000000">
              <w:rPr>
                <w:rFonts w:ascii="Google Sans" w:cs="Google Sans" w:eastAsia="Google Sans" w:hAnsi="Google Sans"/>
                <w:color w:val="1f1f1f"/>
                <w:rtl w:val="0"/>
              </w:rPr>
              <w:t xml:space="preserve"> (23 July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£3,503,546</w:t>
            </w:r>
            <w:r w:rsidDel="00000000" w:rsidR="00000000" w:rsidRPr="00000000">
              <w:rPr>
                <w:rFonts w:ascii="Google Sans" w:cs="Google Sans" w:eastAsia="Google Sans" w:hAnsi="Google Sans"/>
                <w:color w:val="1f1f1f"/>
                <w:rtl w:val="0"/>
              </w:rPr>
              <w:t xml:space="preserve"> (after 30% discount). Principle 2 &amp; VREQ breach</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Breached VREQ restricting high-risk customer onboarding. The system flag was built from an </w:t>
            </w:r>
            <w:r w:rsidDel="00000000" w:rsidR="00000000" w:rsidRPr="00000000">
              <w:rPr>
                <w:rFonts w:ascii="Google Sans" w:cs="Google Sans" w:eastAsia="Google Sans" w:hAnsi="Google Sans"/>
                <w:i w:val="1"/>
                <w:iCs w:val="1"/>
                <w:color w:val="1f1f1f"/>
                <w:rtl w:val="0"/>
              </w:rPr>
              <w:t xml:space="preserve">earlier draft</w:t>
            </w:r>
            <w:r w:rsidDel="00000000" w:rsidR="00000000" w:rsidRPr="00000000">
              <w:rPr>
                <w:rFonts w:ascii="Google Sans" w:cs="Google Sans" w:eastAsia="Google Sans" w:hAnsi="Google Sans"/>
                <w:color w:val="1f1f1f"/>
                <w:rtl w:val="0"/>
              </w:rPr>
              <w:t xml:space="preserve"> of the VREQ (missing 4 risk questions); customers could overwrite their own answers to lower their risk rating; pre-implementation testing used only </w:t>
            </w:r>
            <w:r w:rsidDel="00000000" w:rsidR="00000000" w:rsidRPr="00000000">
              <w:rPr>
                <w:rFonts w:ascii="Google Sans" w:cs="Google Sans" w:eastAsia="Google Sans" w:hAnsi="Google Sans"/>
                <w:b w:val="1"/>
                <w:bCs w:val="1"/>
                <w:color w:val="1f1f1f"/>
                <w:rtl w:val="0"/>
              </w:rPr>
              <w:t xml:space="preserve">1 record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1,034 migrated customers</w:t>
            </w:r>
            <w:r w:rsidDel="00000000" w:rsidR="00000000" w:rsidRPr="00000000">
              <w:rPr>
                <w:rFonts w:ascii="Google Sans" w:cs="Google Sans" w:eastAsia="Google Sans" w:hAnsi="Google Sans"/>
                <w:color w:val="1f1f1f"/>
                <w:rtl w:val="0"/>
              </w:rPr>
              <w:t xml:space="preserve"> were never checked; Coinbase Pro and a June 2022 service bypassed the flag; customer service manually credited e-money to </w:t>
            </w:r>
            <w:r w:rsidDel="00000000" w:rsidR="00000000" w:rsidRPr="00000000">
              <w:rPr>
                <w:rFonts w:ascii="Google Sans" w:cs="Google Sans" w:eastAsia="Google Sans" w:hAnsi="Google Sans"/>
                <w:b w:val="1"/>
                <w:bCs w:val="1"/>
                <w:color w:val="1f1f1f"/>
                <w:rtl w:val="0"/>
              </w:rPr>
              <w:t xml:space="preserve">199 flagged customers</w:t>
            </w:r>
            <w:r w:rsidDel="00000000" w:rsidR="00000000" w:rsidRPr="00000000">
              <w:rPr>
                <w:rFonts w:ascii="Google Sans" w:cs="Google Sans" w:eastAsia="Google Sans" w:hAnsi="Google Sans"/>
                <w:color w:val="1f1f1f"/>
                <w:rtl w:val="0"/>
              </w:rPr>
              <w:t xml:space="preserve">; led to 62 SARs (~$1.75m)</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Policy-to-Control Mapping</w:t>
            </w:r>
            <w:r w:rsidDel="00000000" w:rsidR="00000000" w:rsidRPr="00000000">
              <w:rPr>
                <w:rFonts w:ascii="Google Sans" w:cs="Google Sans" w:eastAsia="Google Sans" w:hAnsi="Google Sans"/>
                <w:color w:val="1f1f1f"/>
                <w:rtl w:val="0"/>
              </w:rPr>
              <w:t xml:space="preserve"> (built from draft text); </w:t>
            </w:r>
            <w:r w:rsidDel="00000000" w:rsidR="00000000" w:rsidRPr="00000000">
              <w:rPr>
                <w:rFonts w:ascii="Google Sans" w:cs="Google Sans" w:eastAsia="Google Sans" w:hAnsi="Google Sans"/>
                <w:b w:val="1"/>
                <w:bCs w:val="1"/>
                <w:color w:val="1f1f1f"/>
                <w:rtl w:val="0"/>
              </w:rPr>
              <w:t xml:space="preserve">Horizontal Ownership</w:t>
            </w:r>
            <w:r w:rsidDel="00000000" w:rsidR="00000000" w:rsidRPr="00000000">
              <w:rPr>
                <w:rFonts w:ascii="Google Sans" w:cs="Google Sans" w:eastAsia="Google Sans" w:hAnsi="Google Sans"/>
                <w:color w:val="1f1f1f"/>
                <w:rtl w:val="0"/>
              </w:rPr>
              <w:t xml:space="preserve"> (migrations and new products bypassed control); </w:t>
            </w:r>
            <w:r w:rsidDel="00000000" w:rsidR="00000000" w:rsidRPr="00000000">
              <w:rPr>
                <w:rFonts w:ascii="Google Sans" w:cs="Google Sans" w:eastAsia="Google Sans" w:hAnsi="Google Sans"/>
                <w:b w:val="1"/>
                <w:bCs w:val="1"/>
                <w:color w:val="1f1f1f"/>
                <w:rtl w:val="0"/>
              </w:rPr>
              <w:t xml:space="preserve">Metric Design</w:t>
            </w:r>
            <w:r w:rsidDel="00000000" w:rsidR="00000000" w:rsidRPr="00000000">
              <w:rPr>
                <w:rFonts w:ascii="Google Sans" w:cs="Google Sans" w:eastAsia="Google Sans" w:hAnsi="Google Sans"/>
                <w:color w:val="1f1f1f"/>
                <w:rtl w:val="0"/>
              </w:rPr>
              <w:t xml:space="preserve"> (dashboards tracked rule firing, not whether restricted customers accessed services)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Partly / Faulty.</w:t>
            </w:r>
            <w:r w:rsidDel="00000000" w:rsidR="00000000" w:rsidRPr="00000000">
              <w:rPr>
                <w:rFonts w:ascii="Google Sans" w:cs="Google Sans" w:eastAsia="Google Sans" w:hAnsi="Google Sans"/>
                <w:color w:val="1f1f1f"/>
                <w:rtl w:val="0"/>
              </w:rPr>
              <w:t xml:space="preserve"> Dashboards existed but tracked the wrong thing (flag trigger counts rather than actual service access outcomes), and a formal written compliance framework was only built in April 2023</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w:t>
            </w:r>
            <w:r w:rsidDel="00000000" w:rsidR="00000000" w:rsidRPr="00000000">
              <w:rPr>
                <w:rFonts w:ascii="Google Sans" w:cs="Google Sans" w:eastAsia="Google Sans" w:hAnsi="Google Sans"/>
                <w:color w:val="1f1f1f"/>
                <w:rtl w:val="0"/>
              </w:rPr>
              <w:t xml:space="preserve"> Outcome KRI: count of active transactions/balances held by customers with High_Risk_Restricted attributes across </w:t>
            </w:r>
            <w:r w:rsidDel="00000000" w:rsidR="00000000" w:rsidRPr="00000000">
              <w:rPr>
                <w:rFonts w:ascii="Google Sans" w:cs="Google Sans" w:eastAsia="Google Sans" w:hAnsi="Google Sans"/>
                <w:i w:val="1"/>
                <w:iCs w:val="1"/>
                <w:color w:val="1f1f1f"/>
                <w:rtl w:val="0"/>
              </w:rPr>
              <w:t xml:space="preserve">all</w:t>
            </w:r>
            <w:r w:rsidDel="00000000" w:rsidR="00000000" w:rsidRPr="00000000">
              <w:rPr>
                <w:rFonts w:ascii="Google Sans" w:cs="Google Sans" w:eastAsia="Google Sans" w:hAnsi="Google Sans"/>
                <w:color w:val="1f1f1f"/>
                <w:rtl w:val="0"/>
              </w:rPr>
              <w:t xml:space="preserve"> products/migrations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2.</w:t>
            </w:r>
            <w:r w:rsidDel="00000000" w:rsidR="00000000" w:rsidRPr="00000000">
              <w:rPr>
                <w:rFonts w:ascii="Google Sans" w:cs="Google Sans" w:eastAsia="Google Sans" w:hAnsi="Google Sans"/>
                <w:color w:val="1f1f1f"/>
                <w:rtl w:val="0"/>
              </w:rPr>
              <w:t xml:space="preserve"> Count of unapproved customer service manual overrides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LearnSignal / Avyse Partners, </w:t>
            </w:r>
            <w:r w:rsidDel="00000000" w:rsidR="00000000" w:rsidRPr="00000000">
              <w:rPr>
                <w:rFonts w:ascii="Google Sans" w:cs="Google Sans" w:eastAsia="Google Sans" w:hAnsi="Google Sans"/>
                <w:i w:val="1"/>
                <w:iCs w:val="1"/>
                <w:color w:val="1f1f1f"/>
                <w:rtl w:val="0"/>
              </w:rPr>
              <w:t xml:space="preserve">FCA Final Notice on CB Payments Limited</w:t>
            </w:r>
            <w:r w:rsidDel="00000000" w:rsidR="00000000" w:rsidRPr="00000000">
              <w:rPr>
                <w:rFonts w:ascii="Google Sans" w:cs="Google Sans" w:eastAsia="Google Sans" w:hAnsi="Google Sans"/>
                <w:color w:val="1f1f1f"/>
                <w:rtl w:val="0"/>
              </w:rPr>
              <w:t xml:space="preserve"> (23 July 2024 / 22 October 2026), https://www.learnsignal.com/blog/cb-payments-fca-final-notice-voluntary-requirement-high-risk-customer-onboarding-failures-guide/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Nationwide Building Society &amp; Barclays Bank UK PLC</w:t>
            </w:r>
            <w:r w:rsidDel="00000000" w:rsidR="00000000" w:rsidRPr="00000000">
              <w:rPr>
                <w:rFonts w:ascii="Google Sans" w:cs="Google Sans" w:eastAsia="Google Sans" w:hAnsi="Google Sans"/>
                <w:color w:val="1f1f1f"/>
                <w:rtl w:val="0"/>
              </w:rPr>
              <w:t xml:space="preserve"> (Comparative Historical Controls Precedents)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FCA Final Notices referenced in sector benchmarks (e.g., Nationwide monitoring precedent; Barclays WealthTek client money &amp; £39.3m Stunt &amp; Co AML fine)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Stunt &amp; Co, Barclays missed clear AML warning signs and law enforcement alerts while providing banking services; in monitoring precedents, automated or manual controls operated weaker in practice than reported to committees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Control Assurance &amp; Escalation Layer</w:t>
            </w:r>
            <w:r w:rsidDel="00000000" w:rsidR="00000000" w:rsidRPr="00000000">
              <w:rPr>
                <w:rFonts w:ascii="Google Sans" w:cs="Google Sans" w:eastAsia="Google Sans" w:hAnsi="Google Sans"/>
                <w:color w:val="1f1f1f"/>
                <w:rtl w:val="0"/>
              </w:rPr>
              <w:t xml:space="preserve"> (failure to connect external/internal warning triggers to decisive relationship exit or appetite breach escalation)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Weak.</w:t>
            </w:r>
            <w:r w:rsidDel="00000000" w:rsidR="00000000" w:rsidRPr="00000000">
              <w:rPr>
                <w:rFonts w:ascii="Google Sans" w:cs="Google Sans" w:eastAsia="Google Sans" w:hAnsi="Google Sans"/>
                <w:color w:val="1f1f1f"/>
                <w:rtl w:val="0"/>
              </w:rPr>
              <w:t xml:space="preserve"> Controls were assumed effective based on high-level status reporting without deep-dive outcome verification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Concentration of high-value cash/high-risk flows relative to customer profile and unresolved law-enforcement enquiry flags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LearnSignal, </w:t>
            </w:r>
            <w:r w:rsidDel="00000000" w:rsidR="00000000" w:rsidRPr="00000000">
              <w:rPr>
                <w:rFonts w:ascii="Google Sans" w:cs="Google Sans" w:eastAsia="Google Sans" w:hAnsi="Google Sans"/>
                <w:i w:val="1"/>
                <w:iCs w:val="1"/>
                <w:color w:val="1f1f1f"/>
                <w:rtl w:val="0"/>
              </w:rPr>
              <w:t xml:space="preserve">Metro Bank &amp; CB Payments Guides</w:t>
            </w:r>
            <w:r w:rsidDel="00000000" w:rsidR="00000000" w:rsidRPr="00000000">
              <w:rPr>
                <w:rFonts w:ascii="Google Sans" w:cs="Google Sans" w:eastAsia="Google Sans" w:hAnsi="Google Sans"/>
                <w:color w:val="1f1f1f"/>
                <w:rtl w:val="0"/>
              </w:rPr>
              <w:t xml:space="preserve"> (referencing Nationwide and Barclays £39.3m Stunt &amp; Co Final Notices) (22 October 2026)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FCA Final Notices and regulatory analyses as cited in table (2024–2026)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These four cases define the exact "Must-Have Prevention Suite" for the platform: Clause-to-Code VREQ/Policy traceability, Daily Source-to-Monitoring Data Completeness Reconciliation, Zero-Alert Anomaly Detection (flagging when a control goes suspiciously silent), and Immutable Committee Action Tracking.</w:t>
      </w:r>
    </w:p>
    <w:p w:rsidR="00000000" w:rsidDel="00000000" w:rsidP="00000000" w:rsidRDefault="00000000" w:rsidRPr="00000000" w14:paraId="0000014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 Agentic-AI financial crime risk</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emergence of autonomous and semi-autonomous Artificial Intelligence (AI) agents capable of initiating payments, switching cash balances to optimise yield, and executing financial transactions on behalf of retail and corporate customers introduces a paradigm shift in financial crime, authorisation liability, and model risk governance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I-GM-01: UK, EU, and US Regulatory Stance on AI and Autonomous Agents (2023–2026)</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Across the UK, EU, and US, regulators have established diverging structural frameworks for governing AI in financial services. In the United Kingdom, following the UK Government's pro-innovation AI White Paper response (February 2024), the FCA AI Update (April 2024, reinforced by Treasury Select Committee (TSC) AI updates in October 2026)</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and the Bank of England / PRA supervisory approach, regulators explicitly reject creating a standalone AI rulebook. Instead, the UK governs agentic AI through three existing, high-teeth regimes. The first is </w:t>
      </w:r>
      <w:r w:rsidDel="00000000" w:rsidR="00000000" w:rsidRPr="00000000">
        <w:rPr>
          <w:rFonts w:ascii="Google Sans" w:cs="Google Sans" w:eastAsia="Google Sans" w:hAnsi="Google Sans"/>
          <w:b w:val="1"/>
          <w:bCs w:val="1"/>
          <w:color w:val="1f1f1f"/>
          <w:rtl w:val="0"/>
        </w:rPr>
        <w:t xml:space="preserve">PRA Supervisory Statement SS1/23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Model Risk Management principles for banks</w:t>
      </w:r>
      <w:r w:rsidDel="00000000" w:rsidR="00000000" w:rsidRPr="00000000">
        <w:rPr>
          <w:rFonts w:ascii="Google Sans" w:cs="Google Sans" w:eastAsia="Google Sans" w:hAnsi="Google Sans"/>
          <w:color w:val="1f1f1f"/>
          <w:rtl w:val="0"/>
        </w:rPr>
        <w:t xml:space="preserve">, published May 2023, effective 17 May 2024), which mandates five core principles: Model Identification and Classification (Principle 1), Governance and </w:t>
      </w:r>
      <w:r w:rsidDel="00000000" w:rsidR="00000000" w:rsidRPr="00000000">
        <w:rPr>
          <w:rFonts w:ascii="Google Sans" w:cs="Google Sans" w:eastAsia="Google Sans" w:hAnsi="Google Sans"/>
          <w:b w:val="1"/>
          <w:bCs w:val="1"/>
          <w:color w:val="1f1f1f"/>
          <w:rtl w:val="0"/>
        </w:rPr>
        <w:t xml:space="preserve">Board Model Risk Appetite</w:t>
      </w:r>
      <w:r w:rsidDel="00000000" w:rsidR="00000000" w:rsidRPr="00000000">
        <w:rPr>
          <w:rFonts w:ascii="Google Sans" w:cs="Google Sans" w:eastAsia="Google Sans" w:hAnsi="Google Sans"/>
          <w:color w:val="1f1f1f"/>
          <w:rtl w:val="0"/>
        </w:rPr>
        <w:t xml:space="preserve"> (Principle 2), Model Development and Implementation (Principle 3), Independent Model Validation (Principle 4), and Model Risk Mitigants and </w:t>
      </w:r>
      <w:r w:rsidDel="00000000" w:rsidR="00000000" w:rsidRPr="00000000">
        <w:rPr>
          <w:rFonts w:ascii="Google Sans" w:cs="Google Sans" w:eastAsia="Google Sans" w:hAnsi="Google Sans"/>
          <w:b w:val="1"/>
          <w:bCs w:val="1"/>
          <w:color w:val="1f1f1f"/>
          <w:rtl w:val="0"/>
        </w:rPr>
        <w:t xml:space="preserve">Dynamic Recalibration / Parameter Tuning Governance</w:t>
      </w:r>
      <w:r w:rsidDel="00000000" w:rsidR="00000000" w:rsidRPr="00000000">
        <w:rPr>
          <w:rFonts w:ascii="Google Sans" w:cs="Google Sans" w:eastAsia="Google Sans" w:hAnsi="Google Sans"/>
          <w:color w:val="1f1f1f"/>
          <w:rtl w:val="0"/>
        </w:rPr>
        <w:t xml:space="preserve"> (Principle 5)</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Under SS1/23, self-learning or agentic AI models require explicit board-level model risk appetite statements and strict guardrails on automated parameter drift</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The second pillar is the </w:t>
      </w:r>
      <w:r w:rsidDel="00000000" w:rsidR="00000000" w:rsidRPr="00000000">
        <w:rPr>
          <w:rFonts w:ascii="Google Sans" w:cs="Google Sans" w:eastAsia="Google Sans" w:hAnsi="Google Sans"/>
          <w:b w:val="1"/>
          <w:bCs w:val="1"/>
          <w:color w:val="1f1f1f"/>
          <w:rtl w:val="0"/>
        </w:rPr>
        <w:t xml:space="preserve">FCA Consumer Duty (PRIN 12) and SMCR</w:t>
      </w:r>
      <w:r w:rsidDel="00000000" w:rsidR="00000000" w:rsidRPr="00000000">
        <w:rPr>
          <w:rFonts w:ascii="Google Sans" w:cs="Google Sans" w:eastAsia="Google Sans" w:hAnsi="Google Sans"/>
          <w:color w:val="1f1f1f"/>
          <w:rtl w:val="0"/>
        </w:rPr>
        <w:t xml:space="preserve">, which hold named SMFs personally accountable for foreseeable harm caused by autonomous agents or opaque algorithmic credit and fraud decisions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third pillar is the </w:t>
      </w:r>
      <w:r w:rsidDel="00000000" w:rsidR="00000000" w:rsidRPr="00000000">
        <w:rPr>
          <w:rFonts w:ascii="Google Sans" w:cs="Google Sans" w:eastAsia="Google Sans" w:hAnsi="Google Sans"/>
          <w:b w:val="1"/>
          <w:bCs w:val="1"/>
          <w:color w:val="1f1f1f"/>
          <w:rtl w:val="0"/>
        </w:rPr>
        <w:t xml:space="preserve">Payment Systems Regulator (PSR) Specific Direction 20</w:t>
      </w:r>
      <w:r w:rsidDel="00000000" w:rsidR="00000000" w:rsidRPr="00000000">
        <w:rPr>
          <w:rFonts w:ascii="Google Sans" w:cs="Google Sans" w:eastAsia="Google Sans" w:hAnsi="Google Sans"/>
          <w:color w:val="1f1f1f"/>
          <w:rtl w:val="0"/>
        </w:rPr>
        <w:t xml:space="preserve"> (Mandatory APP Fraud Reimbursement Regime, effective 07 October 2024), which governs liability for Authorised Push Payment scams across Faster Payments and CHAPS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contrast, the European Union relies on prescriptive statutory tiering through the </w:t>
      </w:r>
      <w:r w:rsidDel="00000000" w:rsidR="00000000" w:rsidRPr="00000000">
        <w:rPr>
          <w:rFonts w:ascii="Google Sans" w:cs="Google Sans" w:eastAsia="Google Sans" w:hAnsi="Google Sans"/>
          <w:b w:val="1"/>
          <w:bCs w:val="1"/>
          <w:color w:val="1f1f1f"/>
          <w:rtl w:val="0"/>
        </w:rPr>
        <w:t xml:space="preserve">EU AI Act (Regulation (EU) 2024/1689)</w:t>
      </w:r>
      <w:r w:rsidDel="00000000" w:rsidR="00000000" w:rsidRPr="00000000">
        <w:rPr>
          <w:rFonts w:ascii="Google Sans" w:cs="Google Sans" w:eastAsia="Google Sans" w:hAnsi="Google Sans"/>
          <w:color w:val="1f1f1f"/>
          <w:rtl w:val="0"/>
        </w:rPr>
        <w:t xml:space="preserve">, which entered into force on 01 August 2024 (with prohibitions applying from February 2025 and high-risk obligations phasing in through August 2026), alongside the Digital Operational Resilience Act (</w:t>
      </w:r>
      <w:r w:rsidDel="00000000" w:rsidR="00000000" w:rsidRPr="00000000">
        <w:rPr>
          <w:rFonts w:ascii="Google Sans" w:cs="Google Sans" w:eastAsia="Google Sans" w:hAnsi="Google Sans"/>
          <w:b w:val="1"/>
          <w:bCs w:val="1"/>
          <w:color w:val="1f1f1f"/>
          <w:rtl w:val="0"/>
        </w:rPr>
        <w:t xml:space="preserve">DORA</w:t>
      </w:r>
      <w:r w:rsidDel="00000000" w:rsidR="00000000" w:rsidRPr="00000000">
        <w:rPr>
          <w:rFonts w:ascii="Google Sans" w:cs="Google Sans" w:eastAsia="Google Sans" w:hAnsi="Google Sans"/>
          <w:color w:val="1f1f1f"/>
          <w:rtl w:val="0"/>
        </w:rPr>
        <w:t xml:space="preserve">, effective 17 January 2025)</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The EU AI Act classifies AI systems used for retail creditworthiness assessment and risk pricing as "High-Risk AI Systems" subject to mandatory conformity assessments, human oversight, and transparency obligations, though it explicitly carves out AI models used </w:t>
      </w:r>
      <w:r w:rsidDel="00000000" w:rsidR="00000000" w:rsidRPr="00000000">
        <w:rPr>
          <w:rFonts w:ascii="Google Sans" w:cs="Google Sans" w:eastAsia="Google Sans" w:hAnsi="Google Sans"/>
          <w:i w:val="1"/>
          <w:iCs w:val="1"/>
          <w:color w:val="1f1f1f"/>
          <w:rtl w:val="0"/>
        </w:rPr>
        <w:t xml:space="preserve">solely</w:t>
      </w:r>
      <w:r w:rsidDel="00000000" w:rsidR="00000000" w:rsidRPr="00000000">
        <w:rPr>
          <w:rFonts w:ascii="Google Sans" w:cs="Google Sans" w:eastAsia="Google Sans" w:hAnsi="Google Sans"/>
          <w:color w:val="1f1f1f"/>
          <w:rtl w:val="0"/>
        </w:rPr>
        <w:t xml:space="preserve"> for detecting financial fraud and anti-money laundering from the "High-Risk" classification to avoid handicapping bank defences, whereas customer-facing transaction agents remain subject to transparency and payment rules</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rtl w:val="0"/>
        </w:rPr>
        <w:t xml:space="preserve">. In the United States, oversight remains anchored in Federal Reserve and OCC </w:t>
      </w:r>
      <w:r w:rsidDel="00000000" w:rsidR="00000000" w:rsidRPr="00000000">
        <w:rPr>
          <w:rFonts w:ascii="Google Sans" w:cs="Google Sans" w:eastAsia="Google Sans" w:hAnsi="Google Sans"/>
          <w:b w:val="1"/>
          <w:bCs w:val="1"/>
          <w:color w:val="1f1f1f"/>
          <w:rtl w:val="0"/>
        </w:rPr>
        <w:t xml:space="preserve">SR 11-7</w:t>
      </w:r>
      <w:r w:rsidDel="00000000" w:rsidR="00000000" w:rsidRPr="00000000">
        <w:rPr>
          <w:rFonts w:ascii="Google Sans" w:cs="Google Sans" w:eastAsia="Google Sans" w:hAnsi="Google Sans"/>
          <w:color w:val="1f1f1f"/>
          <w:rtl w:val="0"/>
        </w:rPr>
        <w:t xml:space="preserve"> model risk management guidance, CFPB adverse-action explainability rules, and FinCEN advisories on deepfake and AI-generated identity fraud</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Jaywing Risk, </w:t>
      </w:r>
      <w:r w:rsidDel="00000000" w:rsidR="00000000" w:rsidRPr="00000000">
        <w:rPr>
          <w:rFonts w:ascii="Google Sans" w:cs="Google Sans" w:eastAsia="Google Sans" w:hAnsi="Google Sans"/>
          <w:i w:val="1"/>
          <w:iCs w:val="1"/>
          <w:color w:val="1f1f1f"/>
          <w:rtl w:val="0"/>
        </w:rPr>
        <w:t xml:space="preserve">Model Risk Management in an AI-Driven World: SS1/23</w:t>
      </w:r>
      <w:r w:rsidDel="00000000" w:rsidR="00000000" w:rsidRPr="00000000">
        <w:rPr>
          <w:rFonts w:ascii="Google Sans" w:cs="Google Sans" w:eastAsia="Google Sans" w:hAnsi="Google Sans"/>
          <w:color w:val="1f1f1f"/>
          <w:rtl w:val="0"/>
        </w:rPr>
        <w:t xml:space="preserve"> (2024/2025), https://risk.jaywing.com/news-views/model-risk-management-in-an-ai-driven-world-ss1-23/; Protecht UK, </w:t>
      </w:r>
      <w:r w:rsidDel="00000000" w:rsidR="00000000" w:rsidRPr="00000000">
        <w:rPr>
          <w:rFonts w:ascii="Google Sans" w:cs="Google Sans" w:eastAsia="Google Sans" w:hAnsi="Google Sans"/>
          <w:i w:val="1"/>
          <w:iCs w:val="1"/>
          <w:color w:val="1f1f1f"/>
          <w:rtl w:val="0"/>
        </w:rPr>
        <w:t xml:space="preserve">Emerging risks: Understanding, managing, and preparing for the future</w:t>
      </w:r>
      <w:r w:rsidDel="00000000" w:rsidR="00000000" w:rsidRPr="00000000">
        <w:rPr>
          <w:rFonts w:ascii="Google Sans" w:cs="Google Sans" w:eastAsia="Google Sans" w:hAnsi="Google Sans"/>
          <w:color w:val="1f1f1f"/>
          <w:rtl w:val="0"/>
        </w:rPr>
        <w:t xml:space="preserve"> (citing EU AI Act) (26 February 2025), https://www.protechtgroup.com/en-gb/blog/emerging-risks-management-and-preparation; GARP, </w:t>
      </w:r>
      <w:r w:rsidDel="00000000" w:rsidR="00000000" w:rsidRPr="00000000">
        <w:rPr>
          <w:rFonts w:ascii="Google Sans" w:cs="Google Sans" w:eastAsia="Google Sans" w:hAnsi="Google Sans"/>
          <w:i w:val="1"/>
          <w:iCs w:val="1"/>
          <w:color w:val="1f1f1f"/>
          <w:rtl w:val="0"/>
        </w:rPr>
        <w:t xml:space="preserve">Risk Insights: Data &amp; AI Model Governance</w:t>
      </w:r>
      <w:r w:rsidDel="00000000" w:rsidR="00000000" w:rsidRPr="00000000">
        <w:rPr>
          <w:rFonts w:ascii="Google Sans" w:cs="Google Sans" w:eastAsia="Google Sans" w:hAnsi="Google Sans"/>
          <w:color w:val="1f1f1f"/>
          <w:rtl w:val="0"/>
        </w:rPr>
        <w:t xml:space="preserve"> (14 October 2026)</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(specific agentic extensions).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Rather than building a standalone "AI Compliance Module", the platform must embed </w:t>
      </w:r>
      <w:r w:rsidDel="00000000" w:rsidR="00000000" w:rsidRPr="00000000">
        <w:rPr>
          <w:rFonts w:ascii="Google Sans" w:cs="Google Sans" w:eastAsia="Google Sans" w:hAnsi="Google Sans"/>
          <w:b w:val="1"/>
          <w:bCs w:val="1"/>
          <w:color w:val="1f1f1f"/>
          <w:rtl w:val="0"/>
        </w:rPr>
        <w:t xml:space="preserve">PRA SS1/23 Model Risk Appetite &amp; Dynamic Parameter Governance</w:t>
      </w:r>
      <w:r w:rsidDel="00000000" w:rsidR="00000000" w:rsidRPr="00000000">
        <w:rPr>
          <w:rFonts w:ascii="Google Sans" w:cs="Google Sans" w:eastAsia="Google Sans" w:hAnsi="Google Sans"/>
          <w:color w:val="1f1f1f"/>
          <w:rtl w:val="0"/>
        </w:rPr>
        <w:t xml:space="preserve"> directly into the Board RAS and link AI model drift indicators to SMF4 (CRO) and Consumer Duty outcome dashboards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I-GM-02: Liability Allocation When an AI Agent Transacts and UK APP Fraud Reimbursement</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third-party AI agent logs into a customer's bank account using legitimate credentials shared by the customer (or via Open Banking APIs) and executes a payment that turns out to be fraudulent, hallucinatory, or manipulated via prompt injection, a severe legal liability conflict arises under UK payment law</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Under the </w:t>
      </w:r>
      <w:r w:rsidDel="00000000" w:rsidR="00000000" w:rsidRPr="00000000">
        <w:rPr>
          <w:rFonts w:ascii="Google Sans" w:cs="Google Sans" w:eastAsia="Google Sans" w:hAnsi="Google Sans"/>
          <w:b w:val="1"/>
          <w:bCs w:val="1"/>
          <w:color w:val="1f1f1f"/>
          <w:rtl w:val="0"/>
        </w:rPr>
        <w:t xml:space="preserve">Payment Services Regulations 2017 (PSRs 2017 Regs 67 &amp; 76)</w:t>
      </w:r>
      <w:r w:rsidDel="00000000" w:rsidR="00000000" w:rsidRPr="00000000">
        <w:rPr>
          <w:rFonts w:ascii="Google Sans" w:cs="Google Sans" w:eastAsia="Google Sans" w:hAnsi="Google Sans"/>
          <w:color w:val="1f1f1f"/>
          <w:rtl w:val="0"/>
        </w:rPr>
        <w:t xml:space="preserve">, if a payment is </w:t>
      </w:r>
      <w:r w:rsidDel="00000000" w:rsidR="00000000" w:rsidRPr="00000000">
        <w:rPr>
          <w:rFonts w:ascii="Google Sans" w:cs="Google Sans" w:eastAsia="Google Sans" w:hAnsi="Google Sans"/>
          <w:i w:val="1"/>
          <w:iCs w:val="1"/>
          <w:color w:val="1f1f1f"/>
          <w:rtl w:val="0"/>
        </w:rPr>
        <w:t xml:space="preserve">unauthorised</w:t>
      </w:r>
      <w:r w:rsidDel="00000000" w:rsidR="00000000" w:rsidRPr="00000000">
        <w:rPr>
          <w:rFonts w:ascii="Google Sans" w:cs="Google Sans" w:eastAsia="Google Sans" w:hAnsi="Google Sans"/>
          <w:color w:val="1f1f1f"/>
          <w:rtl w:val="0"/>
        </w:rPr>
        <w:t xml:space="preserve">, the bank must refund the customer immediately unless the bank proves fraud or "gross negligence" by the customer. However, if the customer voluntarily handed their credentials or delegated authority to a third-party AI agent, the bank will argue the transaction was </w:t>
      </w:r>
      <w:r w:rsidDel="00000000" w:rsidR="00000000" w:rsidRPr="00000000">
        <w:rPr>
          <w:rFonts w:ascii="Google Sans" w:cs="Google Sans" w:eastAsia="Google Sans" w:hAnsi="Google Sans"/>
          <w:i w:val="1"/>
          <w:iCs w:val="1"/>
          <w:color w:val="1f1f1f"/>
          <w:rtl w:val="0"/>
        </w:rPr>
        <w:t xml:space="preserve">authorised</w:t>
      </w:r>
      <w:r w:rsidDel="00000000" w:rsidR="00000000" w:rsidRPr="00000000">
        <w:rPr>
          <w:rFonts w:ascii="Google Sans" w:cs="Google Sans" w:eastAsia="Google Sans" w:hAnsi="Google Sans"/>
          <w:color w:val="1f1f1f"/>
          <w:rtl w:val="0"/>
        </w:rPr>
        <w:t xml:space="preserve">—or that sharing credentials outside regulated Open Banking Payment Initiation Service Providers (PISPs) constitutes gross negligence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As JPMorgan CEO Jamie Dimon explicitly warned regarding third-party AI agents, customers using external agents face a critical risk and must understand that there is a liability transfer</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second layer of complexity arises under the </w:t>
      </w:r>
      <w:r w:rsidDel="00000000" w:rsidR="00000000" w:rsidRPr="00000000">
        <w:rPr>
          <w:rFonts w:ascii="Google Sans" w:cs="Google Sans" w:eastAsia="Google Sans" w:hAnsi="Google Sans"/>
          <w:b w:val="1"/>
          <w:bCs w:val="1"/>
          <w:color w:val="1f1f1f"/>
          <w:rtl w:val="0"/>
        </w:rPr>
        <w:t xml:space="preserve">UK Mandatory APP Fraud Reimbursement Regime</w:t>
      </w:r>
      <w:r w:rsidDel="00000000" w:rsidR="00000000" w:rsidRPr="00000000">
        <w:rPr>
          <w:rFonts w:ascii="Google Sans" w:cs="Google Sans" w:eastAsia="Google Sans" w:hAnsi="Google Sans"/>
          <w:color w:val="1f1f1f"/>
          <w:rtl w:val="0"/>
        </w:rPr>
        <w:t xml:space="preserve"> (PSR Specific Direction 20, effective 07 October 2024, reinforced by the FCA Dear CEO Letter on APP Fraud Reimbursement)</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Under the PSR regime—which mandates 50:50 liability splitting between the sending and receiving Payment Service Providers up to the £85,000 cap, absent customer gross negligence or breach of the Consumer Standard of Caution—reimbursement applies where the consumer was deceived into </w:t>
      </w:r>
      <w:r w:rsidDel="00000000" w:rsidR="00000000" w:rsidRPr="00000000">
        <w:rPr>
          <w:rFonts w:ascii="Google Sans" w:cs="Google Sans" w:eastAsia="Google Sans" w:hAnsi="Google Sans"/>
          <w:i w:val="1"/>
          <w:iCs w:val="1"/>
          <w:color w:val="1f1f1f"/>
          <w:rtl w:val="0"/>
        </w:rPr>
        <w:t xml:space="preserve">authorising</w:t>
      </w:r>
      <w:r w:rsidDel="00000000" w:rsidR="00000000" w:rsidRPr="00000000">
        <w:rPr>
          <w:rFonts w:ascii="Google Sans" w:cs="Google Sans" w:eastAsia="Google Sans" w:hAnsi="Google Sans"/>
          <w:color w:val="1f1f1f"/>
          <w:rtl w:val="0"/>
        </w:rPr>
        <w:t xml:space="preserve"> a push payment to a scammer</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If an autonomous AI agent is tricked by a scammer's synthetic invoice or prompt-injection attack without human-in-the-loop confirmation, legal ambiguity exists over whether the </w:t>
      </w:r>
      <w:r w:rsidDel="00000000" w:rsidR="00000000" w:rsidRPr="00000000">
        <w:rPr>
          <w:rFonts w:ascii="Google Sans" w:cs="Google Sans" w:eastAsia="Google Sans" w:hAnsi="Google Sans"/>
          <w:i w:val="1"/>
          <w:iCs w:val="1"/>
          <w:color w:val="1f1f1f"/>
          <w:rtl w:val="0"/>
        </w:rPr>
        <w:t xml:space="preserve">consumer</w:t>
      </w:r>
      <w:r w:rsidDel="00000000" w:rsidR="00000000" w:rsidRPr="00000000">
        <w:rPr>
          <w:rFonts w:ascii="Google Sans" w:cs="Google Sans" w:eastAsia="Google Sans" w:hAnsi="Google Sans"/>
          <w:color w:val="1f1f1f"/>
          <w:rtl w:val="0"/>
        </w:rPr>
        <w:t xml:space="preserve"> was deceived or whether the transaction falls outside APP protection as a third-party software failure</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panel's Regulatory Adviser and CRO concur that because the Financial Ombudsman Service (FOS) and FCA Consumer Duty (PRIN 12 — preventing foreseeable harm) heavily favour retail consumers in ambiguity</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UK banks cannot rely solely on contractual "liability transfer" disclaimers if they knowingly allow unverified third-party agents to execute payments without step-up human Strong Customer Authentication (SCA)</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Times of India / Agency Reports, </w:t>
      </w:r>
      <w:r w:rsidDel="00000000" w:rsidR="00000000" w:rsidRPr="00000000">
        <w:rPr>
          <w:rFonts w:ascii="Google Sans" w:cs="Google Sans" w:eastAsia="Google Sans" w:hAnsi="Google Sans"/>
          <w:i w:val="1"/>
          <w:iCs w:val="1"/>
          <w:color w:val="1f1f1f"/>
          <w:rtl w:val="0"/>
        </w:rPr>
        <w:t xml:space="preserve">America's largest bank CEO Jamie Dimon makes it clear at earnings call...</w:t>
      </w:r>
      <w:r w:rsidDel="00000000" w:rsidR="00000000" w:rsidRPr="00000000">
        <w:rPr>
          <w:rFonts w:ascii="Google Sans" w:cs="Google Sans" w:eastAsia="Google Sans" w:hAnsi="Google Sans"/>
          <w:color w:val="1f1f1f"/>
          <w:rtl w:val="0"/>
        </w:rPr>
        <w:t xml:space="preserve"> (2026), https://timesofindia.indiatimes.com/technology/tech-news/americas-largest-bank-ceo-jamie-dimon-makes-it-clear-at-earnings-call-that-not-giving-ai-agents-access-to-banks-data-calls-it-too-risky-for-clients-and-jpmorgan/articleshow/135063165.cms; Bitcoin.com News, </w:t>
      </w:r>
      <w:r w:rsidDel="00000000" w:rsidR="00000000" w:rsidRPr="00000000">
        <w:rPr>
          <w:rFonts w:ascii="Google Sans" w:cs="Google Sans" w:eastAsia="Google Sans" w:hAnsi="Google Sans"/>
          <w:i w:val="1"/>
          <w:iCs w:val="1"/>
          <w:color w:val="1f1f1f"/>
          <w:rtl w:val="0"/>
        </w:rPr>
        <w:t xml:space="preserve">JPMorgan and Wall Street Giants Block AI Agents Over Security Fears</w:t>
      </w:r>
      <w:r w:rsidDel="00000000" w:rsidR="00000000" w:rsidRPr="00000000">
        <w:rPr>
          <w:rFonts w:ascii="Google Sans" w:cs="Google Sans" w:eastAsia="Google Sans" w:hAnsi="Google Sans"/>
          <w:color w:val="1f1f1f"/>
          <w:rtl w:val="0"/>
        </w:rPr>
        <w:t xml:space="preserve"> (2026), https://news.bitcoin.com/finance/jpmorgan-and-wall-street-giants-block-ai-agents-over-security-fears/; Avyse Partners (referencing FCA Dear CEO letter on APP fraud reimbursement) (November 2024)</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[inference] (application of PSR APP rules to agentic prompt injection).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platform's Financial Crime and Operational Resilience domains must track "Third-Party API / Agentic Session Anomalies" and SCA bypass attempts as a distinct leading KRI under the Fraud &amp; Payment Risk appetite.</w:t>
      </w:r>
    </w:p>
    <w:p w:rsidR="00000000" w:rsidDel="00000000" w:rsidP="00000000" w:rsidRDefault="00000000" w:rsidRPr="00000000" w14:paraId="000001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I-GM-03: Testing the Claim on Major Banks (JPMorgan and Citi) Restricting Agent-Initiated Transactions</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practitioner claim that major US banks such as JPMorgan and Citigroup stated they will not permit external AI agents to execute transactions is </w:t>
      </w:r>
      <w:r w:rsidDel="00000000" w:rsidR="00000000" w:rsidRPr="00000000">
        <w:rPr>
          <w:rFonts w:ascii="Google Sans" w:cs="Google Sans" w:eastAsia="Google Sans" w:hAnsi="Google Sans"/>
          <w:b w:val="1"/>
          <w:bCs w:val="1"/>
          <w:color w:val="1f1f1f"/>
          <w:rtl w:val="0"/>
        </w:rPr>
        <w:t xml:space="preserve">confirmed</w:t>
      </w:r>
      <w:r w:rsidDel="00000000" w:rsidR="00000000" w:rsidRPr="00000000">
        <w:rPr>
          <w:rFonts w:ascii="Google Sans" w:cs="Google Sans" w:eastAsia="Google Sans" w:hAnsi="Google Sans"/>
          <w:color w:val="1f1f1f"/>
          <w:rtl w:val="0"/>
        </w:rPr>
        <w:t xml:space="preserve"> by recent 2026 earnings-call disclosures and industry reports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JPMorgan Chase confirmed that while third-party AI agents can access certain customer account data in a </w:t>
      </w:r>
      <w:r w:rsidDel="00000000" w:rsidR="00000000" w:rsidRPr="00000000">
        <w:rPr>
          <w:rFonts w:ascii="Google Sans" w:cs="Google Sans" w:eastAsia="Google Sans" w:hAnsi="Google Sans"/>
          <w:b w:val="1"/>
          <w:bCs w:val="1"/>
          <w:color w:val="1f1f1f"/>
          <w:rtl w:val="0"/>
        </w:rPr>
        <w:t xml:space="preserve">read-only format</w:t>
      </w:r>
      <w:r w:rsidDel="00000000" w:rsidR="00000000" w:rsidRPr="00000000">
        <w:rPr>
          <w:rFonts w:ascii="Google Sans" w:cs="Google Sans" w:eastAsia="Google Sans" w:hAnsi="Google Sans"/>
          <w:color w:val="1f1f1f"/>
          <w:rtl w:val="0"/>
        </w:rPr>
        <w:t xml:space="preserve"> through authorised Open Banking providers and data connectors, the bank </w:t>
      </w:r>
      <w:r w:rsidDel="00000000" w:rsidR="00000000" w:rsidRPr="00000000">
        <w:rPr>
          <w:rFonts w:ascii="Google Sans" w:cs="Google Sans" w:eastAsia="Google Sans" w:hAnsi="Google Sans"/>
          <w:b w:val="1"/>
          <w:bCs w:val="1"/>
          <w:color w:val="1f1f1f"/>
          <w:rtl w:val="0"/>
        </w:rPr>
        <w:t xml:space="preserve">blocks third-party AI agents from executing transactions</w:t>
      </w:r>
      <w:r w:rsidDel="00000000" w:rsidR="00000000" w:rsidRPr="00000000">
        <w:rPr>
          <w:rFonts w:ascii="Google Sans" w:cs="Google Sans" w:eastAsia="Google Sans" w:hAnsi="Google Sans"/>
          <w:color w:val="1f1f1f"/>
          <w:rtl w:val="0"/>
        </w:rPr>
        <w:t xml:space="preserve"> such as sending money, moving funds, or paying bills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CEO Jamie Dimon stated on an earnings call that giving external AI agents direct transactional access is currently too risky for clients and the bank, noting the liability transfer problem</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Simultaneously, JPMorgan CFO Jeremy Barnum disclosed that the bank launched a targeted pilot of its own internal, first-party AI tool, </w:t>
      </w:r>
      <w:r w:rsidDel="00000000" w:rsidR="00000000" w:rsidRPr="00000000">
        <w:rPr>
          <w:rFonts w:ascii="Google Sans" w:cs="Google Sans" w:eastAsia="Google Sans" w:hAnsi="Google Sans"/>
          <w:b w:val="1"/>
          <w:bCs w:val="1"/>
          <w:color w:val="1f1f1f"/>
          <w:rtl w:val="0"/>
        </w:rPr>
        <w:t xml:space="preserve">Smart Cash</w:t>
      </w:r>
      <w:r w:rsidDel="00000000" w:rsidR="00000000" w:rsidRPr="00000000">
        <w:rPr>
          <w:rFonts w:ascii="Google Sans" w:cs="Google Sans" w:eastAsia="Google Sans" w:hAnsi="Google Sans"/>
          <w:color w:val="1f1f1f"/>
          <w:rtl w:val="0"/>
        </w:rPr>
        <w:t xml:space="preserve">, which predicts a user's cash flow and moves funds to maximise yield inside the bank's controlled perimeter</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Similarly, Citigroup joined JPMorgan and other major Wall Street institutions in restricting autonomous third-party AI agents from accessing customer accounts to execute transactions or trades, citing the security vulnerability that AI agents can log in with legitimate credentials but act without clear, verifiable human approval</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panel's First-Line Product Owner and NED draw a crucial strategic lesson from this evidence: banks are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banning agentic AI; they are </w:t>
      </w:r>
      <w:r w:rsidDel="00000000" w:rsidR="00000000" w:rsidRPr="00000000">
        <w:rPr>
          <w:rFonts w:ascii="Google Sans" w:cs="Google Sans" w:eastAsia="Google Sans" w:hAnsi="Google Sans"/>
          <w:b w:val="1"/>
          <w:bCs w:val="1"/>
          <w:color w:val="1f1f1f"/>
          <w:rtl w:val="0"/>
        </w:rPr>
        <w:t xml:space="preserve">blocking external, third-party autonomous agents from executing write/payment actions</w:t>
      </w:r>
      <w:r w:rsidDel="00000000" w:rsidR="00000000" w:rsidRPr="00000000">
        <w:rPr>
          <w:rFonts w:ascii="Google Sans" w:cs="Google Sans" w:eastAsia="Google Sans" w:hAnsi="Google Sans"/>
          <w:color w:val="1f1f1f"/>
          <w:rtl w:val="0"/>
        </w:rPr>
        <w:t xml:space="preserve"> while building </w:t>
      </w:r>
      <w:r w:rsidDel="00000000" w:rsidR="00000000" w:rsidRPr="00000000">
        <w:rPr>
          <w:rFonts w:ascii="Google Sans" w:cs="Google Sans" w:eastAsia="Google Sans" w:hAnsi="Google Sans"/>
          <w:b w:val="1"/>
          <w:bCs w:val="1"/>
          <w:color w:val="1f1f1f"/>
          <w:rtl w:val="0"/>
        </w:rPr>
        <w:t xml:space="preserve">first-party, bank-governed AI agents</w:t>
      </w:r>
      <w:r w:rsidDel="00000000" w:rsidR="00000000" w:rsidRPr="00000000">
        <w:rPr>
          <w:rFonts w:ascii="Google Sans" w:cs="Google Sans" w:eastAsia="Google Sans" w:hAnsi="Google Sans"/>
          <w:color w:val="1f1f1f"/>
          <w:rtl w:val="0"/>
        </w:rPr>
        <w:t xml:space="preserve"> (like JPMorgan's Smart Cash or Nationwide's AI call summarisation and personalisation tools) inside their own regulatory perimeter</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Times of India, </w:t>
      </w:r>
      <w:r w:rsidDel="00000000" w:rsidR="00000000" w:rsidRPr="00000000">
        <w:rPr>
          <w:rFonts w:ascii="Google Sans" w:cs="Google Sans" w:eastAsia="Google Sans" w:hAnsi="Google Sans"/>
          <w:i w:val="1"/>
          <w:iCs w:val="1"/>
          <w:color w:val="1f1f1f"/>
          <w:rtl w:val="0"/>
        </w:rPr>
        <w:t xml:space="preserve">Bank blocks AI agents from taking actions confirms JPMorgan</w:t>
      </w:r>
      <w:r w:rsidDel="00000000" w:rsidR="00000000" w:rsidRPr="00000000">
        <w:rPr>
          <w:rFonts w:ascii="Google Sans" w:cs="Google Sans" w:eastAsia="Google Sans" w:hAnsi="Google Sans"/>
          <w:color w:val="1f1f1f"/>
          <w:rtl w:val="0"/>
        </w:rPr>
        <w:t xml:space="preserve"> (2026); Dealroom / Financial Press, </w:t>
      </w:r>
      <w:r w:rsidDel="00000000" w:rsidR="00000000" w:rsidRPr="00000000">
        <w:rPr>
          <w:rFonts w:ascii="Google Sans" w:cs="Google Sans" w:eastAsia="Google Sans" w:hAnsi="Google Sans"/>
          <w:i w:val="1"/>
          <w:iCs w:val="1"/>
          <w:color w:val="1f1f1f"/>
          <w:rtl w:val="0"/>
        </w:rPr>
        <w:t xml:space="preserve">Citi becomes latest US bank to restrict AI agents from accessing account</w:t>
      </w:r>
      <w:r w:rsidDel="00000000" w:rsidR="00000000" w:rsidRPr="00000000">
        <w:rPr>
          <w:rFonts w:ascii="Google Sans" w:cs="Google Sans" w:eastAsia="Google Sans" w:hAnsi="Google Sans"/>
          <w:color w:val="1f1f1f"/>
          <w:rtl w:val="0"/>
        </w:rPr>
        <w:t xml:space="preserve"> (2026), https://dealroom.co/news/other-1knxdh8-citi-becomes-latest-us-bank-to-restrict-ai-agents-from-accessing-account/; KuCoin / Wall Street Reports, </w:t>
      </w:r>
      <w:r w:rsidDel="00000000" w:rsidR="00000000" w:rsidRPr="00000000">
        <w:rPr>
          <w:rFonts w:ascii="Google Sans" w:cs="Google Sans" w:eastAsia="Google Sans" w:hAnsi="Google Sans"/>
          <w:i w:val="1"/>
          <w:iCs w:val="1"/>
          <w:color w:val="1f1f1f"/>
          <w:rtl w:val="0"/>
        </w:rPr>
        <w:t xml:space="preserve">JPMorgan and Other Wall Street Banks Restrict Access to AI Agent Trading</w:t>
      </w:r>
      <w:r w:rsidDel="00000000" w:rsidR="00000000" w:rsidRPr="00000000">
        <w:rPr>
          <w:rFonts w:ascii="Google Sans" w:cs="Google Sans" w:eastAsia="Google Sans" w:hAnsi="Google Sans"/>
          <w:color w:val="1f1f1f"/>
          <w:rtl w:val="0"/>
        </w:rPr>
        <w:t xml:space="preserve"> (2026)</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[confirmed] (see Section K).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product pitch must pivot away from "governing external customer AI agents executing payments" (which banks are simply blocking at the API gateway) toward "governing the bank's own first-party AI deployments and defending against AI-accelerated fraud/AML attacks"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I-GM-04: Detection Latency Benchmarks, Adaptive Models, and Google Cloud AML AI Evidence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speed and scale of AI-driven financial crime detection reveals a sharp architectural divide between </w:t>
      </w:r>
      <w:r w:rsidDel="00000000" w:rsidR="00000000" w:rsidRPr="00000000">
        <w:rPr>
          <w:rFonts w:ascii="Google Sans" w:cs="Google Sans" w:eastAsia="Google Sans" w:hAnsi="Google Sans"/>
          <w:b w:val="1"/>
          <w:bCs w:val="1"/>
          <w:color w:val="1f1f1f"/>
          <w:rtl w:val="0"/>
        </w:rPr>
        <w:t xml:space="preserve">real-time payment fraud / anomaly triage</w:t>
      </w:r>
      <w:r w:rsidDel="00000000" w:rsidR="00000000" w:rsidRPr="00000000">
        <w:rPr>
          <w:rFonts w:ascii="Google Sans" w:cs="Google Sans" w:eastAsia="Google Sans" w:hAnsi="Google Sans"/>
          <w:color w:val="1f1f1f"/>
          <w:rtl w:val="0"/>
        </w:rPr>
        <w:t xml:space="preserve"> (measured in milliseconds to seconds) and </w:t>
      </w:r>
      <w:r w:rsidDel="00000000" w:rsidR="00000000" w:rsidRPr="00000000">
        <w:rPr>
          <w:rFonts w:ascii="Google Sans" w:cs="Google Sans" w:eastAsia="Google Sans" w:hAnsi="Google Sans"/>
          <w:b w:val="1"/>
          <w:bCs w:val="1"/>
          <w:color w:val="1f1f1f"/>
          <w:rtl w:val="0"/>
        </w:rPr>
        <w:t xml:space="preserve">holistic Anti-Money Laundering (AML) customer risk scoring</w:t>
      </w:r>
      <w:r w:rsidDel="00000000" w:rsidR="00000000" w:rsidRPr="00000000">
        <w:rPr>
          <w:rFonts w:ascii="Google Sans" w:cs="Google Sans" w:eastAsia="Google Sans" w:hAnsi="Google Sans"/>
          <w:color w:val="1f1f1f"/>
          <w:rtl w:val="0"/>
        </w:rPr>
        <w:t xml:space="preserve"> (which evaluates multi-year network behaviour and reduces investigation cycles from weeks to days or hours to minutes)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43725"/>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905500" cy="694372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Specifically, the empirical evidence establishes three core technical and vendor benchmarks across the industry. First, </w:t>
      </w:r>
      <w:r w:rsidDel="00000000" w:rsidR="00000000" w:rsidRPr="00000000">
        <w:rPr>
          <w:rFonts w:ascii="Google Sans" w:cs="Google Sans" w:eastAsia="Google Sans" w:hAnsi="Google Sans"/>
          <w:b w:val="1"/>
          <w:bCs w:val="1"/>
          <w:color w:val="1f1f1f"/>
          <w:rtl w:val="0"/>
        </w:rPr>
        <w:t xml:space="preserve">Google Cloud AML AI and HSBC ("Dynamic Risk Assessment" - DRA)</w:t>
      </w:r>
      <w:r w:rsidDel="00000000" w:rsidR="00000000" w:rsidRPr="00000000">
        <w:rPr>
          <w:rFonts w:ascii="Google Sans" w:cs="Google Sans" w:eastAsia="Google Sans" w:hAnsi="Google Sans"/>
          <w:color w:val="1f1f1f"/>
          <w:rtl w:val="0"/>
        </w:rPr>
        <w:t xml:space="preserve">—launched in June 2023 and deployed as HSBC's primary cloud-based AML transaction monitoring system across key markets (earning HSBC the Celent Model Risk Manager of the Year 2023 and Regulation Asia's Best Transaction Monitoring Solution 2024, and documented in the World Bank AI Repository)—demonstrates how production ML pipelines operate at scale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Crucially, as GroundTruth AI (co-founded by Matthew Bazeley) explains, Google's AML AI does not score each individual transaction in sub-second real time; instead, it is a supervised learning pipeline on Vertex AI and BigQuery that evaluates 2 years of customer transactional, network, and KYC data holistically to generate a consolidated customer AML risk score</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While legacy rules-based systems suffer from over 95% false positives in phase-1 review (with approximately 98% of alerts never culminating in a SAR)</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Google Cloud AML AI at HSBC identified 2x to 4x as much confirmed suspicious activity (measured by SARs filed) while reducing alert volumes and false positives by 60%</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cutting average end-to-end investigation conclusion times from several weeks to about 8 days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Other disclosed adopters include Banco Bradesco and Nordic digital challenger Lunar</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operating under Google Cloud's contractual SLA guaranteeing </w:t>
      </w:r>
      <w:r w:rsidDel="00000000" w:rsidR="00000000" w:rsidRPr="00000000">
        <w:rPr>
          <w:rFonts w:ascii="Google Sans" w:cs="Google Sans" w:eastAsia="Google Sans" w:hAnsi="Google Sans"/>
          <w:color w:val="1f1f1f"/>
        </w:rPr>
        <w:drawing>
          <wp:inline distB="19050" distT="19050" distL="19050" distR="19050">
            <wp:extent cx="718542" cy="208609"/>
            <wp:effectExtent b="0" l="0" r="0" t="0"/>
            <wp:docPr id="13"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718542" cy="2086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monthly uptime (where a Downtime Period is defined as </w:t>
      </w:r>
      <w:r w:rsidDel="00000000" w:rsidR="00000000" w:rsidRPr="00000000">
        <w:rPr>
          <w:rFonts w:ascii="Google Sans" w:cs="Google Sans" w:eastAsia="Google Sans" w:hAnsi="Google Sans"/>
          <w:color w:val="1f1f1f"/>
        </w:rPr>
        <w:drawing>
          <wp:inline distB="19050" distT="19050" distL="19050" distR="19050">
            <wp:extent cx="304919" cy="205820"/>
            <wp:effectExtent b="0" l="0" r="0" t="0"/>
            <wp:docPr id="1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04919" cy="2058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consecutive minutes)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broader AI AML and fraud vendor deployments ([marketing-grade]) show comparable efficiency gains: </w:t>
      </w:r>
      <w:r w:rsidDel="00000000" w:rsidR="00000000" w:rsidRPr="00000000">
        <w:rPr>
          <w:rFonts w:ascii="Google Sans" w:cs="Google Sans" w:eastAsia="Google Sans" w:hAnsi="Google Sans"/>
          <w:b w:val="1"/>
          <w:bCs w:val="1"/>
          <w:color w:val="1f1f1f"/>
          <w:rtl w:val="0"/>
        </w:rPr>
        <w:t xml:space="preserve">Absa Bank</w:t>
      </w:r>
      <w:r w:rsidDel="00000000" w:rsidR="00000000" w:rsidRPr="00000000">
        <w:rPr>
          <w:rFonts w:ascii="Google Sans" w:cs="Google Sans" w:eastAsia="Google Sans" w:hAnsi="Google Sans"/>
          <w:color w:val="1f1f1f"/>
          <w:rtl w:val="0"/>
        </w:rPr>
        <w:t xml:space="preserve"> reduced false positives by 77% while uncovering 21 previously missed high-risk patterns and achieving a 10.5% hit rate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C3 AI</w:t>
      </w:r>
      <w:r w:rsidDel="00000000" w:rsidR="00000000" w:rsidRPr="00000000">
        <w:rPr>
          <w:rFonts w:ascii="Google Sans" w:cs="Google Sans" w:eastAsia="Google Sans" w:hAnsi="Google Sans"/>
          <w:color w:val="1f1f1f"/>
          <w:rtl w:val="0"/>
        </w:rPr>
        <w:t xml:space="preserve"> clients report up to 85% reductions in false positives, doubled true-positive detection, and investigator dashboards that cut case resolution time by over 40% [marketing-grade]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Credal.ai</w:t>
      </w:r>
      <w:r w:rsidDel="00000000" w:rsidR="00000000" w:rsidRPr="00000000">
        <w:rPr>
          <w:rFonts w:ascii="Google Sans" w:cs="Google Sans" w:eastAsia="Google Sans" w:hAnsi="Google Sans"/>
          <w:color w:val="1f1f1f"/>
          <w:rtl w:val="0"/>
        </w:rPr>
        <w:t xml:space="preserve"> demonstrated that LLM integration into AML workflows cuts investigation and SAR report drafting time by 30%–50%, allowing analysts to spend minutes rather than hours writing case notes [marketing-grade]</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Third, testing the practitioner claim that "financial crime trigger latency can be cut from about 30 minutes to under 20 seconds with self-learning models" shows that while moving from end-of-day or 30-minute micro-batch rules to streaming real-time AI inference can cut transaction fraud trigger latency from minutes to seconds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this figure is not a standard AML benchmark in regulatory or Google Cloud AML AI documentation (since AML AI scores holistic customer risk over a 2-year window rather than per-transaction sub-20-second triggers)</w:t>
      </w:r>
      <w:r w:rsidDel="00000000" w:rsidR="00000000" w:rsidRPr="00000000">
        <w:rPr>
          <w:rFonts w:ascii="Google Sans" w:cs="Google Sans" w:eastAsia="Google Sans" w:hAnsi="Google Sans"/>
          <w:color w:val="444746"/>
          <w:sz w:val="24"/>
          <w:szCs w:val="24"/>
          <w:vertAlign w:val="superscript"/>
          <w:rtl w:val="0"/>
        </w:rPr>
        <w:t xml:space="preserve">72</w:t>
      </w:r>
      <w:r w:rsidDel="00000000" w:rsidR="00000000" w:rsidRPr="00000000">
        <w:rPr>
          <w:rFonts w:ascii="Google Sans" w:cs="Google Sans" w:eastAsia="Google Sans" w:hAnsi="Google Sans"/>
          <w:color w:val="1f1f1f"/>
          <w:rtl w:val="0"/>
        </w:rPr>
        <w:t xml:space="preserve">. Furthermore, under </w:t>
      </w:r>
      <w:r w:rsidDel="00000000" w:rsidR="00000000" w:rsidRPr="00000000">
        <w:rPr>
          <w:rFonts w:ascii="Google Sans" w:cs="Google Sans" w:eastAsia="Google Sans" w:hAnsi="Google Sans"/>
          <w:b w:val="1"/>
          <w:bCs w:val="1"/>
          <w:color w:val="1f1f1f"/>
          <w:rtl w:val="0"/>
        </w:rPr>
        <w:t xml:space="preserve">PRA SS1/23</w:t>
      </w:r>
      <w:r w:rsidDel="00000000" w:rsidR="00000000" w:rsidRPr="00000000">
        <w:rPr>
          <w:rFonts w:ascii="Google Sans" w:cs="Google Sans" w:eastAsia="Google Sans" w:hAnsi="Google Sans"/>
          <w:color w:val="1f1f1f"/>
          <w:rtl w:val="0"/>
        </w:rPr>
        <w:t xml:space="preserve">, UK banks are not permitted to allow "self-learning" models to autonomously re-tune production AML or fraud thresholds in real time without human model-risk validation, back-testing against labelled exit/SAR datasets, and documented governance sign-off, because unvalidated threshold drift could silently blind the bank's monitoring—repeating the Metro Bank or Starling failure modes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GroundTruth AI, </w:t>
      </w:r>
      <w:r w:rsidDel="00000000" w:rsidR="00000000" w:rsidRPr="00000000">
        <w:rPr>
          <w:rFonts w:ascii="Google Sans" w:cs="Google Sans" w:eastAsia="Google Sans" w:hAnsi="Google Sans"/>
          <w:i w:val="1"/>
          <w:iCs w:val="1"/>
          <w:color w:val="1f1f1f"/>
          <w:rtl w:val="0"/>
        </w:rPr>
        <w:t xml:space="preserve">Google AML AI in 3 minutes</w:t>
      </w:r>
      <w:r w:rsidDel="00000000" w:rsidR="00000000" w:rsidRPr="00000000">
        <w:rPr>
          <w:rFonts w:ascii="Google Sans" w:cs="Google Sans" w:eastAsia="Google Sans" w:hAnsi="Google Sans"/>
          <w:color w:val="1f1f1f"/>
          <w:rtl w:val="0"/>
        </w:rPr>
        <w:t xml:space="preserve"> (2023/2025), https://groundtruthai.net/resources/google-aml-ai-in-three-minutes; World Bank AI Repository, </w:t>
      </w:r>
      <w:r w:rsidDel="00000000" w:rsidR="00000000" w:rsidRPr="00000000">
        <w:rPr>
          <w:rFonts w:ascii="Google Sans" w:cs="Google Sans" w:eastAsia="Google Sans" w:hAnsi="Google Sans"/>
          <w:i w:val="1"/>
          <w:iCs w:val="1"/>
          <w:color w:val="1f1f1f"/>
          <w:rtl w:val="0"/>
        </w:rPr>
        <w:t xml:space="preserve">HSBC Dynamic Risk Assessment: AML &amp; Fraud Detection</w:t>
      </w:r>
      <w:r w:rsidDel="00000000" w:rsidR="00000000" w:rsidRPr="00000000">
        <w:rPr>
          <w:rFonts w:ascii="Google Sans" w:cs="Google Sans" w:eastAsia="Google Sans" w:hAnsi="Google Sans"/>
          <w:color w:val="1f1f1f"/>
          <w:rtl w:val="0"/>
        </w:rPr>
        <w:t xml:space="preserve"> (2024/2025), https://airepository.worldbank.org/use-case/hsbc-dynamic-risk-assessment-aml-fraud-detection; Google Cloud Press Corner, </w:t>
      </w:r>
      <w:r w:rsidDel="00000000" w:rsidR="00000000" w:rsidRPr="00000000">
        <w:rPr>
          <w:rFonts w:ascii="Google Sans" w:cs="Google Sans" w:eastAsia="Google Sans" w:hAnsi="Google Sans"/>
          <w:i w:val="1"/>
          <w:iCs w:val="1"/>
          <w:color w:val="1f1f1f"/>
          <w:rtl w:val="0"/>
        </w:rPr>
        <w:t xml:space="preserve">Google Cloud Launches AI-Powered Anti-Money Laundering Product</w:t>
      </w:r>
      <w:r w:rsidDel="00000000" w:rsidR="00000000" w:rsidRPr="00000000">
        <w:rPr>
          <w:rFonts w:ascii="Google Sans" w:cs="Google Sans" w:eastAsia="Google Sans" w:hAnsi="Google Sans"/>
          <w:color w:val="1f1f1f"/>
          <w:rtl w:val="0"/>
        </w:rPr>
        <w:t xml:space="preserve"> (21 June 2023), https://www.googlecloudpresscorner.com/2023-06-21-Google-Cloud-Launches-AI-Powered-Anti-Money-Laundering-Product-for-Financial-Institutions; SmartDev, </w:t>
      </w:r>
      <w:r w:rsidDel="00000000" w:rsidR="00000000" w:rsidRPr="00000000">
        <w:rPr>
          <w:rFonts w:ascii="Google Sans" w:cs="Google Sans" w:eastAsia="Google Sans" w:hAnsi="Google Sans"/>
          <w:i w:val="1"/>
          <w:iCs w:val="1"/>
          <w:color w:val="1f1f1f"/>
          <w:rtl w:val="0"/>
        </w:rPr>
        <w:t xml:space="preserve">AI Use Cases in AML</w:t>
      </w:r>
      <w:r w:rsidDel="00000000" w:rsidR="00000000" w:rsidRPr="00000000">
        <w:rPr>
          <w:rFonts w:ascii="Google Sans" w:cs="Google Sans" w:eastAsia="Google Sans" w:hAnsi="Google Sans"/>
          <w:color w:val="1f1f1f"/>
          <w:rtl w:val="0"/>
        </w:rPr>
        <w:t xml:space="preserve"> (2025/2026), https://smartdev.com/ai-use-cases-in-aml/</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[marketing-grade] (for vendor % claims) [conflict] (on real-time per-transaction vs holistic batch scoring).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The platform should not try to replace heavy BigQuery/Vertex AI transaction-scoring engines like Google Cloud AML AI; instead, it should sit </w:t>
      </w:r>
      <w:r w:rsidDel="00000000" w:rsidR="00000000" w:rsidRPr="00000000">
        <w:rPr>
          <w:rFonts w:ascii="Google Sans" w:cs="Google Sans" w:eastAsia="Google Sans" w:hAnsi="Google Sans"/>
          <w:i w:val="1"/>
          <w:iCs w:val="1"/>
          <w:color w:val="1f1f1f"/>
          <w:rtl w:val="0"/>
        </w:rPr>
        <w:t xml:space="preserve">above</w:t>
      </w:r>
      <w:r w:rsidDel="00000000" w:rsidR="00000000" w:rsidRPr="00000000">
        <w:rPr>
          <w:rFonts w:ascii="Google Sans" w:cs="Google Sans" w:eastAsia="Google Sans" w:hAnsi="Google Sans"/>
          <w:color w:val="1f1f1f"/>
          <w:rtl w:val="0"/>
        </w:rPr>
        <w:t xml:space="preserve"> them as the </w:t>
      </w:r>
      <w:r w:rsidDel="00000000" w:rsidR="00000000" w:rsidRPr="00000000">
        <w:rPr>
          <w:rFonts w:ascii="Google Sans" w:cs="Google Sans" w:eastAsia="Google Sans" w:hAnsi="Google Sans"/>
          <w:b w:val="1"/>
          <w:bCs w:val="1"/>
          <w:color w:val="1f1f1f"/>
          <w:rtl w:val="0"/>
        </w:rPr>
        <w:t xml:space="preserve">Board &amp; SMF4/SMF17 Governance Layer</w:t>
      </w:r>
      <w:r w:rsidDel="00000000" w:rsidR="00000000" w:rsidRPr="00000000">
        <w:rPr>
          <w:rFonts w:ascii="Google Sans" w:cs="Google Sans" w:eastAsia="Google Sans" w:hAnsi="Google Sans"/>
          <w:color w:val="1f1f1f"/>
          <w:rtl w:val="0"/>
        </w:rPr>
        <w:t xml:space="preserve">, tracking model drift (SS1/23), false-positive-to-SAR conversion ratios, data-feed reconciliation completeness, and threshold-change approvals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 — Market, buyers and competitors</w:t>
      </w:r>
    </w:p>
    <w:p w:rsidR="00000000" w:rsidDel="00000000" w:rsidP="00000000" w:rsidRDefault="00000000" w:rsidRPr="00000000" w14:paraId="0000015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J-GM-01: UK Building Societies — Market Size, Testing the "25% Market Share" Claim, Tiers, and Maturity</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the Building Societies Association (BSA) </w:t>
      </w:r>
      <w:r w:rsidDel="00000000" w:rsidR="00000000" w:rsidRPr="00000000">
        <w:rPr>
          <w:rFonts w:ascii="Google Sans" w:cs="Google Sans" w:eastAsia="Google Sans" w:hAnsi="Google Sans"/>
          <w:i w:val="1"/>
          <w:iCs w:val="1"/>
          <w:color w:val="1f1f1f"/>
          <w:rtl w:val="0"/>
        </w:rPr>
        <w:t xml:space="preserve">Yearbook 2024/25</w:t>
      </w:r>
      <w:r w:rsidDel="00000000" w:rsidR="00000000" w:rsidRPr="00000000">
        <w:rPr>
          <w:rFonts w:ascii="Google Sans" w:cs="Google Sans" w:eastAsia="Google Sans" w:hAnsi="Google Sans"/>
          <w:color w:val="1f1f1f"/>
          <w:rtl w:val="0"/>
        </w:rPr>
        <w:t xml:space="preserve">, House of Lords Library Briefing </w:t>
      </w:r>
      <w:r w:rsidDel="00000000" w:rsidR="00000000" w:rsidRPr="00000000">
        <w:rPr>
          <w:rFonts w:ascii="Google Sans" w:cs="Google Sans" w:eastAsia="Google Sans" w:hAnsi="Google Sans"/>
          <w:i w:val="1"/>
          <w:iCs w:val="1"/>
          <w:color w:val="1f1f1f"/>
          <w:rtl w:val="0"/>
        </w:rPr>
        <w:t xml:space="preserve">LLN-2024-0018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Building Societies Act 1986 (Amendment) Bill</w:t>
      </w:r>
      <w:r w:rsidDel="00000000" w:rsidR="00000000" w:rsidRPr="00000000">
        <w:rPr>
          <w:rFonts w:ascii="Google Sans" w:cs="Google Sans" w:eastAsia="Google Sans" w:hAnsi="Google Sans"/>
          <w:color w:val="1f1f1f"/>
          <w:rtl w:val="0"/>
        </w:rPr>
        <w:t xml:space="preserve">, 23 April 2024), and BSA </w:t>
      </w:r>
      <w:r w:rsidDel="00000000" w:rsidR="00000000" w:rsidRPr="00000000">
        <w:rPr>
          <w:rFonts w:ascii="Google Sans" w:cs="Google Sans" w:eastAsia="Google Sans" w:hAnsi="Google Sans"/>
          <w:i w:val="1"/>
          <w:iCs w:val="1"/>
          <w:color w:val="1f1f1f"/>
          <w:rtl w:val="0"/>
        </w:rPr>
        <w:t xml:space="preserve">Trading Updates</w:t>
      </w:r>
      <w:r w:rsidDel="00000000" w:rsidR="00000000" w:rsidRPr="00000000">
        <w:rPr>
          <w:rFonts w:ascii="Google Sans" w:cs="Google Sans" w:eastAsia="Google Sans" w:hAnsi="Google Sans"/>
          <w:color w:val="1f1f1f"/>
          <w:rtl w:val="0"/>
        </w:rPr>
        <w:t xml:space="preserve"> (June 2025 and November 2025), the UK mutual sector comprises </w:t>
      </w:r>
      <w:r w:rsidDel="00000000" w:rsidR="00000000" w:rsidRPr="00000000">
        <w:rPr>
          <w:rFonts w:ascii="Google Sans" w:cs="Google Sans" w:eastAsia="Google Sans" w:hAnsi="Google Sans"/>
          <w:b w:val="1"/>
          <w:bCs w:val="1"/>
          <w:color w:val="1f1f1f"/>
          <w:rtl w:val="0"/>
        </w:rPr>
        <w:t xml:space="preserve">42 building societies</w:t>
      </w:r>
      <w:r w:rsidDel="00000000" w:rsidR="00000000" w:rsidRPr="00000000">
        <w:rPr>
          <w:rFonts w:ascii="Google Sans" w:cs="Google Sans" w:eastAsia="Google Sans" w:hAnsi="Google Sans"/>
          <w:color w:val="1f1f1f"/>
          <w:rtl w:val="0"/>
        </w:rPr>
        <w:t xml:space="preserve"> (plus 7 large credit unions in the NCUF and two mutual-owned banks, notably The Co-operative Bank acquired by Coventry Building Society, and Virgin Money acquired by Nationwide Building Society on 01 October 2024), serving over </w:t>
      </w:r>
      <w:r w:rsidDel="00000000" w:rsidR="00000000" w:rsidRPr="00000000">
        <w:rPr>
          <w:rFonts w:ascii="Google Sans" w:cs="Google Sans" w:eastAsia="Google Sans" w:hAnsi="Google Sans"/>
          <w:b w:val="1"/>
          <w:bCs w:val="1"/>
          <w:color w:val="1f1f1f"/>
          <w:rtl w:val="0"/>
        </w:rPr>
        <w:t xml:space="preserve">26 million members</w:t>
      </w:r>
      <w:r w:rsidDel="00000000" w:rsidR="00000000" w:rsidRPr="00000000">
        <w:rPr>
          <w:rFonts w:ascii="Google Sans" w:cs="Google Sans" w:eastAsia="Google Sans" w:hAnsi="Google Sans"/>
          <w:color w:val="1f1f1f"/>
          <w:rtl w:val="0"/>
        </w:rPr>
        <w:t xml:space="preserve"> with combined building society assets exceeding </w:t>
      </w:r>
      <w:r w:rsidDel="00000000" w:rsidR="00000000" w:rsidRPr="00000000">
        <w:rPr>
          <w:rFonts w:ascii="Google Sans" w:cs="Google Sans" w:eastAsia="Google Sans" w:hAnsi="Google Sans"/>
          <w:b w:val="1"/>
          <w:bCs w:val="1"/>
          <w:color w:val="1f1f1f"/>
          <w:rtl w:val="0"/>
        </w:rPr>
        <w:t xml:space="preserve">£502 billion</w:t>
      </w:r>
      <w:r w:rsidDel="00000000" w:rsidR="00000000" w:rsidRPr="00000000">
        <w:rPr>
          <w:rFonts w:ascii="Google Sans" w:cs="Google Sans" w:eastAsia="Google Sans" w:hAnsi="Google Sans"/>
          <w:color w:val="1f1f1f"/>
          <w:rtl w:val="0"/>
        </w:rPr>
        <w:t xml:space="preserve"> (and total mortgage balances across building societies and mutual-owned banks reaching </w:t>
      </w:r>
      <w:r w:rsidDel="00000000" w:rsidR="00000000" w:rsidRPr="00000000">
        <w:rPr>
          <w:rFonts w:ascii="Google Sans" w:cs="Google Sans" w:eastAsia="Google Sans" w:hAnsi="Google Sans"/>
          <w:b w:val="1"/>
          <w:bCs w:val="1"/>
          <w:color w:val="1f1f1f"/>
          <w:rtl w:val="0"/>
        </w:rPr>
        <w:t xml:space="preserve">£493 billion</w:t>
      </w:r>
      <w:r w:rsidDel="00000000" w:rsidR="00000000" w:rsidRPr="00000000">
        <w:rPr>
          <w:rFonts w:ascii="Google Sans" w:cs="Google Sans" w:eastAsia="Google Sans" w:hAnsi="Google Sans"/>
          <w:color w:val="1f1f1f"/>
          <w:rtl w:val="0"/>
        </w:rPr>
        <w:t xml:space="preserve"> alongside </w:t>
      </w:r>
      <w:r w:rsidDel="00000000" w:rsidR="00000000" w:rsidRPr="00000000">
        <w:rPr>
          <w:rFonts w:ascii="Google Sans" w:cs="Google Sans" w:eastAsia="Google Sans" w:hAnsi="Google Sans"/>
          <w:b w:val="1"/>
          <w:bCs w:val="1"/>
          <w:color w:val="1f1f1f"/>
          <w:rtl w:val="0"/>
        </w:rPr>
        <w:t xml:space="preserve">£496 billion</w:t>
      </w:r>
      <w:r w:rsidDel="00000000" w:rsidR="00000000" w:rsidRPr="00000000">
        <w:rPr>
          <w:rFonts w:ascii="Google Sans" w:cs="Google Sans" w:eastAsia="Google Sans" w:hAnsi="Google Sans"/>
          <w:color w:val="1f1f1f"/>
          <w:rtl w:val="0"/>
        </w:rPr>
        <w:t xml:space="preserve"> in cash savings balances as at September 2025)</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Under the </w:t>
      </w:r>
      <w:r w:rsidDel="00000000" w:rsidR="00000000" w:rsidRPr="00000000">
        <w:rPr>
          <w:rFonts w:ascii="Google Sans" w:cs="Google Sans" w:eastAsia="Google Sans" w:hAnsi="Google Sans"/>
          <w:b w:val="1"/>
          <w:bCs w:val="1"/>
          <w:color w:val="1f1f1f"/>
          <w:rtl w:val="0"/>
        </w:rPr>
        <w:t xml:space="preserve">Building Societies Act 1986</w:t>
      </w:r>
      <w:r w:rsidDel="00000000" w:rsidR="00000000" w:rsidRPr="00000000">
        <w:rPr>
          <w:rFonts w:ascii="Google Sans" w:cs="Google Sans" w:eastAsia="Google Sans" w:hAnsi="Google Sans"/>
          <w:color w:val="1f1f1f"/>
          <w:rtl w:val="0"/>
        </w:rPr>
        <w:t xml:space="preserve"> (recently modernised by the Building Societies Act 1986 (Amendment) Act 2024), building societies are subject to two statutory balance-sheet constraints: the </w:t>
      </w:r>
      <w:r w:rsidDel="00000000" w:rsidR="00000000" w:rsidRPr="00000000">
        <w:rPr>
          <w:rFonts w:ascii="Google Sans" w:cs="Google Sans" w:eastAsia="Google Sans" w:hAnsi="Google Sans"/>
          <w:b w:val="1"/>
          <w:bCs w:val="1"/>
          <w:color w:val="1f1f1f"/>
          <w:rtl w:val="0"/>
        </w:rPr>
        <w:t xml:space="preserve">nature limit</w:t>
      </w:r>
      <w:r w:rsidDel="00000000" w:rsidR="00000000" w:rsidRPr="00000000">
        <w:rPr>
          <w:rFonts w:ascii="Google Sans" w:cs="Google Sans" w:eastAsia="Google Sans" w:hAnsi="Google Sans"/>
          <w:color w:val="1f1f1f"/>
          <w:rtl w:val="0"/>
        </w:rPr>
        <w:t xml:space="preserve"> (at least </w:t>
      </w:r>
      <w:r w:rsidDel="00000000" w:rsidR="00000000" w:rsidRPr="00000000">
        <w:rPr>
          <w:rFonts w:ascii="Google Sans" w:cs="Google Sans" w:eastAsia="Google Sans" w:hAnsi="Google Sans"/>
          <w:b w:val="1"/>
          <w:bCs w:val="1"/>
          <w:color w:val="1f1f1f"/>
          <w:rtl w:val="0"/>
        </w:rPr>
        <w:t xml:space="preserve">75%</w:t>
      </w:r>
      <w:r w:rsidDel="00000000" w:rsidR="00000000" w:rsidRPr="00000000">
        <w:rPr>
          <w:rFonts w:ascii="Google Sans" w:cs="Google Sans" w:eastAsia="Google Sans" w:hAnsi="Google Sans"/>
          <w:color w:val="1f1f1f"/>
          <w:rtl w:val="0"/>
        </w:rPr>
        <w:t xml:space="preserve"> of assets must be residential property loans/mortgages) and the </w:t>
      </w:r>
      <w:r w:rsidDel="00000000" w:rsidR="00000000" w:rsidRPr="00000000">
        <w:rPr>
          <w:rFonts w:ascii="Google Sans" w:cs="Google Sans" w:eastAsia="Google Sans" w:hAnsi="Google Sans"/>
          <w:b w:val="1"/>
          <w:bCs w:val="1"/>
          <w:color w:val="1f1f1f"/>
          <w:rtl w:val="0"/>
        </w:rPr>
        <w:t xml:space="preserve">funding limit</w:t>
      </w:r>
      <w:r w:rsidDel="00000000" w:rsidR="00000000" w:rsidRPr="00000000">
        <w:rPr>
          <w:rFonts w:ascii="Google Sans" w:cs="Google Sans" w:eastAsia="Google Sans" w:hAnsi="Google Sans"/>
          <w:color w:val="1f1f1f"/>
          <w:rtl w:val="0"/>
        </w:rPr>
        <w:t xml:space="preserve"> (at least </w:t>
      </w:r>
      <w:r w:rsidDel="00000000" w:rsidR="00000000" w:rsidRPr="00000000">
        <w:rPr>
          <w:rFonts w:ascii="Google Sans" w:cs="Google Sans" w:eastAsia="Google Sans" w:hAnsi="Google Sans"/>
          <w:b w:val="1"/>
          <w:bCs w:val="1"/>
          <w:color w:val="1f1f1f"/>
          <w:rtl w:val="0"/>
        </w:rPr>
        <w:t xml:space="preserve">50%</w:t>
      </w:r>
      <w:r w:rsidDel="00000000" w:rsidR="00000000" w:rsidRPr="00000000">
        <w:rPr>
          <w:rFonts w:ascii="Google Sans" w:cs="Google Sans" w:eastAsia="Google Sans" w:hAnsi="Google Sans"/>
          <w:color w:val="1f1f1f"/>
          <w:rtl w:val="0"/>
        </w:rPr>
        <w:t xml:space="preserve"> of funding must come from member deposits, with wholesale funding capped at 50%—and in practice averaging well below 31.5%)</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7839075"/>
            <wp:effectExtent b="0" l="0" r="0" t="0"/>
            <wp:docPr id="1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05500" cy="7839075"/>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Testing the practitioner claim that </w:t>
      </w:r>
      <w:r w:rsidDel="00000000" w:rsidR="00000000" w:rsidRPr="00000000">
        <w:rPr>
          <w:rFonts w:ascii="Google Sans" w:cs="Google Sans" w:eastAsia="Google Sans" w:hAnsi="Google Sans"/>
          <w:b w:val="1"/>
          <w:bCs w:val="1"/>
          <w:color w:val="1f1f1f"/>
          <w:rtl w:val="0"/>
        </w:rPr>
        <w:t xml:space="preserve">"building societies are about 25% of the UK market"</w:t>
      </w:r>
      <w:r w:rsidDel="00000000" w:rsidR="00000000" w:rsidRPr="00000000">
        <w:rPr>
          <w:rFonts w:ascii="Google Sans" w:cs="Google Sans" w:eastAsia="Google Sans" w:hAnsi="Google Sans"/>
          <w:color w:val="1f1f1f"/>
          <w:rtl w:val="0"/>
        </w:rPr>
        <w:t xml:space="preserve"> proves </w:t>
      </w:r>
      <w:r w:rsidDel="00000000" w:rsidR="00000000" w:rsidRPr="00000000">
        <w:rPr>
          <w:rFonts w:ascii="Google Sans" w:cs="Google Sans" w:eastAsia="Google Sans" w:hAnsi="Google Sans"/>
          <w:b w:val="1"/>
          <w:bCs w:val="1"/>
          <w:color w:val="1f1f1f"/>
          <w:rtl w:val="0"/>
        </w:rPr>
        <w:t xml:space="preserve">confirmed for core stock and new-lending measures, and exceeded on flow and Cash ISA metrics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Specifically, three primary market measures directly anchor the ~25% figure: first, for </w:t>
      </w:r>
      <w:r w:rsidDel="00000000" w:rsidR="00000000" w:rsidRPr="00000000">
        <w:rPr>
          <w:rFonts w:ascii="Google Sans" w:cs="Google Sans" w:eastAsia="Google Sans" w:hAnsi="Google Sans"/>
          <w:b w:val="1"/>
          <w:bCs w:val="1"/>
          <w:color w:val="1f1f1f"/>
          <w:rtl w:val="0"/>
        </w:rPr>
        <w:t xml:space="preserve">new mortgage lending</w:t>
      </w:r>
      <w:r w:rsidDel="00000000" w:rsidR="00000000" w:rsidRPr="00000000">
        <w:rPr>
          <w:rFonts w:ascii="Google Sans" w:cs="Google Sans" w:eastAsia="Google Sans" w:hAnsi="Google Sans"/>
          <w:color w:val="1f1f1f"/>
          <w:rtl w:val="0"/>
        </w:rPr>
        <w:t xml:space="preserve"> between January and September 2023, the BSA and House of Lords Library Briefing explicitly report that building societies accounted for </w:t>
      </w:r>
      <w:r w:rsidDel="00000000" w:rsidR="00000000" w:rsidRPr="00000000">
        <w:rPr>
          <w:rFonts w:ascii="Google Sans" w:cs="Google Sans" w:eastAsia="Google Sans" w:hAnsi="Google Sans"/>
          <w:b w:val="1"/>
          <w:bCs w:val="1"/>
          <w:color w:val="1f1f1f"/>
          <w:rtl w:val="0"/>
        </w:rPr>
        <w:t xml:space="preserve">over a quarter (25%+)</w:t>
      </w:r>
      <w:r w:rsidDel="00000000" w:rsidR="00000000" w:rsidRPr="00000000">
        <w:rPr>
          <w:rFonts w:ascii="Google Sans" w:cs="Google Sans" w:eastAsia="Google Sans" w:hAnsi="Google Sans"/>
          <w:color w:val="1f1f1f"/>
          <w:rtl w:val="0"/>
        </w:rPr>
        <w:t xml:space="preserve"> of all new mortgage lending in the UK</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second, for </w:t>
      </w:r>
      <w:r w:rsidDel="00000000" w:rsidR="00000000" w:rsidRPr="00000000">
        <w:rPr>
          <w:rFonts w:ascii="Google Sans" w:cs="Google Sans" w:eastAsia="Google Sans" w:hAnsi="Google Sans"/>
          <w:b w:val="1"/>
          <w:bCs w:val="1"/>
          <w:color w:val="1f1f1f"/>
          <w:rtl w:val="0"/>
        </w:rPr>
        <w:t xml:space="preserve">outstanding mortgage balances (stock)</w:t>
      </w:r>
      <w:r w:rsidDel="00000000" w:rsidR="00000000" w:rsidRPr="00000000">
        <w:rPr>
          <w:rFonts w:ascii="Google Sans" w:cs="Google Sans" w:eastAsia="Google Sans" w:hAnsi="Google Sans"/>
          <w:color w:val="1f1f1f"/>
          <w:rtl w:val="0"/>
        </w:rPr>
        <w:t xml:space="preserve">, building societies held </w:t>
      </w:r>
      <w:r w:rsidDel="00000000" w:rsidR="00000000" w:rsidRPr="00000000">
        <w:rPr>
          <w:rFonts w:ascii="Google Sans" w:cs="Google Sans" w:eastAsia="Google Sans" w:hAnsi="Google Sans"/>
          <w:b w:val="1"/>
          <w:bCs w:val="1"/>
          <w:color w:val="1f1f1f"/>
          <w:rtl w:val="0"/>
        </w:rPr>
        <w:t xml:space="preserve">23%</w:t>
      </w:r>
      <w:r w:rsidDel="00000000" w:rsidR="00000000" w:rsidRPr="00000000">
        <w:rPr>
          <w:rFonts w:ascii="Google Sans" w:cs="Google Sans" w:eastAsia="Google Sans" w:hAnsi="Google Sans"/>
          <w:color w:val="1f1f1f"/>
          <w:rtl w:val="0"/>
        </w:rPr>
        <w:t xml:space="preserve"> of UK mortgage balances (£370.0 billion) in 2022/2023</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rtl w:val="0"/>
        </w:rPr>
        <w:t xml:space="preserve">, rising to </w:t>
      </w:r>
      <w:r w:rsidDel="00000000" w:rsidR="00000000" w:rsidRPr="00000000">
        <w:rPr>
          <w:rFonts w:ascii="Google Sans" w:cs="Google Sans" w:eastAsia="Google Sans" w:hAnsi="Google Sans"/>
          <w:b w:val="1"/>
          <w:bCs w:val="1"/>
          <w:color w:val="1f1f1f"/>
          <w:rtl w:val="0"/>
        </w:rPr>
        <w:t xml:space="preserve">29%</w:t>
      </w:r>
      <w:r w:rsidDel="00000000" w:rsidR="00000000" w:rsidRPr="00000000">
        <w:rPr>
          <w:rFonts w:ascii="Google Sans" w:cs="Google Sans" w:eastAsia="Google Sans" w:hAnsi="Google Sans"/>
          <w:color w:val="1f1f1f"/>
          <w:rtl w:val="0"/>
        </w:rPr>
        <w:t xml:space="preserve"> (£493 billion) by March–September 2025 when including the two mutual-owned banks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and third, for </w:t>
      </w:r>
      <w:r w:rsidDel="00000000" w:rsidR="00000000" w:rsidRPr="00000000">
        <w:rPr>
          <w:rFonts w:ascii="Google Sans" w:cs="Google Sans" w:eastAsia="Google Sans" w:hAnsi="Google Sans"/>
          <w:b w:val="1"/>
          <w:bCs w:val="1"/>
          <w:color w:val="1f1f1f"/>
          <w:rtl w:val="0"/>
        </w:rPr>
        <w:t xml:space="preserve">UK cash savings</w:t>
      </w:r>
      <w:r w:rsidDel="00000000" w:rsidR="00000000" w:rsidRPr="00000000">
        <w:rPr>
          <w:rFonts w:ascii="Google Sans" w:cs="Google Sans" w:eastAsia="Google Sans" w:hAnsi="Google Sans"/>
          <w:color w:val="1f1f1f"/>
          <w:rtl w:val="0"/>
        </w:rPr>
        <w:t xml:space="preserve">, building societies and mutual-owned banks hold </w:t>
      </w:r>
      <w:r w:rsidDel="00000000" w:rsidR="00000000" w:rsidRPr="00000000">
        <w:rPr>
          <w:rFonts w:ascii="Google Sans" w:cs="Google Sans" w:eastAsia="Google Sans" w:hAnsi="Google Sans"/>
          <w:b w:val="1"/>
          <w:bCs w:val="1"/>
          <w:color w:val="1f1f1f"/>
          <w:rtl w:val="0"/>
        </w:rPr>
        <w:t xml:space="preserve">23%</w:t>
      </w:r>
      <w:r w:rsidDel="00000000" w:rsidR="00000000" w:rsidRPr="00000000">
        <w:rPr>
          <w:rFonts w:ascii="Google Sans" w:cs="Google Sans" w:eastAsia="Google Sans" w:hAnsi="Google Sans"/>
          <w:color w:val="1f1f1f"/>
          <w:rtl w:val="0"/>
        </w:rPr>
        <w:t xml:space="preserve"> of total UK cash savings balances (£496 billion, up from 19% in Q1 2023) and attracted </w:t>
      </w:r>
      <w:r w:rsidDel="00000000" w:rsidR="00000000" w:rsidRPr="00000000">
        <w:rPr>
          <w:rFonts w:ascii="Google Sans" w:cs="Google Sans" w:eastAsia="Google Sans" w:hAnsi="Google Sans"/>
          <w:b w:val="1"/>
          <w:bCs w:val="1"/>
          <w:color w:val="1f1f1f"/>
          <w:rtl w:val="0"/>
        </w:rPr>
        <w:t xml:space="preserve">27%</w:t>
      </w:r>
      <w:r w:rsidDel="00000000" w:rsidR="00000000" w:rsidRPr="00000000">
        <w:rPr>
          <w:rFonts w:ascii="Google Sans" w:cs="Google Sans" w:eastAsia="Google Sans" w:hAnsi="Google Sans"/>
          <w:color w:val="1f1f1f"/>
          <w:rtl w:val="0"/>
        </w:rPr>
        <w:t xml:space="preserve"> of all UK cash savings inflows in the six months to September 2025 (and </w:t>
      </w:r>
      <w:r w:rsidDel="00000000" w:rsidR="00000000" w:rsidRPr="00000000">
        <w:rPr>
          <w:rFonts w:ascii="Google Sans" w:cs="Google Sans" w:eastAsia="Google Sans" w:hAnsi="Google Sans"/>
          <w:b w:val="1"/>
          <w:bCs w:val="1"/>
          <w:color w:val="1f1f1f"/>
          <w:rtl w:val="0"/>
        </w:rPr>
        <w:t xml:space="preserve">33%</w:t>
      </w:r>
      <w:r w:rsidDel="00000000" w:rsidR="00000000" w:rsidRPr="00000000">
        <w:rPr>
          <w:rFonts w:ascii="Google Sans" w:cs="Google Sans" w:eastAsia="Google Sans" w:hAnsi="Google Sans"/>
          <w:color w:val="1f1f1f"/>
          <w:rtl w:val="0"/>
        </w:rPr>
        <w:t xml:space="preserve"> in the six months to March 2025)</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Across several other key retail measures, the mutual market share is substantially higher than 25%: building societies account for </w:t>
      </w:r>
      <w:r w:rsidDel="00000000" w:rsidR="00000000" w:rsidRPr="00000000">
        <w:rPr>
          <w:rFonts w:ascii="Google Sans" w:cs="Google Sans" w:eastAsia="Google Sans" w:hAnsi="Google Sans"/>
          <w:b w:val="1"/>
          <w:bCs w:val="1"/>
          <w:color w:val="1f1f1f"/>
          <w:rtl w:val="0"/>
        </w:rPr>
        <w:t xml:space="preserve">30%</w:t>
      </w:r>
      <w:r w:rsidDel="00000000" w:rsidR="00000000" w:rsidRPr="00000000">
        <w:rPr>
          <w:rFonts w:ascii="Google Sans" w:cs="Google Sans" w:eastAsia="Google Sans" w:hAnsi="Google Sans"/>
          <w:color w:val="1f1f1f"/>
          <w:rtl w:val="0"/>
        </w:rPr>
        <w:t xml:space="preserve"> of the entire UK physical bank and building society branch network</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31%</w:t>
      </w:r>
      <w:r w:rsidDel="00000000" w:rsidR="00000000" w:rsidRPr="00000000">
        <w:rPr>
          <w:rFonts w:ascii="Google Sans" w:cs="Google Sans" w:eastAsia="Google Sans" w:hAnsi="Google Sans"/>
          <w:color w:val="1f1f1f"/>
          <w:rtl w:val="0"/>
        </w:rPr>
        <w:t xml:space="preserve"> of all UK new mortgage approvals (over 220,000 loans in the six months to September 2025), </w:t>
      </w:r>
      <w:r w:rsidDel="00000000" w:rsidR="00000000" w:rsidRPr="00000000">
        <w:rPr>
          <w:rFonts w:ascii="Google Sans" w:cs="Google Sans" w:eastAsia="Google Sans" w:hAnsi="Google Sans"/>
          <w:b w:val="1"/>
          <w:bCs w:val="1"/>
          <w:color w:val="1f1f1f"/>
          <w:rtl w:val="0"/>
        </w:rPr>
        <w:t xml:space="preserve">32%</w:t>
      </w:r>
      <w:r w:rsidDel="00000000" w:rsidR="00000000" w:rsidRPr="00000000">
        <w:rPr>
          <w:rFonts w:ascii="Google Sans" w:cs="Google Sans" w:eastAsia="Google Sans" w:hAnsi="Google Sans"/>
          <w:color w:val="1f1f1f"/>
          <w:rtl w:val="0"/>
        </w:rPr>
        <w:t xml:space="preserve"> of gross mortgage lending (£46.5 billion in October 2024–March 2025)</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46%–47%</w:t>
      </w:r>
      <w:r w:rsidDel="00000000" w:rsidR="00000000" w:rsidRPr="00000000">
        <w:rPr>
          <w:rFonts w:ascii="Google Sans" w:cs="Google Sans" w:eastAsia="Google Sans" w:hAnsi="Google Sans"/>
          <w:color w:val="1f1f1f"/>
          <w:rtl w:val="0"/>
        </w:rPr>
        <w:t xml:space="preserve"> of all UK Cash ISA balances (£191.3 billion in March 2025 and £205.0 billion in September 2025, up from 40% or £153.9 billion in September 2024)</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52%</w:t>
      </w:r>
      <w:r w:rsidDel="00000000" w:rsidR="00000000" w:rsidRPr="00000000">
        <w:rPr>
          <w:rFonts w:ascii="Google Sans" w:cs="Google Sans" w:eastAsia="Google Sans" w:hAnsi="Google Sans"/>
          <w:color w:val="1f1f1f"/>
          <w:rtl w:val="0"/>
        </w:rPr>
        <w:t xml:space="preserve"> of UK net mortgage lending growth (£14.8 billion) between October 2024 and March 2025</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42 UK building societies and peer specialist lenders segment into four distinct size and risk-maturity tiers, as detailed in the table below</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Tier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Representative Institutions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Asset / Balance Sheet Scale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Risk &amp; Governance Maturity Profile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Fit for Platform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 1: Mega-Mutual</w:t>
            </w:r>
            <w:r w:rsidDel="00000000" w:rsidR="00000000" w:rsidRPr="00000000">
              <w:rPr>
                <w:rFonts w:ascii="Google Sans" w:cs="Google Sans" w:eastAsia="Google Sans" w:hAnsi="Google Sans"/>
                <w:color w:val="1f1f1f"/>
                <w:rtl w:val="0"/>
              </w:rPr>
              <w:t xml:space="preserve"> (1 Society Group)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Nationwide Building Society (including Virgin Money acquired 01 Oct 2024)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&gt;£350bn total assets; £280.6bn mortgages (16.3% UK share); £260.7bn retail deposits (12.2% share)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Tier-1 bank maturity: Internal Ratings Based (IRB) credit models, Bank of England stress-tested (14.5% CET1 low-point), heavy enterprise GRC stack</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for full replacement; high for targeted AI governance or subsidiary modules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 2: Large Regional Mutuals &amp; Mid-Tier Challengers</w:t>
            </w:r>
            <w:r w:rsidDel="00000000" w:rsidR="00000000" w:rsidRPr="00000000">
              <w:rPr>
                <w:rFonts w:ascii="Google Sans" w:cs="Google Sans" w:eastAsia="Google Sans" w:hAnsi="Google Sans"/>
                <w:color w:val="1f1f1f"/>
                <w:rtl w:val="0"/>
              </w:rPr>
              <w:t xml:space="preserve"> (~10–12 Firms)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Coventry (incl. Co-op Bank), Yorkshire, Skipton (£38.7bn+ assets), Leeds (£32.0bn assets), Principality; plus Shawbrook (£19.2bn loan book), OakNorth, Metro Bank, Starling, Monzo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£10bn to £65bn total assets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strategic ambition and active core-banking / AI transformation, but frequently bridging Board RAS and first-line controls via fragmented GRC tools or spreadsheets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Prime Target Segment (Tier-A Buyers):</w:t>
            </w:r>
            <w:r w:rsidDel="00000000" w:rsidR="00000000" w:rsidRPr="00000000">
              <w:rPr>
                <w:rFonts w:ascii="Google Sans" w:cs="Google Sans" w:eastAsia="Google Sans" w:hAnsi="Google Sans"/>
                <w:color w:val="1f1f1f"/>
                <w:rtl w:val="0"/>
              </w:rPr>
              <w:t xml:space="preserve"> Sufficient budget and regulatory complexity, acute need for board-to-control linkage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 3: Mid-Sized Regional Building Societies</w:t>
            </w:r>
            <w:r w:rsidDel="00000000" w:rsidR="00000000" w:rsidRPr="00000000">
              <w:rPr>
                <w:rFonts w:ascii="Google Sans" w:cs="Google Sans" w:eastAsia="Google Sans" w:hAnsi="Google Sans"/>
                <w:color w:val="1f1f1f"/>
                <w:rtl w:val="0"/>
              </w:rPr>
              <w:t xml:space="preserve"> (~10–12 Firms)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Nottingham (£5.4bn assets), Cambridge, Newcastle, West Bromwich, Progressive, Cumberland, National Counties, Monmouthshire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£1bn to £10bn total assets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to PRA's </w:t>
            </w:r>
            <w:r w:rsidDel="00000000" w:rsidR="00000000" w:rsidRPr="00000000">
              <w:rPr>
                <w:rFonts w:ascii="Google Sans" w:cs="Google Sans" w:eastAsia="Google Sans" w:hAnsi="Google Sans"/>
                <w:b w:val="1"/>
                <w:bCs w:val="1"/>
                <w:color w:val="1f1f1f"/>
                <w:rtl w:val="0"/>
              </w:rPr>
              <w:t xml:space="preserve">Small Domestic Deposit Takers (SDDT)</w:t>
            </w:r>
            <w:r w:rsidDel="00000000" w:rsidR="00000000" w:rsidRPr="00000000">
              <w:rPr>
                <w:rFonts w:ascii="Google Sans" w:cs="Google Sans" w:eastAsia="Google Sans" w:hAnsi="Google Sans"/>
                <w:color w:val="1f1f1f"/>
                <w:rtl w:val="0"/>
              </w:rPr>
              <w:t xml:space="preserve"> regime or Basel 3.1 (from July 2025 / 2026); replacing legacy mortgage platforms (e.g., Nottingham + MQube); seeking turnkey ERM software + advisory</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Prime Target Segment (Turnkey SaaS):</w:t>
            </w:r>
            <w:r w:rsidDel="00000000" w:rsidR="00000000" w:rsidRPr="00000000">
              <w:rPr>
                <w:rFonts w:ascii="Google Sans" w:cs="Google Sans" w:eastAsia="Google Sans" w:hAnsi="Google Sans"/>
                <w:color w:val="1f1f1f"/>
                <w:rtl w:val="0"/>
              </w:rPr>
              <w:t xml:space="preserve"> High demand for pre-built SDDT, Consumer Duty, and Board RAS templates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Tier 4: Smaller Niche Building Societies</w:t>
            </w:r>
            <w:r w:rsidDel="00000000" w:rsidR="00000000" w:rsidRPr="00000000">
              <w:rPr>
                <w:rFonts w:ascii="Google Sans" w:cs="Google Sans" w:eastAsia="Google Sans" w:hAnsi="Google Sans"/>
                <w:color w:val="1f1f1f"/>
                <w:rtl w:val="0"/>
              </w:rPr>
              <w:t xml:space="preserve"> (~18–20 Firms)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Mansfield, Hanley Economic, Beverley, Harpenden, etc.</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&lt;£1bn total assets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 on manual underwriting and specialist niches (holiday lets, lending into retirement, self-build); lean second-line teams relying on spreadsheets or light templates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Secondary / Partner-led light edition only due to budget constraints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Building Societies Association, </w:t>
      </w:r>
      <w:r w:rsidDel="00000000" w:rsidR="00000000" w:rsidRPr="00000000">
        <w:rPr>
          <w:rFonts w:ascii="Google Sans" w:cs="Google Sans" w:eastAsia="Google Sans" w:hAnsi="Google Sans"/>
          <w:i w:val="1"/>
          <w:iCs w:val="1"/>
          <w:color w:val="1f1f1f"/>
          <w:rtl w:val="0"/>
        </w:rPr>
        <w:t xml:space="preserve">Trading Update June 2025</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i w:val="1"/>
          <w:iCs w:val="1"/>
          <w:color w:val="1f1f1f"/>
          <w:rtl w:val="0"/>
        </w:rPr>
        <w:t xml:space="preserve">Yearbook 2024/25</w:t>
      </w:r>
      <w:r w:rsidDel="00000000" w:rsidR="00000000" w:rsidRPr="00000000">
        <w:rPr>
          <w:rFonts w:ascii="Google Sans" w:cs="Google Sans" w:eastAsia="Google Sans" w:hAnsi="Google Sans"/>
          <w:color w:val="1f1f1f"/>
          <w:rtl w:val="0"/>
        </w:rPr>
        <w:t xml:space="preserve">, https://www.bsa.org.uk/statistics/sector-info-performance/building-society-trading-updates/building-societies-trading-update-june-2025; MPA Magazine, </w:t>
      </w:r>
      <w:r w:rsidDel="00000000" w:rsidR="00000000" w:rsidRPr="00000000">
        <w:rPr>
          <w:rFonts w:ascii="Google Sans" w:cs="Google Sans" w:eastAsia="Google Sans" w:hAnsi="Google Sans"/>
          <w:i w:val="1"/>
          <w:iCs w:val="1"/>
          <w:color w:val="1f1f1f"/>
          <w:rtl w:val="0"/>
        </w:rPr>
        <w:t xml:space="preserve">Building societies outpace the big banks in mortgage and savings surge</w:t>
      </w:r>
      <w:r w:rsidDel="00000000" w:rsidR="00000000" w:rsidRPr="00000000">
        <w:rPr>
          <w:rFonts w:ascii="Google Sans" w:cs="Google Sans" w:eastAsia="Google Sans" w:hAnsi="Google Sans"/>
          <w:color w:val="1f1f1f"/>
          <w:rtl w:val="0"/>
        </w:rPr>
        <w:t xml:space="preserve"> (28 November 2025), https://www.mpamag.com/uk/mortgage-industry/market-trends/building-societies-outpace-the-big-banks-in-mortgage-and-savings-surge/558237; Grant Thornton, </w:t>
      </w:r>
      <w:r w:rsidDel="00000000" w:rsidR="00000000" w:rsidRPr="00000000">
        <w:rPr>
          <w:rFonts w:ascii="Google Sans" w:cs="Google Sans" w:eastAsia="Google Sans" w:hAnsi="Google Sans"/>
          <w:i w:val="1"/>
          <w:iCs w:val="1"/>
          <w:color w:val="1f1f1f"/>
          <w:rtl w:val="0"/>
        </w:rPr>
        <w:t xml:space="preserve">Building societies: operational and financial resilience are key</w:t>
      </w:r>
      <w:r w:rsidDel="00000000" w:rsidR="00000000" w:rsidRPr="00000000">
        <w:rPr>
          <w:rFonts w:ascii="Google Sans" w:cs="Google Sans" w:eastAsia="Google Sans" w:hAnsi="Google Sans"/>
          <w:color w:val="1f1f1f"/>
          <w:rtl w:val="0"/>
        </w:rPr>
        <w:t xml:space="preserve"> (24 March 2025)</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[confirmed] (with specific metric breakdown).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Target Tier 2 and Tier 3 building societies (assets £2bn–£45bn) and fast-growing specialist lenders/challengers (£5bn–£25bn loan books), packaging pre-built SDDT / PRA / Consumer Duty board appetite templates that deploy in weeks rather than 18-month consulting builds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J-GM-02: Buyer Personas, Budget Holders, and High-Urgency Buying Triggers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a UK mid-tier bank or building society, the buying coalition for a board-level risk intelligence platform centres on the </w:t>
      </w:r>
      <w:r w:rsidDel="00000000" w:rsidR="00000000" w:rsidRPr="00000000">
        <w:rPr>
          <w:rFonts w:ascii="Google Sans" w:cs="Google Sans" w:eastAsia="Google Sans" w:hAnsi="Google Sans"/>
          <w:b w:val="1"/>
          <w:bCs w:val="1"/>
          <w:color w:val="1f1f1f"/>
          <w:rtl w:val="0"/>
        </w:rPr>
        <w:t xml:space="preserve">Chief Risk Officer (CRO — SMF4)</w:t>
      </w:r>
      <w:r w:rsidDel="00000000" w:rsidR="00000000" w:rsidRPr="00000000">
        <w:rPr>
          <w:rFonts w:ascii="Google Sans" w:cs="Google Sans" w:eastAsia="Google Sans" w:hAnsi="Google Sans"/>
          <w:color w:val="1f1f1f"/>
          <w:rtl w:val="0"/>
        </w:rPr>
        <w:t xml:space="preserve"> as the primary champion and economic buyer, since the CRO owns the RMF/RAF budget and is personally accountable for the quality of the Board Risk Pack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Where the initial entry point is Financial Crime or Consumer Duty, the </w:t>
      </w:r>
      <w:r w:rsidDel="00000000" w:rsidR="00000000" w:rsidRPr="00000000">
        <w:rPr>
          <w:rFonts w:ascii="Google Sans" w:cs="Google Sans" w:eastAsia="Google Sans" w:hAnsi="Google Sans"/>
          <w:b w:val="1"/>
          <w:bCs w:val="1"/>
          <w:color w:val="1f1f1f"/>
          <w:rtl w:val="0"/>
        </w:rPr>
        <w:t xml:space="preserve">MLRO (SMF17)</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Chief Compliance Officer (SMF16)</w:t>
      </w:r>
      <w:r w:rsidDel="00000000" w:rsidR="00000000" w:rsidRPr="00000000">
        <w:rPr>
          <w:rFonts w:ascii="Google Sans" w:cs="Google Sans" w:eastAsia="Google Sans" w:hAnsi="Google Sans"/>
          <w:color w:val="1f1f1f"/>
          <w:rtl w:val="0"/>
        </w:rPr>
        <w:t xml:space="preserve"> co-sponsors the purchase</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Crucial gatekeepers and influencers include the </w:t>
      </w:r>
      <w:r w:rsidDel="00000000" w:rsidR="00000000" w:rsidRPr="00000000">
        <w:rPr>
          <w:rFonts w:ascii="Google Sans" w:cs="Google Sans" w:eastAsia="Google Sans" w:hAnsi="Google Sans"/>
          <w:b w:val="1"/>
          <w:bCs w:val="1"/>
          <w:color w:val="1f1f1f"/>
          <w:rtl w:val="0"/>
        </w:rPr>
        <w:t xml:space="preserve">Chair of the Board Risk Committee (SMF10)</w:t>
      </w:r>
      <w:r w:rsidDel="00000000" w:rsidR="00000000" w:rsidRPr="00000000">
        <w:rPr>
          <w:rFonts w:ascii="Google Sans" w:cs="Google Sans" w:eastAsia="Google Sans" w:hAnsi="Google Sans"/>
          <w:color w:val="1f1f1f"/>
          <w:rtl w:val="0"/>
        </w:rPr>
        <w:t xml:space="preserve">—who dictates what the BRC requires to discharge its duties and frequently demands a pack overhaul upon appointment</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—alongside the </w:t>
      </w:r>
      <w:r w:rsidDel="00000000" w:rsidR="00000000" w:rsidRPr="00000000">
        <w:rPr>
          <w:rFonts w:ascii="Google Sans" w:cs="Google Sans" w:eastAsia="Google Sans" w:hAnsi="Google Sans"/>
          <w:b w:val="1"/>
          <w:bCs w:val="1"/>
          <w:color w:val="1f1f1f"/>
          <w:rtl w:val="0"/>
        </w:rPr>
        <w:t xml:space="preserve">Chief Operating Officer (COO) / Chief Technology Officer (SMF24)</w:t>
      </w:r>
      <w:r w:rsidDel="00000000" w:rsidR="00000000" w:rsidRPr="00000000">
        <w:rPr>
          <w:rFonts w:ascii="Google Sans" w:cs="Google Sans" w:eastAsia="Google Sans" w:hAnsi="Google Sans"/>
          <w:color w:val="1f1f1f"/>
          <w:rtl w:val="0"/>
        </w:rPr>
        <w:t xml:space="preserve">, who signs off IT integration and operational resilience alignment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and the </w:t>
      </w:r>
      <w:r w:rsidDel="00000000" w:rsidR="00000000" w:rsidRPr="00000000">
        <w:rPr>
          <w:rFonts w:ascii="Google Sans" w:cs="Google Sans" w:eastAsia="Google Sans" w:hAnsi="Google Sans"/>
          <w:b w:val="1"/>
          <w:bCs w:val="1"/>
          <w:color w:val="1f1f1f"/>
          <w:rtl w:val="0"/>
        </w:rPr>
        <w:t xml:space="preserve">Chief Financial Officer (CFO — SMF2)</w:t>
      </w:r>
      <w:r w:rsidDel="00000000" w:rsidR="00000000" w:rsidRPr="00000000">
        <w:rPr>
          <w:rFonts w:ascii="Google Sans" w:cs="Google Sans" w:eastAsia="Google Sans" w:hAnsi="Google Sans"/>
          <w:color w:val="1f1f1f"/>
          <w:rtl w:val="0"/>
        </w:rPr>
        <w:t xml:space="preserve">, who controls capital/ICAAP alignment and procurement sign-off.</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evidence across the UK sector identifies six high-urgency buying triggers that unlock immediate budget. First, the imposition of a </w:t>
      </w:r>
      <w:r w:rsidDel="00000000" w:rsidR="00000000" w:rsidRPr="00000000">
        <w:rPr>
          <w:rFonts w:ascii="Google Sans" w:cs="Google Sans" w:eastAsia="Google Sans" w:hAnsi="Google Sans"/>
          <w:b w:val="1"/>
          <w:bCs w:val="1"/>
          <w:color w:val="1f1f1f"/>
          <w:rtl w:val="0"/>
        </w:rPr>
        <w:t xml:space="preserve">VREQ, OIREQ, or s166 Skilled Person Review</w:t>
      </w:r>
      <w:r w:rsidDel="00000000" w:rsidR="00000000" w:rsidRPr="00000000">
        <w:rPr>
          <w:rFonts w:ascii="Google Sans" w:cs="Google Sans" w:eastAsia="Google Sans" w:hAnsi="Google Sans"/>
          <w:color w:val="1f1f1f"/>
          <w:rtl w:val="0"/>
        </w:rPr>
        <w:t xml:space="preserve"> (as seen at Starling in September 2021, Monzo in August 2020, and CB Payments) unlocks immediate, unbudgeted board expenditure to prove control assurance and remediate governance gaps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Second, the </w:t>
      </w:r>
      <w:r w:rsidDel="00000000" w:rsidR="00000000" w:rsidRPr="00000000">
        <w:rPr>
          <w:rFonts w:ascii="Google Sans" w:cs="Google Sans" w:eastAsia="Google Sans" w:hAnsi="Google Sans"/>
          <w:b w:val="1"/>
          <w:bCs w:val="1"/>
          <w:color w:val="1f1f1f"/>
          <w:rtl w:val="0"/>
        </w:rPr>
        <w:t xml:space="preserve">appointment of a new BRC Chair (SMF10), CEO (SMF1), or CRO (SMF4)</w:t>
      </w:r>
      <w:r w:rsidDel="00000000" w:rsidR="00000000" w:rsidRPr="00000000">
        <w:rPr>
          <w:rFonts w:ascii="Google Sans" w:cs="Google Sans" w:eastAsia="Google Sans" w:hAnsi="Google Sans"/>
          <w:color w:val="1f1f1f"/>
          <w:rtl w:val="0"/>
        </w:rPr>
        <w:t xml:space="preserve">—such as Skipton Building Society appointing a new Risk Committee Chair at its April 2025 AGM</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—acts as a major catalyst, as incoming BRC Chairs and CROs routinely reject inherited 200-page spreadsheet packs because they cannot verify "reasonable steps" under SMCR</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Third, </w:t>
      </w:r>
      <w:r w:rsidDel="00000000" w:rsidR="00000000" w:rsidRPr="00000000">
        <w:rPr>
          <w:rFonts w:ascii="Google Sans" w:cs="Google Sans" w:eastAsia="Google Sans" w:hAnsi="Google Sans"/>
          <w:b w:val="1"/>
          <w:bCs w:val="1"/>
          <w:color w:val="1f1f1f"/>
          <w:rtl w:val="0"/>
        </w:rPr>
        <w:t xml:space="preserve">subsidiary or M&amp;A governance remediation</w:t>
      </w:r>
      <w:r w:rsidDel="00000000" w:rsidR="00000000" w:rsidRPr="00000000">
        <w:rPr>
          <w:rFonts w:ascii="Google Sans" w:cs="Google Sans" w:eastAsia="Google Sans" w:hAnsi="Google Sans"/>
          <w:color w:val="1f1f1f"/>
          <w:rtl w:val="0"/>
        </w:rPr>
        <w:t xml:space="preserve"> drives urgent investment, as demonstrated by Skipton Group intervening in 2025 to overhaul policies and risk management at its subsidiary Skipton International Limited (SIL)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Nationwide integrating Virgin Money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or Shawbrook integrating ThinCats, TML, and Bluestone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Fourth, </w:t>
      </w:r>
      <w:r w:rsidDel="00000000" w:rsidR="00000000" w:rsidRPr="00000000">
        <w:rPr>
          <w:rFonts w:ascii="Google Sans" w:cs="Google Sans" w:eastAsia="Google Sans" w:hAnsi="Google Sans"/>
          <w:b w:val="1"/>
          <w:bCs w:val="1"/>
          <w:color w:val="1f1f1f"/>
          <w:rtl w:val="0"/>
        </w:rPr>
        <w:t xml:space="preserve">core banking or origination platform transformation</w:t>
      </w:r>
      <w:r w:rsidDel="00000000" w:rsidR="00000000" w:rsidRPr="00000000">
        <w:rPr>
          <w:rFonts w:ascii="Google Sans" w:cs="Google Sans" w:eastAsia="Google Sans" w:hAnsi="Google Sans"/>
          <w:color w:val="1f1f1f"/>
          <w:rtl w:val="0"/>
        </w:rPr>
        <w:t xml:space="preserve"> (such as Leeds Building Society replacing its core banking platform in 2025/2026 or Nottingham Building Society consolidating lending in 2025 to embed the MQube platform) forces a redesign of automated control monitoring</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Fifth, </w:t>
      </w:r>
      <w:r w:rsidDel="00000000" w:rsidR="00000000" w:rsidRPr="00000000">
        <w:rPr>
          <w:rFonts w:ascii="Google Sans" w:cs="Google Sans" w:eastAsia="Google Sans" w:hAnsi="Google Sans"/>
          <w:b w:val="1"/>
          <w:bCs w:val="1"/>
          <w:color w:val="1f1f1f"/>
          <w:rtl w:val="0"/>
        </w:rPr>
        <w:t xml:space="preserve">IPO readiness or private equity exit preparation</w:t>
      </w:r>
      <w:r w:rsidDel="00000000" w:rsidR="00000000" w:rsidRPr="00000000">
        <w:rPr>
          <w:rFonts w:ascii="Google Sans" w:cs="Google Sans" w:eastAsia="Google Sans" w:hAnsi="Google Sans"/>
          <w:color w:val="1f1f1f"/>
          <w:rtl w:val="0"/>
        </w:rPr>
        <w:t xml:space="preserve"> (exemplified by Shawbrook Group plc's IPO preparation and return to the public markets) requires institutional-grade board risk reporting</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Sixth, </w:t>
      </w:r>
      <w:r w:rsidDel="00000000" w:rsidR="00000000" w:rsidRPr="00000000">
        <w:rPr>
          <w:rFonts w:ascii="Google Sans" w:cs="Google Sans" w:eastAsia="Google Sans" w:hAnsi="Google Sans"/>
          <w:b w:val="1"/>
          <w:bCs w:val="1"/>
          <w:color w:val="1f1f1f"/>
          <w:rtl w:val="0"/>
        </w:rPr>
        <w:t xml:space="preserve">sector-wide "read-across" scrutiny following a peer enforcement fine</w:t>
      </w:r>
      <w:r w:rsidDel="00000000" w:rsidR="00000000" w:rsidRPr="00000000">
        <w:rPr>
          <w:rFonts w:ascii="Google Sans" w:cs="Google Sans" w:eastAsia="Google Sans" w:hAnsi="Google Sans"/>
          <w:color w:val="1f1f1f"/>
          <w:rtl w:val="0"/>
        </w:rPr>
        <w:t xml:space="preserve"> (such as the £28.96m Starling fine in October 2024, the £16.68m Metro Bank fine in November 2024, and the £21.09m Monzo fine in July 2025) prompts every UK BRC Chair to demand proof from their CRO that their own transaction monitoring data feeds and sanctions filters do not suffer from similar silent gaps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Skipton Group </w:t>
      </w:r>
      <w:r w:rsidDel="00000000" w:rsidR="00000000" w:rsidRPr="00000000">
        <w:rPr>
          <w:rFonts w:ascii="Google Sans" w:cs="Google Sans" w:eastAsia="Google Sans" w:hAnsi="Google Sans"/>
          <w:i w:val="1"/>
          <w:iCs w:val="1"/>
          <w:color w:val="1f1f1f"/>
          <w:rtl w:val="0"/>
        </w:rPr>
        <w:t xml:space="preserve">Annual Report 2024</w:t>
      </w:r>
      <w:r w:rsidDel="00000000" w:rsidR="00000000" w:rsidRPr="00000000">
        <w:rPr>
          <w:rFonts w:ascii="Google Sans" w:cs="Google Sans" w:eastAsia="Google Sans" w:hAnsi="Google Sans"/>
          <w:color w:val="1f1f1f"/>
          <w:rtl w:val="0"/>
        </w:rPr>
        <w:t xml:space="preserve"> (March 2025) &amp; </w:t>
      </w:r>
      <w:r w:rsidDel="00000000" w:rsidR="00000000" w:rsidRPr="00000000">
        <w:rPr>
          <w:rFonts w:ascii="Google Sans" w:cs="Google Sans" w:eastAsia="Google Sans" w:hAnsi="Google Sans"/>
          <w:i w:val="1"/>
          <w:iCs w:val="1"/>
          <w:color w:val="1f1f1f"/>
          <w:rtl w:val="0"/>
        </w:rPr>
        <w:t xml:space="preserve">Annual Report 2025</w:t>
      </w:r>
      <w:r w:rsidDel="00000000" w:rsidR="00000000" w:rsidRPr="00000000">
        <w:rPr>
          <w:rFonts w:ascii="Google Sans" w:cs="Google Sans" w:eastAsia="Google Sans" w:hAnsi="Google Sans"/>
          <w:color w:val="1f1f1f"/>
          <w:rtl w:val="0"/>
        </w:rPr>
        <w:t xml:space="preserve"> (February 2026); Barclays </w:t>
      </w:r>
      <w:r w:rsidDel="00000000" w:rsidR="00000000" w:rsidRPr="00000000">
        <w:rPr>
          <w:rFonts w:ascii="Google Sans" w:cs="Google Sans" w:eastAsia="Google Sans" w:hAnsi="Google Sans"/>
          <w:i w:val="1"/>
          <w:iCs w:val="1"/>
          <w:color w:val="1f1f1f"/>
          <w:rtl w:val="0"/>
        </w:rPr>
        <w:t xml:space="preserve">Annual Report 2025</w:t>
      </w:r>
      <w:r w:rsidDel="00000000" w:rsidR="00000000" w:rsidRPr="00000000">
        <w:rPr>
          <w:rFonts w:ascii="Google Sans" w:cs="Google Sans" w:eastAsia="Google Sans" w:hAnsi="Google Sans"/>
          <w:color w:val="1f1f1f"/>
          <w:rtl w:val="0"/>
        </w:rPr>
        <w:t xml:space="preserve"> (referencing Shawbrook IPO); FCA Final Notices (2024–2025)</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[inference].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Commercial outreach should trigger immediately upon FCA Register changes to SMF4/SMF10/SMF16/SMF17 appointments, published VREQs, M&amp;A announcements, and peer enforcement notices, offering a rapid "Board Line-of-Sight &amp; VREQ/Data-Feed Assurance Diagnostic".</w:t>
      </w:r>
    </w:p>
    <w:p w:rsidR="00000000" w:rsidDel="00000000" w:rsidP="00000000" w:rsidRDefault="00000000" w:rsidRPr="00000000" w14:paraId="0000017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J-GM-03: Competitor Landscape — Enterprise GRC, Mid-Market ERM, Consultancies, and AI-Native Entrants</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competitive landscape against the four capabilities highlighted by the executive reviewer—(1) </w:t>
      </w:r>
      <w:r w:rsidDel="00000000" w:rsidR="00000000" w:rsidRPr="00000000">
        <w:rPr>
          <w:rFonts w:ascii="Google Sans" w:cs="Google Sans" w:eastAsia="Google Sans" w:hAnsi="Google Sans"/>
          <w:b w:val="1"/>
          <w:bCs w:val="1"/>
          <w:color w:val="1f1f1f"/>
          <w:rtl w:val="0"/>
        </w:rPr>
        <w:t xml:space="preserve">Board Appetite Views</w:t>
      </w:r>
      <w:r w:rsidDel="00000000" w:rsidR="00000000" w:rsidRPr="00000000">
        <w:rPr>
          <w:rFonts w:ascii="Google Sans" w:cs="Google Sans" w:eastAsia="Google Sans" w:hAnsi="Google Sans"/>
          <w:color w:val="1f1f1f"/>
          <w:rtl w:val="0"/>
        </w:rPr>
        <w:t xml:space="preserve">, (2) </w:t>
      </w:r>
      <w:r w:rsidDel="00000000" w:rsidR="00000000" w:rsidRPr="00000000">
        <w:rPr>
          <w:rFonts w:ascii="Google Sans" w:cs="Google Sans" w:eastAsia="Google Sans" w:hAnsi="Google Sans"/>
          <w:b w:val="1"/>
          <w:bCs w:val="1"/>
          <w:color w:val="1f1f1f"/>
          <w:rtl w:val="0"/>
        </w:rPr>
        <w:t xml:space="preserve">Strategy Linkage</w:t>
      </w:r>
      <w:r w:rsidDel="00000000" w:rsidR="00000000" w:rsidRPr="00000000">
        <w:rPr>
          <w:rFonts w:ascii="Google Sans" w:cs="Google Sans" w:eastAsia="Google Sans" w:hAnsi="Google Sans"/>
          <w:color w:val="1f1f1f"/>
          <w:rtl w:val="0"/>
        </w:rPr>
        <w:t xml:space="preserve">, (3) </w:t>
      </w:r>
      <w:r w:rsidDel="00000000" w:rsidR="00000000" w:rsidRPr="00000000">
        <w:rPr>
          <w:rFonts w:ascii="Google Sans" w:cs="Google Sans" w:eastAsia="Google Sans" w:hAnsi="Google Sans"/>
          <w:b w:val="1"/>
          <w:bCs w:val="1"/>
          <w:color w:val="1f1f1f"/>
          <w:rtl w:val="0"/>
        </w:rPr>
        <w:t xml:space="preserve">Metric-Tension Analysis</w:t>
      </w:r>
      <w:r w:rsidDel="00000000" w:rsidR="00000000" w:rsidRPr="00000000">
        <w:rPr>
          <w:rFonts w:ascii="Google Sans" w:cs="Google Sans" w:eastAsia="Google Sans" w:hAnsi="Google Sans"/>
          <w:color w:val="1f1f1f"/>
          <w:rtl w:val="0"/>
        </w:rPr>
        <w:t xml:space="preserve">, and (4) </w:t>
      </w:r>
      <w:r w:rsidDel="00000000" w:rsidR="00000000" w:rsidRPr="00000000">
        <w:rPr>
          <w:rFonts w:ascii="Google Sans" w:cs="Google Sans" w:eastAsia="Google Sans" w:hAnsi="Google Sans"/>
          <w:b w:val="1"/>
          <w:bCs w:val="1"/>
          <w:color w:val="1f1f1f"/>
          <w:rtl w:val="0"/>
        </w:rPr>
        <w:t xml:space="preserve">Dual-Axis Ownership Mapping (SMCR + Journey)</w:t>
      </w:r>
      <w:r w:rsidDel="00000000" w:rsidR="00000000" w:rsidRPr="00000000">
        <w:rPr>
          <w:rFonts w:ascii="Google Sans" w:cs="Google Sans" w:eastAsia="Google Sans" w:hAnsi="Google Sans"/>
          <w:color w:val="1f1f1f"/>
          <w:rtl w:val="0"/>
        </w:rPr>
        <w:t xml:space="preserve">—exposes clear market whitespace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8"/>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Competitor /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Coverage &amp; Positioning</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Board Appetite Views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Strategy Linkage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Metric-Tension Analysis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Ownership Mapping (SMCR &amp; Journey)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Segment &amp; UK Footprint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MetricStream</w:t>
            </w:r>
            <w:r w:rsidDel="00000000" w:rsidR="00000000" w:rsidRPr="00000000">
              <w:rPr>
                <w:rFonts w:ascii="Google Sans" w:cs="Google Sans" w:eastAsia="Google Sans" w:hAnsi="Google Sans"/>
                <w:color w:val="1f1f1f"/>
                <w:rtl w:val="0"/>
              </w:rPr>
              <w:t xml:space="preserve"> (AI-Powered GRC)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ORM, RCSA, regulatory compliance, cyber GRC, internal audit, third-party risk; recently added AI Assistants/Agents for risk sensing and board narratives [marketing-grade]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Yes</w:t>
            </w:r>
            <w:r w:rsidDel="00000000" w:rsidR="00000000" w:rsidRPr="00000000">
              <w:rPr>
                <w:rFonts w:ascii="Google Sans" w:cs="Google Sans" w:eastAsia="Google Sans" w:hAnsi="Google Sans"/>
                <w:color w:val="1f1f1f"/>
                <w:rtl w:val="0"/>
              </w:rPr>
              <w:t xml:space="preserve"> (configurable KRI thresholds and executive dashboards)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Partial</w:t>
            </w:r>
            <w:r w:rsidDel="00000000" w:rsidR="00000000" w:rsidRPr="00000000">
              <w:rPr>
                <w:rFonts w:ascii="Google Sans" w:cs="Google Sans" w:eastAsia="Google Sans" w:hAnsi="Google Sans"/>
                <w:color w:val="1f1f1f"/>
                <w:rtl w:val="0"/>
              </w:rPr>
              <w:t xml:space="preserve"> (links risks to corporate objectives in ERM, but heavy to maintain)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1f1f1f"/>
                <w:rtl w:val="0"/>
              </w:rPr>
              <w:t xml:space="preserve"> (metrics tracked within vertical risk taxonomies rather than horizontal tension pairs)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Partial</w:t>
            </w:r>
            <w:r w:rsidDel="00000000" w:rsidR="00000000" w:rsidRPr="00000000">
              <w:rPr>
                <w:rFonts w:ascii="Google Sans" w:cs="Google Sans" w:eastAsia="Google Sans" w:hAnsi="Google Sans"/>
                <w:color w:val="1f1f1f"/>
                <w:rtl w:val="0"/>
              </w:rPr>
              <w:t xml:space="preserve"> (strong functional RCSA/SMCR mapping, weak on Consumer Duty horizontal journeys)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Global Banks &amp; Large Tier 2 Institutions (100+ BFSI clients globally; configurable for FCA/PRA/DORA)</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ServiceNow IRM / 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Workflow-driven operational risk, IT/cyber risk, business continuity, policy &amp; compliance embedded in the ServiceNow IT platform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Basic</w:t>
            </w:r>
            <w:r w:rsidDel="00000000" w:rsidR="00000000" w:rsidRPr="00000000">
              <w:rPr>
                <w:rFonts w:ascii="Google Sans" w:cs="Google Sans" w:eastAsia="Google Sans" w:hAnsi="Google Sans"/>
                <w:color w:val="1f1f1f"/>
                <w:rtl w:val="0"/>
              </w:rPr>
              <w:t xml:space="preserve"> (strong operational/IT dashboards, weak on prudential credit/capital/liquidity RAS)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Weak</w:t>
            </w:r>
            <w:r w:rsidDel="00000000" w:rsidR="00000000" w:rsidRPr="00000000">
              <w:rPr>
                <w:rFonts w:ascii="Google Sans" w:cs="Google Sans" w:eastAsia="Google Sans" w:hAnsi="Google Sans"/>
                <w:color w:val="1f1f1f"/>
                <w:rtl w:val="0"/>
              </w:rPr>
              <w:t xml:space="preserve"> (built bottom-up from IT workflows and controls rather than top-down from Board Strategy)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Functional/IT focus</w:t>
            </w:r>
            <w:r w:rsidDel="00000000" w:rsidR="00000000" w:rsidRPr="00000000">
              <w:rPr>
                <w:rFonts w:ascii="Google Sans" w:cs="Google Sans" w:eastAsia="Google Sans" w:hAnsi="Google Sans"/>
                <w:color w:val="1f1f1f"/>
                <w:rtl w:val="0"/>
              </w:rPr>
              <w:t xml:space="preserve"> (maps well to IT asset/control owners, less intuitive for board strategic risk owners)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 enterprises and banks already standardised on ServiceNow for ITSM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Archer</w:t>
            </w:r>
            <w:r w:rsidDel="00000000" w:rsidR="00000000" w:rsidRPr="00000000">
              <w:rPr>
                <w:rFonts w:ascii="Google Sans" w:cs="Google Sans" w:eastAsia="Google Sans" w:hAnsi="Google Sans"/>
                <w:color w:val="1f1f1f"/>
                <w:rtl w:val="0"/>
              </w:rPr>
              <w:t xml:space="preserve"> (formerly RSA Archer)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RCSA campaigns, risk registers, control libraries, KRI monitoring, and loss-event intake workflows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Partial</w:t>
            </w:r>
            <w:r w:rsidDel="00000000" w:rsidR="00000000" w:rsidRPr="00000000">
              <w:rPr>
                <w:rFonts w:ascii="Google Sans" w:cs="Google Sans" w:eastAsia="Google Sans" w:hAnsi="Google Sans"/>
                <w:color w:val="1f1f1f"/>
                <w:rtl w:val="0"/>
              </w:rPr>
              <w:t xml:space="preserve"> (reproduces RAS thresholds and escalation rules, but legacy UI feels operational)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Weak</w:t>
            </w:r>
            <w:r w:rsidDel="00000000" w:rsidR="00000000" w:rsidRPr="00000000">
              <w:rPr>
                <w:rFonts w:ascii="Google Sans" w:cs="Google Sans" w:eastAsia="Google Sans" w:hAnsi="Google Sans"/>
                <w:color w:val="1f1f1f"/>
                <w:rtl w:val="0"/>
              </w:rPr>
              <w:t xml:space="preserve"> (primarily a bottom-up RCSA and loss-event engine)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Vertical RCSA Ownership</w:t>
            </w:r>
            <w:r w:rsidDel="00000000" w:rsidR="00000000" w:rsidRPr="00000000">
              <w:rPr>
                <w:rFonts w:ascii="Google Sans" w:cs="Google Sans" w:eastAsia="Google Sans" w:hAnsi="Google Sans"/>
                <w:color w:val="1f1f1f"/>
                <w:rtl w:val="0"/>
              </w:rPr>
              <w:t xml:space="preserve"> (standard risk/control owner fields, lacks dynamic journey tension)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Established Tier 1 and Tier 2 bank risk teams with rigid operational risk methodologies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IBM OpenPages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Modular AI-driven enterprise GRC, operational risk, model risk governance, regulatory compliance, and internal audit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Yes</w:t>
            </w:r>
            <w:r w:rsidDel="00000000" w:rsidR="00000000" w:rsidRPr="00000000">
              <w:rPr>
                <w:rFonts w:ascii="Google Sans" w:cs="Google Sans" w:eastAsia="Google Sans" w:hAnsi="Google Sans"/>
                <w:color w:val="1f1f1f"/>
                <w:rtl w:val="0"/>
              </w:rPr>
              <w:t xml:space="preserve"> (enterprise reporting across modular risk domains)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Partial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Vertical / Entity-based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Tier 1 Global and Large Domestic Banks with existing IBM estates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Protecht (Protecht ERM + Cognita AI)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ERM, RCSA, KRI/risk appetite monitoring, operational resilience, compliance, and SMCR/Three-Lines alignment, backed by in-house UK advisory and Protecht Academy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Strong</w:t>
            </w:r>
            <w:r w:rsidDel="00000000" w:rsidR="00000000" w:rsidRPr="00000000">
              <w:rPr>
                <w:rFonts w:ascii="Google Sans" w:cs="Google Sans" w:eastAsia="Google Sans" w:hAnsi="Google Sans"/>
                <w:color w:val="1f1f1f"/>
                <w:rtl w:val="0"/>
              </w:rPr>
              <w:t xml:space="preserve"> (explicit focus on "Risk Appetite in Action", linking KRIs, triggers, and early warning signals to board packs)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Good</w:t>
            </w:r>
            <w:r w:rsidDel="00000000" w:rsidR="00000000" w:rsidRPr="00000000">
              <w:rPr>
                <w:rFonts w:ascii="Google Sans" w:cs="Google Sans" w:eastAsia="Google Sans" w:hAnsi="Google Sans"/>
                <w:color w:val="1f1f1f"/>
                <w:rtl w:val="0"/>
              </w:rPr>
              <w:t xml:space="preserve"> (explicitly teaches and configures linking risks to strategic objectives and "Risk Appetite Driven Decision Making")</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Emerging conceptual thought leadership</w:t>
            </w:r>
            <w:r w:rsidDel="00000000" w:rsidR="00000000" w:rsidRPr="00000000">
              <w:rPr>
                <w:rFonts w:ascii="Google Sans" w:cs="Google Sans" w:eastAsia="Google Sans" w:hAnsi="Google Sans"/>
                <w:color w:val="1f1f1f"/>
                <w:rtl w:val="0"/>
              </w:rPr>
              <w:t xml:space="preserve"> (published with GARP on evolving beyond siloed thresholds, though not an automated trade-off engine)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Good</w:t>
            </w:r>
            <w:r w:rsidDel="00000000" w:rsidR="00000000" w:rsidRPr="00000000">
              <w:rPr>
                <w:rFonts w:ascii="Google Sans" w:cs="Google Sans" w:eastAsia="Google Sans" w:hAnsi="Google Sans"/>
                <w:color w:val="1f1f1f"/>
                <w:rtl w:val="0"/>
              </w:rPr>
              <w:t xml:space="preserve"> (clear Risk Owner vs Control Owner separation across Three Lines)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Direct Primary Competitor in UK Mid-Tier:</w:t>
            </w:r>
            <w:r w:rsidDel="00000000" w:rsidR="00000000" w:rsidRPr="00000000">
              <w:rPr>
                <w:rFonts w:ascii="Google Sans" w:cs="Google Sans" w:eastAsia="Google Sans" w:hAnsi="Google Sans"/>
                <w:color w:val="1f1f1f"/>
                <w:rtl w:val="0"/>
              </w:rPr>
              <w:t xml:space="preserve"> Explicitly targets UK banks, building societies, insurers, and fintechs from its London office</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Workiva, Diligent &amp; AuditBoard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Workiva:</w:t>
            </w:r>
            <w:r w:rsidDel="00000000" w:rsidR="00000000" w:rsidRPr="00000000">
              <w:rPr>
                <w:rFonts w:ascii="Google Sans" w:cs="Google Sans" w:eastAsia="Google Sans" w:hAnsi="Google Sans"/>
                <w:color w:val="1f1f1f"/>
                <w:rtl w:val="0"/>
              </w:rPr>
              <w:t xml:space="preserve"> SEC/ESG/Annual Report &amp; Pillar 3 disclosure reporting</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Diligent:</w:t>
            </w:r>
            <w:r w:rsidDel="00000000" w:rsidR="00000000" w:rsidRPr="00000000">
              <w:rPr>
                <w:rFonts w:ascii="Google Sans" w:cs="Google Sans" w:eastAsia="Google Sans" w:hAnsi="Google Sans"/>
                <w:color w:val="1f1f1f"/>
                <w:rtl w:val="0"/>
              </w:rPr>
              <w:t xml:space="preserve"> Board portal &amp; governance pack distribution with ERM add-ons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AuditBoard:</w:t>
            </w:r>
            <w:r w:rsidDel="00000000" w:rsidR="00000000" w:rsidRPr="00000000">
              <w:rPr>
                <w:rFonts w:ascii="Google Sans" w:cs="Google Sans" w:eastAsia="Google Sans" w:hAnsi="Google Sans"/>
                <w:color w:val="1f1f1f"/>
                <w:rtl w:val="0"/>
              </w:rPr>
              <w:t xml:space="preserve"> Audit-first workflow, SOX, and risk management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Presentation Layer Only</w:t>
            </w:r>
            <w:r w:rsidDel="00000000" w:rsidR="00000000" w:rsidRPr="00000000">
              <w:rPr>
                <w:rFonts w:ascii="Google Sans" w:cs="Google Sans" w:eastAsia="Google Sans" w:hAnsi="Google Sans"/>
                <w:color w:val="1f1f1f"/>
                <w:rtl w:val="0"/>
              </w:rPr>
              <w:t xml:space="preserve"> (Diligent sits on the NED's tablet; Workiva formats the annual report; neither runs live L1/L2/L3 bank risk engines)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Narrative only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Basic</w:t>
            </w:r>
            <w:r w:rsidDel="00000000" w:rsidR="00000000" w:rsidRPr="00000000">
              <w:rPr>
                <w:rFonts w:ascii="Google Sans" w:cs="Google Sans" w:eastAsia="Google Sans" w:hAnsi="Google Sans"/>
                <w:color w:val="1f1f1f"/>
                <w:rtl w:val="0"/>
              </w:rPr>
              <w:t xml:space="preserve"> (AuditBoard maps audit/control owners; Diligent maps board committees)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Listed banks, mutual company secretaries (Diligent), and internal audit teams (AuditBoard)</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Ideagen, LogicGate, Centraleyes, Riskonnect (Ventiv), SAI360, OneTrust, Resolver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Ideagen:</w:t>
            </w:r>
            <w:r w:rsidDel="00000000" w:rsidR="00000000" w:rsidRPr="00000000">
              <w:rPr>
                <w:rFonts w:ascii="Google Sans" w:cs="Google Sans" w:eastAsia="Google Sans" w:hAnsi="Google Sans"/>
                <w:color w:val="1f1f1f"/>
                <w:rtl w:val="0"/>
              </w:rPr>
              <w:t xml:space="preserve"> Standalone/integrated compliance &amp; ERM for regulated UK mid-market</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LogicGate:</w:t>
            </w:r>
            <w:r w:rsidDel="00000000" w:rsidR="00000000" w:rsidRPr="00000000">
              <w:rPr>
                <w:rFonts w:ascii="Google Sans" w:cs="Google Sans" w:eastAsia="Google Sans" w:hAnsi="Google Sans"/>
                <w:color w:val="1f1f1f"/>
                <w:rtl w:val="0"/>
              </w:rPr>
              <w:t xml:space="preserve"> Agile workflow &amp; Monte Carlo quantification</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Centraleyes:</w:t>
            </w:r>
            <w:r w:rsidDel="00000000" w:rsidR="00000000" w:rsidRPr="00000000">
              <w:rPr>
                <w:rFonts w:ascii="Google Sans" w:cs="Google Sans" w:eastAsia="Google Sans" w:hAnsi="Google Sans"/>
                <w:color w:val="1f1f1f"/>
                <w:rtl w:val="0"/>
              </w:rPr>
              <w:t xml:space="preserve"> Cyber-centric ORM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Riskonnect:</w:t>
            </w:r>
            <w:r w:rsidDel="00000000" w:rsidR="00000000" w:rsidRPr="00000000">
              <w:rPr>
                <w:rFonts w:ascii="Google Sans" w:cs="Google Sans" w:eastAsia="Google Sans" w:hAnsi="Google Sans"/>
                <w:color w:val="1f1f1f"/>
                <w:rtl w:val="0"/>
              </w:rPr>
              <w:t xml:space="preserve"> Broad ERM/insurable risk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Partial / Operational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Partial</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Functional</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Mid-market financials, fintechs, and specialist lenders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Big 4 &amp; Boutique Consultancies</w:t>
            </w:r>
            <w:r w:rsidDel="00000000" w:rsidR="00000000" w:rsidRPr="00000000">
              <w:rPr>
                <w:rFonts w:ascii="Google Sans" w:cs="Google Sans" w:eastAsia="Google Sans" w:hAnsi="Google Sans"/>
                <w:color w:val="1f1f1f"/>
                <w:rtl w:val="0"/>
              </w:rPr>
              <w:t xml:space="preserve"> (Deloitte, KPMG, Grant Thornton, Avyse Partners, Jaywing)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Bespoke RAF/RAS design, s166 Skilled Person reviews, VREQ gap analysis, SS1/23 model risk and Consumer Duty advisory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 conceptual quality</w:t>
            </w:r>
            <w:r w:rsidDel="00000000" w:rsidR="00000000" w:rsidRPr="00000000">
              <w:rPr>
                <w:rFonts w:ascii="Google Sans" w:cs="Google Sans" w:eastAsia="Google Sans" w:hAnsi="Google Sans"/>
                <w:color w:val="1f1f1f"/>
                <w:rtl w:val="0"/>
              </w:rPr>
              <w:t xml:space="preserve"> (deliver bespoke PowerPoint/Excel RAF designs)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(in static slide decks)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Ad hoc advisory only</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High</w:t>
            </w:r>
            <w:r w:rsidDel="00000000" w:rsidR="00000000" w:rsidRPr="00000000">
              <w:rPr>
                <w:rFonts w:ascii="Google Sans" w:cs="Google Sans" w:eastAsia="Google Sans" w:hAnsi="Google Sans"/>
                <w:color w:val="1f1f1f"/>
                <w:rtl w:val="0"/>
              </w:rPr>
              <w:t xml:space="preserve"> (design SoRs and MRMs, but leave behind static Word/Excel files)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 tiers; potential </w:t>
            </w:r>
            <w:r w:rsidDel="00000000" w:rsidR="00000000" w:rsidRPr="00000000">
              <w:rPr>
                <w:rFonts w:ascii="Google Sans" w:cs="Google Sans" w:eastAsia="Google Sans" w:hAnsi="Google Sans"/>
                <w:b w:val="1"/>
                <w:bCs w:val="1"/>
                <w:color w:val="1f1f1f"/>
                <w:rtl w:val="0"/>
              </w:rPr>
              <w:t xml:space="preserve">channel partners</w:t>
            </w:r>
            <w:r w:rsidDel="00000000" w:rsidR="00000000" w:rsidRPr="00000000">
              <w:rPr>
                <w:rFonts w:ascii="Google Sans" w:cs="Google Sans" w:eastAsia="Google Sans" w:hAnsi="Google Sans"/>
                <w:color w:val="1f1f1f"/>
                <w:rtl w:val="0"/>
              </w:rPr>
              <w:t xml:space="preserve"> (especially mid-tier challengers like Grant Thornton, Jaywing, and Avyse Partners)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Centraleyes, </w:t>
      </w:r>
      <w:r w:rsidDel="00000000" w:rsidR="00000000" w:rsidRPr="00000000">
        <w:rPr>
          <w:rFonts w:ascii="Google Sans" w:cs="Google Sans" w:eastAsia="Google Sans" w:hAnsi="Google Sans"/>
          <w:i w:val="1"/>
          <w:iCs w:val="1"/>
          <w:color w:val="1f1f1f"/>
          <w:rtl w:val="0"/>
        </w:rPr>
        <w:t xml:space="preserve">6 Best Operational Risk Management Software Platforms in 2026</w:t>
      </w:r>
      <w:r w:rsidDel="00000000" w:rsidR="00000000" w:rsidRPr="00000000">
        <w:rPr>
          <w:rFonts w:ascii="Google Sans" w:cs="Google Sans" w:eastAsia="Google Sans" w:hAnsi="Google Sans"/>
          <w:color w:val="1f1f1f"/>
          <w:rtl w:val="0"/>
        </w:rPr>
        <w:t xml:space="preserve"> (2026); Continuity2, </w:t>
      </w:r>
      <w:r w:rsidDel="00000000" w:rsidR="00000000" w:rsidRPr="00000000">
        <w:rPr>
          <w:rFonts w:ascii="Google Sans" w:cs="Google Sans" w:eastAsia="Google Sans" w:hAnsi="Google Sans"/>
          <w:i w:val="1"/>
          <w:iCs w:val="1"/>
          <w:color w:val="1f1f1f"/>
          <w:rtl w:val="0"/>
        </w:rPr>
        <w:t xml:space="preserve">Top 12 ERM Software for 2026</w:t>
      </w:r>
      <w:r w:rsidDel="00000000" w:rsidR="00000000" w:rsidRPr="00000000">
        <w:rPr>
          <w:rFonts w:ascii="Google Sans" w:cs="Google Sans" w:eastAsia="Google Sans" w:hAnsi="Google Sans"/>
          <w:color w:val="1f1f1f"/>
          <w:rtl w:val="0"/>
        </w:rPr>
        <w:t xml:space="preserve"> (2026), https://continuity2.com/blog/erm-software; MetricStream BFSI page (2026); Protecht UK Customer Success &amp; Knowledge Hub (2025/2026)</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[marketing-grade] (vendor feature claims).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Avoid competing head-on with ServiceNow or Archer as a bottom-up RCSA tick-box database, and recognise that </w:t>
      </w:r>
      <w:r w:rsidDel="00000000" w:rsidR="00000000" w:rsidRPr="00000000">
        <w:rPr>
          <w:rFonts w:ascii="Google Sans" w:cs="Google Sans" w:eastAsia="Google Sans" w:hAnsi="Google Sans"/>
          <w:b w:val="1"/>
          <w:bCs w:val="1"/>
          <w:color w:val="1f1f1f"/>
          <w:rtl w:val="0"/>
        </w:rPr>
        <w:t xml:space="preserve">Protecht</w:t>
      </w:r>
      <w:r w:rsidDel="00000000" w:rsidR="00000000" w:rsidRPr="00000000">
        <w:rPr>
          <w:rFonts w:ascii="Google Sans" w:cs="Google Sans" w:eastAsia="Google Sans" w:hAnsi="Google Sans"/>
          <w:color w:val="1f1f1f"/>
          <w:rtl w:val="0"/>
        </w:rPr>
        <w:t xml:space="preserve"> is the sharpest direct rival in UK building societies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differentiate by owning the </w:t>
      </w:r>
      <w:r w:rsidDel="00000000" w:rsidR="00000000" w:rsidRPr="00000000">
        <w:rPr>
          <w:rFonts w:ascii="Google Sans" w:cs="Google Sans" w:eastAsia="Google Sans" w:hAnsi="Google Sans"/>
          <w:b w:val="1"/>
          <w:bCs w:val="1"/>
          <w:color w:val="1f1f1f"/>
          <w:rtl w:val="0"/>
        </w:rPr>
        <w:t xml:space="preserve">Top-Down Strategic Board Layer, Automated Metric-Tension Trade-Offs, Data-Feed Completeness Assurance, and Horizontal Consumer Duty / SMCR Line-of-Sight</w:t>
      </w:r>
      <w:r w:rsidDel="00000000" w:rsidR="00000000" w:rsidRPr="00000000">
        <w:rPr>
          <w:rFonts w:ascii="Google Sans" w:cs="Google Sans" w:eastAsia="Google Sans" w:hAnsi="Google Sans"/>
          <w:color w:val="1f1f1f"/>
          <w:rtl w:val="0"/>
        </w:rPr>
        <w:t xml:space="preserve">—while integrating directly into Diligent and Board Intelligence packs.</w:t>
      </w:r>
    </w:p>
    <w:p w:rsidR="00000000" w:rsidDel="00000000" w:rsidP="00000000" w:rsidRDefault="00000000" w:rsidRPr="00000000" w14:paraId="000001B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J-GM-04: UK Bank Innovation and Startup Partnership Programmes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Fast-growing fintechs and RegTech vendors frequently enter the UK banking and mutual sector via structured bank innovation and partnership programmes rather than cold enterprise procurement. Flagship UK programmes—such as the NatWest Entrepreneur Accelerator and FinTech scouting programmes, Barclays Rise, Lloyds Launch Innovation, and Nationwide's incubator and Open Banking partnerships—operate across three primary engagement models: zero-equity incubation and co-design (providing workspace, executive mentoring, and regulatory sandbox alignment), paid Proof-of-Concept (PoC) commercial sprints (typically £25k–£100k ring-fenced innovation budgets over 8–12 weeks to test a tool on synthetic or anonymised data without triggering a 9-month Tier-1 procurement cycle), and strategic partner deployment or venture equity. A prominent recent mutual example is Nottingham Building Society's strategic partnership with fintech </w:t>
      </w:r>
      <w:r w:rsidDel="00000000" w:rsidR="00000000" w:rsidRPr="00000000">
        <w:rPr>
          <w:rFonts w:ascii="Google Sans" w:cs="Google Sans" w:eastAsia="Google Sans" w:hAnsi="Google Sans"/>
          <w:b w:val="1"/>
          <w:bCs w:val="1"/>
          <w:color w:val="1f1f1f"/>
          <w:rtl w:val="0"/>
        </w:rPr>
        <w:t xml:space="preserve">MQube</w:t>
      </w:r>
      <w:r w:rsidDel="00000000" w:rsidR="00000000" w:rsidRPr="00000000">
        <w:rPr>
          <w:rFonts w:ascii="Google Sans" w:cs="Google Sans" w:eastAsia="Google Sans" w:hAnsi="Google Sans"/>
          <w:color w:val="1f1f1f"/>
          <w:rtl w:val="0"/>
        </w:rPr>
        <w:t xml:space="preserve"> in 2025/2026 to deploy and scale an AI-enabled mortgage origination platform</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alongside the </w:t>
      </w:r>
      <w:r w:rsidDel="00000000" w:rsidR="00000000" w:rsidRPr="00000000">
        <w:rPr>
          <w:rFonts w:ascii="Google Sans" w:cs="Google Sans" w:eastAsia="Google Sans" w:hAnsi="Google Sans"/>
          <w:b w:val="1"/>
          <w:bCs w:val="1"/>
          <w:color w:val="1f1f1f"/>
          <w:rtl w:val="0"/>
        </w:rPr>
        <w:t xml:space="preserve">Building Societies Association (BSA) Associate Member ecosystem</w:t>
      </w:r>
      <w:r w:rsidDel="00000000" w:rsidR="00000000" w:rsidRPr="00000000">
        <w:rPr>
          <w:rFonts w:ascii="Google Sans" w:cs="Google Sans" w:eastAsia="Google Sans" w:hAnsi="Google Sans"/>
          <w:color w:val="1f1f1f"/>
          <w:rtl w:val="0"/>
        </w:rPr>
        <w:t xml:space="preserve">, which connects 49 accredited technology, legal, and advisory partners directly to the C-suites of all 42 UK building societies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Source:</w:t>
      </w:r>
      <w:r w:rsidDel="00000000" w:rsidR="00000000" w:rsidRPr="00000000">
        <w:rPr>
          <w:rFonts w:ascii="Google Sans" w:cs="Google Sans" w:eastAsia="Google Sans" w:hAnsi="Google Sans"/>
          <w:color w:val="1f1f1f"/>
          <w:rtl w:val="0"/>
        </w:rPr>
        <w:t xml:space="preserve"> Building Societies Association, </w:t>
      </w:r>
      <w:r w:rsidDel="00000000" w:rsidR="00000000" w:rsidRPr="00000000">
        <w:rPr>
          <w:rFonts w:ascii="Google Sans" w:cs="Google Sans" w:eastAsia="Google Sans" w:hAnsi="Google Sans"/>
          <w:i w:val="1"/>
          <w:iCs w:val="1"/>
          <w:color w:val="1f1f1f"/>
          <w:rtl w:val="0"/>
        </w:rPr>
        <w:t xml:space="preserve">BSA Yearbook 2024/25</w:t>
      </w:r>
      <w:r w:rsidDel="00000000" w:rsidR="00000000" w:rsidRPr="00000000">
        <w:rPr>
          <w:rFonts w:ascii="Google Sans" w:cs="Google Sans" w:eastAsia="Google Sans" w:hAnsi="Google Sans"/>
          <w:color w:val="1f1f1f"/>
          <w:rtl w:val="0"/>
        </w:rPr>
        <w:t xml:space="preserve"> (Associate Members directory) (2025)</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Nottingham Building Society, </w:t>
      </w:r>
      <w:r w:rsidDel="00000000" w:rsidR="00000000" w:rsidRPr="00000000">
        <w:rPr>
          <w:rFonts w:ascii="Google Sans" w:cs="Google Sans" w:eastAsia="Google Sans" w:hAnsi="Google Sans"/>
          <w:i w:val="1"/>
          <w:iCs w:val="1"/>
          <w:color w:val="1f1f1f"/>
          <w:rtl w:val="0"/>
        </w:rPr>
        <w:t xml:space="preserve">2025 Annual Report</w:t>
      </w:r>
      <w:r w:rsidDel="00000000" w:rsidR="00000000" w:rsidRPr="00000000">
        <w:rPr>
          <w:rFonts w:ascii="Google Sans" w:cs="Google Sans" w:eastAsia="Google Sans" w:hAnsi="Google Sans"/>
          <w:color w:val="1f1f1f"/>
          <w:rtl w:val="0"/>
        </w:rPr>
        <w:t xml:space="preserve"> (MQube partnership) (March 2026)</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Tags:</w:t>
      </w:r>
      <w:r w:rsidDel="00000000" w:rsidR="00000000" w:rsidRPr="00000000">
        <w:rPr>
          <w:rFonts w:ascii="Google Sans" w:cs="Google Sans" w:eastAsia="Google Sans" w:hAnsi="Google Sans"/>
          <w:color w:val="1f1f1f"/>
          <w:rtl w:val="0"/>
        </w:rPr>
        <w:t xml:space="preserve"> [practice-not-rule] [single] (for specific PoC sprint bands). </w:t>
      </w:r>
      <w:r w:rsidDel="00000000" w:rsidR="00000000" w:rsidRPr="00000000">
        <w:rPr>
          <w:rFonts w:ascii="Google Sans" w:cs="Google Sans" w:eastAsia="Google Sans" w:hAnsi="Google Sans"/>
          <w:b w:val="1"/>
          <w:bCs w:val="1"/>
          <w:color w:val="1f1f1f"/>
          <w:rtl w:val="0"/>
        </w:rPr>
        <w:t xml:space="preserve">Product Implication:</w:t>
      </w:r>
      <w:r w:rsidDel="00000000" w:rsidR="00000000" w:rsidRPr="00000000">
        <w:rPr>
          <w:rFonts w:ascii="Google Sans" w:cs="Google Sans" w:eastAsia="Google Sans" w:hAnsi="Google Sans"/>
          <w:color w:val="1f1f1f"/>
          <w:rtl w:val="0"/>
        </w:rPr>
        <w:t xml:space="preserve"> Join the </w:t>
      </w:r>
      <w:r w:rsidDel="00000000" w:rsidR="00000000" w:rsidRPr="00000000">
        <w:rPr>
          <w:rFonts w:ascii="Google Sans" w:cs="Google Sans" w:eastAsia="Google Sans" w:hAnsi="Google Sans"/>
          <w:b w:val="1"/>
          <w:bCs w:val="1"/>
          <w:color w:val="1f1f1f"/>
          <w:rtl w:val="0"/>
        </w:rPr>
        <w:t xml:space="preserve">Building Societies Association (BSA) Associate Member ecosystem</w:t>
      </w:r>
      <w:r w:rsidDel="00000000" w:rsidR="00000000" w:rsidRPr="00000000">
        <w:rPr>
          <w:rFonts w:ascii="Google Sans" w:cs="Google Sans" w:eastAsia="Google Sans" w:hAnsi="Google Sans"/>
          <w:color w:val="1f1f1f"/>
          <w:rtl w:val="0"/>
        </w:rPr>
        <w:t xml:space="preserve"> (currently 49 technology/advisory firms serving all 42 societies) and partner with specialist UK regulatory consultancies (such as Avyse Partners, Jaywing, or Grant Thornton) to co-deliver paid 8-week "Board Risk Pack &amp; VREQ Readiness" PoCs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 — Claims to verify</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following verification table tests all seven practitioner claims against the primary regulatory, industry, and empirical evidence assembled in Sections A through J.</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Claim to Verify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Verdict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Best Source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Note / Nuanced Evidence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risk appetite statement should have no more than 10–12 metrics.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partly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Leeds Building Society </w:t>
            </w:r>
            <w:r w:rsidDel="00000000" w:rsidR="00000000" w:rsidRPr="00000000">
              <w:rPr>
                <w:rFonts w:ascii="Google Sans" w:cs="Google Sans" w:eastAsia="Google Sans" w:hAnsi="Google Sans"/>
                <w:i w:val="1"/>
                <w:iCs w:val="1"/>
                <w:color w:val="1f1f1f"/>
                <w:rtl w:val="0"/>
              </w:rPr>
              <w:t xml:space="preserve">Annual Report 2025</w:t>
            </w:r>
            <w:r w:rsidDel="00000000" w:rsidR="00000000" w:rsidRPr="00000000">
              <w:rPr>
                <w:rFonts w:ascii="Google Sans" w:cs="Google Sans" w:eastAsia="Google Sans" w:hAnsi="Google Sans"/>
                <w:color w:val="1f1f1f"/>
                <w:rtl w:val="0"/>
              </w:rPr>
              <w:t xml:space="preserve"> &amp; </w:t>
            </w:r>
            <w:r w:rsidDel="00000000" w:rsidR="00000000" w:rsidRPr="00000000">
              <w:rPr>
                <w:rFonts w:ascii="Google Sans" w:cs="Google Sans" w:eastAsia="Google Sans" w:hAnsi="Google Sans"/>
                <w:i w:val="1"/>
                <w:iCs w:val="1"/>
                <w:color w:val="1f1f1f"/>
                <w:rtl w:val="0"/>
              </w:rPr>
              <w:t xml:space="preserve">Pillar 3</w:t>
            </w:r>
            <w:r w:rsidDel="00000000" w:rsidR="00000000" w:rsidRPr="00000000">
              <w:rPr>
                <w:rFonts w:ascii="Google Sans" w:cs="Google Sans" w:eastAsia="Google Sans" w:hAnsi="Google Sans"/>
                <w:color w:val="1f1f1f"/>
                <w:rtl w:val="0"/>
              </w:rPr>
              <w:t xml:space="preserve">; Nationwide </w:t>
            </w:r>
            <w:r w:rsidDel="00000000" w:rsidR="00000000" w:rsidRPr="00000000">
              <w:rPr>
                <w:rFonts w:ascii="Google Sans" w:cs="Google Sans" w:eastAsia="Google Sans" w:hAnsi="Google Sans"/>
                <w:i w:val="1"/>
                <w:iCs w:val="1"/>
                <w:color w:val="1f1f1f"/>
                <w:rtl w:val="0"/>
              </w:rPr>
              <w:t xml:space="preserve">Preliminary Results 2026</w:t>
            </w:r>
            <w:r w:rsidDel="00000000" w:rsidR="00000000" w:rsidRPr="00000000">
              <w:rPr>
                <w:rFonts w:ascii="Google Sans" w:cs="Google Sans" w:eastAsia="Google Sans" w:hAnsi="Google Sans"/>
                <w:color w:val="1f1f1f"/>
                <w:rtl w:val="0"/>
              </w:rPr>
              <w:t xml:space="preserve">; RiskPublishing / Deloitte Board Research</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28 May 2025 / 06 March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Supported for principal risk categories (typically 6–10) and the Board Summary Cover Dashboard (10–12 headline KPIs/KRIs)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Not supported for the full Board RAS schedule</w:t>
            </w:r>
            <w:r w:rsidDel="00000000" w:rsidR="00000000" w:rsidRPr="00000000">
              <w:rPr>
                <w:rFonts w:ascii="Google Sans" w:cs="Google Sans" w:eastAsia="Google Sans" w:hAnsi="Google Sans"/>
                <w:color w:val="1f1f1f"/>
                <w:rtl w:val="0"/>
              </w:rPr>
              <w:t xml:space="preserve">, which in UK practice holds 25–45 Level 1 quantitative limits across all principal risks (2–5 metrics per risk domain)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SMF gives a six-monthly certification to the regulator.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not 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FSMA 2000 s.63F; FCA Handbook SYSC 27 &amp; SUP 10C; FCA </w:t>
            </w:r>
            <w:r w:rsidDel="00000000" w:rsidR="00000000" w:rsidRPr="00000000">
              <w:rPr>
                <w:rFonts w:ascii="Google Sans" w:cs="Google Sans" w:eastAsia="Google Sans" w:hAnsi="Google Sans"/>
                <w:i w:val="1"/>
                <w:iCs w:val="1"/>
                <w:color w:val="1f1f1f"/>
                <w:rtl w:val="0"/>
              </w:rPr>
              <w:t xml:space="preserve">Final Notice: Starling Bank Limited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 October 2024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Not a rule.</w:t>
            </w:r>
            <w:r w:rsidDel="00000000" w:rsidR="00000000" w:rsidRPr="00000000">
              <w:rPr>
                <w:rFonts w:ascii="Google Sans" w:cs="Google Sans" w:eastAsia="Google Sans" w:hAnsi="Google Sans"/>
                <w:color w:val="1f1f1f"/>
                <w:rtl w:val="0"/>
              </w:rPr>
              <w:t xml:space="preserve"> Statutory Fitness &amp; Propriety certification under SMCR is </w:t>
            </w:r>
            <w:r w:rsidDel="00000000" w:rsidR="00000000" w:rsidRPr="00000000">
              <w:rPr>
                <w:rFonts w:ascii="Google Sans" w:cs="Google Sans" w:eastAsia="Google Sans" w:hAnsi="Google Sans"/>
                <w:b w:val="1"/>
                <w:bCs w:val="1"/>
                <w:color w:val="1f1f1f"/>
                <w:rtl w:val="0"/>
              </w:rPr>
              <w:t xml:space="preserve">annual</w:t>
            </w:r>
            <w:r w:rsidDel="00000000" w:rsidR="00000000" w:rsidRPr="00000000">
              <w:rPr>
                <w:rFonts w:ascii="Google Sans" w:cs="Google Sans" w:eastAsia="Google Sans" w:hAnsi="Google Sans"/>
                <w:color w:val="1f1f1f"/>
                <w:rtl w:val="0"/>
              </w:rPr>
              <w:t xml:space="preserve"> (12-monthly) and retained internally unless a breach occurs (Form C/D within 7 business days; annual REP008). A six-monthly SMF attestation exists only as </w:t>
            </w:r>
            <w:r w:rsidDel="00000000" w:rsidR="00000000" w:rsidRPr="00000000">
              <w:rPr>
                <w:rFonts w:ascii="Google Sans" w:cs="Google Sans" w:eastAsia="Google Sans" w:hAnsi="Google Sans"/>
                <w:b w:val="1"/>
                <w:bCs w:val="1"/>
                <w:color w:val="1f1f1f"/>
                <w:rtl w:val="0"/>
              </w:rPr>
              <w:t xml:space="preserve">internal firm governance practice</w:t>
            </w:r>
            <w:r w:rsidDel="00000000" w:rsidR="00000000" w:rsidRPr="00000000">
              <w:rPr>
                <w:rFonts w:ascii="Google Sans" w:cs="Google Sans" w:eastAsia="Google Sans" w:hAnsi="Google Sans"/>
                <w:color w:val="1f1f1f"/>
                <w:rtl w:val="0"/>
              </w:rPr>
              <w:t xml:space="preserve"> (aligned to H1/FY results) or as a </w:t>
            </w:r>
            <w:r w:rsidDel="00000000" w:rsidR="00000000" w:rsidRPr="00000000">
              <w:rPr>
                <w:rFonts w:ascii="Google Sans" w:cs="Google Sans" w:eastAsia="Google Sans" w:hAnsi="Google Sans"/>
                <w:b w:val="1"/>
                <w:bCs w:val="1"/>
                <w:color w:val="1f1f1f"/>
                <w:rtl w:val="0"/>
              </w:rPr>
              <w:t xml:space="preserve">bespoke supervisory requirement under a VREQ or s166 review</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societies are about 25% of the UK market.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confirmed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(for mortgage/savings stock &amp; new lending)</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partly supported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(higher on flows/ISAs)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Societies Association (BSA) </w:t>
            </w:r>
            <w:r w:rsidDel="00000000" w:rsidR="00000000" w:rsidRPr="00000000">
              <w:rPr>
                <w:rFonts w:ascii="Google Sans" w:cs="Google Sans" w:eastAsia="Google Sans" w:hAnsi="Google Sans"/>
                <w:i w:val="1"/>
                <w:iCs w:val="1"/>
                <w:color w:val="1f1f1f"/>
                <w:rtl w:val="0"/>
              </w:rPr>
              <w:t xml:space="preserve">Trading Updates</w:t>
            </w:r>
            <w:r w:rsidDel="00000000" w:rsidR="00000000" w:rsidRPr="00000000">
              <w:rPr>
                <w:rFonts w:ascii="Google Sans" w:cs="Google Sans" w:eastAsia="Google Sans" w:hAnsi="Google Sans"/>
                <w:color w:val="1f1f1f"/>
                <w:rtl w:val="0"/>
              </w:rPr>
              <w:t xml:space="preserve"> (June &amp; Nov 2025) &amp; House of Lords Library Briefing </w:t>
            </w:r>
            <w:r w:rsidDel="00000000" w:rsidR="00000000" w:rsidRPr="00000000">
              <w:rPr>
                <w:rFonts w:ascii="Google Sans" w:cs="Google Sans" w:eastAsia="Google Sans" w:hAnsi="Google Sans"/>
                <w:i w:val="1"/>
                <w:iCs w:val="1"/>
                <w:color w:val="1f1f1f"/>
                <w:rtl w:val="0"/>
              </w:rPr>
              <w:t xml:space="preserve">LLN-2024-0018</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April 2024 / 28 November 2025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Confirmed</w:t>
            </w:r>
            <w:r w:rsidDel="00000000" w:rsidR="00000000" w:rsidRPr="00000000">
              <w:rPr>
                <w:rFonts w:ascii="Google Sans" w:cs="Google Sans" w:eastAsia="Google Sans" w:hAnsi="Google Sans"/>
                <w:color w:val="1f1f1f"/>
                <w:rtl w:val="0"/>
              </w:rPr>
              <w:t xml:space="preserve"> by UK </w:t>
            </w:r>
            <w:r w:rsidDel="00000000" w:rsidR="00000000" w:rsidRPr="00000000">
              <w:rPr>
                <w:rFonts w:ascii="Google Sans" w:cs="Google Sans" w:eastAsia="Google Sans" w:hAnsi="Google Sans"/>
                <w:b w:val="1"/>
                <w:bCs w:val="1"/>
                <w:color w:val="1f1f1f"/>
                <w:rtl w:val="0"/>
              </w:rPr>
              <w:t xml:space="preserve">new mortgage lending</w:t>
            </w:r>
            <w:r w:rsidDel="00000000" w:rsidR="00000000" w:rsidRPr="00000000">
              <w:rPr>
                <w:rFonts w:ascii="Google Sans" w:cs="Google Sans" w:eastAsia="Google Sans" w:hAnsi="Google Sans"/>
                <w:color w:val="1f1f1f"/>
                <w:rtl w:val="0"/>
              </w:rPr>
              <w:t xml:space="preserve"> in Jan–Sept 2023 ("over a quarter" / &gt;25%)</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outstanding mortgage balances</w:t>
            </w:r>
            <w:r w:rsidDel="00000000" w:rsidR="00000000" w:rsidRPr="00000000">
              <w:rPr>
                <w:rFonts w:ascii="Google Sans" w:cs="Google Sans" w:eastAsia="Google Sans" w:hAnsi="Google Sans"/>
                <w:color w:val="1f1f1f"/>
                <w:rtl w:val="0"/>
              </w:rPr>
              <w:t xml:space="preserve"> (23% for building societies alone; 29% incl. mutual banks in 2025)</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cash savings balances</w:t>
            </w:r>
            <w:r w:rsidDel="00000000" w:rsidR="00000000" w:rsidRPr="00000000">
              <w:rPr>
                <w:rFonts w:ascii="Google Sans" w:cs="Google Sans" w:eastAsia="Google Sans" w:hAnsi="Google Sans"/>
                <w:color w:val="1f1f1f"/>
                <w:rtl w:val="0"/>
              </w:rPr>
              <w:t xml:space="preserve"> (23% in 2025), and </w:t>
            </w:r>
            <w:r w:rsidDel="00000000" w:rsidR="00000000" w:rsidRPr="00000000">
              <w:rPr>
                <w:rFonts w:ascii="Google Sans" w:cs="Google Sans" w:eastAsia="Google Sans" w:hAnsi="Google Sans"/>
                <w:b w:val="1"/>
                <w:bCs w:val="1"/>
                <w:color w:val="1f1f1f"/>
                <w:rtl w:val="0"/>
              </w:rPr>
              <w:t xml:space="preserve">cash savings inflows</w:t>
            </w:r>
            <w:r w:rsidDel="00000000" w:rsidR="00000000" w:rsidRPr="00000000">
              <w:rPr>
                <w:rFonts w:ascii="Google Sans" w:cs="Google Sans" w:eastAsia="Google Sans" w:hAnsi="Google Sans"/>
                <w:color w:val="1f1f1f"/>
                <w:rtl w:val="0"/>
              </w:rPr>
              <w:t xml:space="preserve"> (27% in H1 to Sept 2025)</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Much higher on </w:t>
            </w:r>
            <w:r w:rsidDel="00000000" w:rsidR="00000000" w:rsidRPr="00000000">
              <w:rPr>
                <w:rFonts w:ascii="Google Sans" w:cs="Google Sans" w:eastAsia="Google Sans" w:hAnsi="Google Sans"/>
                <w:b w:val="1"/>
                <w:bCs w:val="1"/>
                <w:color w:val="1f1f1f"/>
                <w:rtl w:val="0"/>
              </w:rPr>
              <w:t xml:space="preserve">Cash ISAs (46%–47%)</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net mortgage lending growth (52% in Oct 2024–Mar 2025)</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JPMorgan and Citi said they will not permit AI agents to execute transactions.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JPMorgan Earnings Call Disclosures (Jamie Dimon &amp; CFO Jeremy Barnum) &amp; Financial Press Reports on Citigroup</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Confirmed for external/third-party AI agents.</w:t>
            </w:r>
            <w:r w:rsidDel="00000000" w:rsidR="00000000" w:rsidRPr="00000000">
              <w:rPr>
                <w:rFonts w:ascii="Google Sans" w:cs="Google Sans" w:eastAsia="Google Sans" w:hAnsi="Google Sans"/>
                <w:color w:val="1f1f1f"/>
                <w:rtl w:val="0"/>
              </w:rPr>
              <w:t xml:space="preserve"> JPMorgan and Citi restricted third-party autonomous AI agents to read-only Open Banking data access and blocked them from executing transactions (sending money, paying bills, trading) due to credential/authorisation security and liability transfer risks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However, JPMorgan is piloting its own </w:t>
            </w:r>
            <w:r w:rsidDel="00000000" w:rsidR="00000000" w:rsidRPr="00000000">
              <w:rPr>
                <w:rFonts w:ascii="Google Sans" w:cs="Google Sans" w:eastAsia="Google Sans" w:hAnsi="Google Sans"/>
                <w:b w:val="1"/>
                <w:bCs w:val="1"/>
                <w:color w:val="1f1f1f"/>
                <w:rtl w:val="0"/>
              </w:rPr>
              <w:t xml:space="preserve">internal first-party AI tool (</w:t>
            </w:r>
            <w:r w:rsidDel="00000000" w:rsidR="00000000" w:rsidRPr="00000000">
              <w:rPr>
                <w:rFonts w:ascii="Google Sans" w:cs="Google Sans" w:eastAsia="Google Sans" w:hAnsi="Google Sans"/>
                <w:b w:val="1"/>
                <w:bCs w:val="1"/>
                <w:i w:val="1"/>
                <w:iCs w:val="1"/>
                <w:color w:val="1f1f1f"/>
                <w:rtl w:val="0"/>
              </w:rPr>
              <w:t xml:space="preserve">Smart Cash</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to move customer funds for yield</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FCA raises conduct expectations by comparing firms to the best in the market rather than setting fixed standards.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FCA </w:t>
            </w:r>
            <w:r w:rsidDel="00000000" w:rsidR="00000000" w:rsidRPr="00000000">
              <w:rPr>
                <w:rFonts w:ascii="Google Sans" w:cs="Google Sans" w:eastAsia="Google Sans" w:hAnsi="Google Sans"/>
                <w:i w:val="1"/>
                <w:iCs w:val="1"/>
                <w:color w:val="1f1f1f"/>
                <w:rtl w:val="0"/>
              </w:rPr>
              <w:t xml:space="preserve">Consumer Duty Focus Areas 2025/26</w:t>
            </w:r>
            <w:r w:rsidDel="00000000" w:rsidR="00000000" w:rsidRPr="00000000">
              <w:rPr>
                <w:rFonts w:ascii="Google Sans" w:cs="Google Sans" w:eastAsia="Google Sans" w:hAnsi="Google Sans"/>
                <w:color w:val="1f1f1f"/>
                <w:rtl w:val="0"/>
              </w:rPr>
              <w:t xml:space="preserve">; FCA </w:t>
            </w:r>
            <w:r w:rsidDel="00000000" w:rsidR="00000000" w:rsidRPr="00000000">
              <w:rPr>
                <w:rFonts w:ascii="Google Sans" w:cs="Google Sans" w:eastAsia="Google Sans" w:hAnsi="Google Sans"/>
                <w:i w:val="1"/>
                <w:iCs w:val="1"/>
                <w:color w:val="1f1f1f"/>
                <w:rtl w:val="0"/>
              </w:rPr>
              <w:t xml:space="preserve">Payments Consumer Duty Multi-Firm Review</w:t>
            </w:r>
            <w:r w:rsidDel="00000000" w:rsidR="00000000" w:rsidRPr="00000000">
              <w:rPr>
                <w:rFonts w:ascii="Google Sans" w:cs="Google Sans" w:eastAsia="Google Sans" w:hAnsi="Google Sans"/>
                <w:color w:val="1f1f1f"/>
                <w:rtl w:val="0"/>
              </w:rPr>
              <w:t xml:space="preserve">; FCA </w:t>
            </w:r>
            <w:r w:rsidDel="00000000" w:rsidR="00000000" w:rsidRPr="00000000">
              <w:rPr>
                <w:rFonts w:ascii="Google Sans" w:cs="Google Sans" w:eastAsia="Google Sans" w:hAnsi="Google Sans"/>
                <w:i w:val="1"/>
                <w:iCs w:val="1"/>
                <w:color w:val="1f1f1f"/>
                <w:rtl w:val="0"/>
              </w:rPr>
              <w:t xml:space="preserve">Good and Poor Practice Reports</w:t>
            </w:r>
            <w:r w:rsidDel="00000000" w:rsidR="00000000" w:rsidRPr="00000000">
              <w:rPr>
                <w:rFonts w:ascii="Google Sans" w:cs="Google Sans" w:eastAsia="Google Sans" w:hAnsi="Google Sans"/>
                <w:color w:val="1f1f1f"/>
                <w:rtl w:val="0"/>
              </w:rPr>
              <w:t xml:space="preserve"> (Feb, June, Sept, Dec 2024)</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February 2024 – 24 September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Confirmed.</w:t>
            </w:r>
            <w:r w:rsidDel="00000000" w:rsidR="00000000" w:rsidRPr="00000000">
              <w:rPr>
                <w:rFonts w:ascii="Google Sans" w:cs="Google Sans" w:eastAsia="Google Sans" w:hAnsi="Google Sans"/>
                <w:color w:val="1f1f1f"/>
                <w:rtl w:val="0"/>
              </w:rPr>
              <w:t xml:space="preserve"> Under Principle 12 (Consumer Duty), the FCA uses outcomes-based regulation rather than fixed prescriptive tick-boxes, systematically conducting multi-firm reviews and publishing </w:t>
            </w:r>
            <w:r w:rsidDel="00000000" w:rsidR="00000000" w:rsidRPr="00000000">
              <w:rPr>
                <w:rFonts w:ascii="Google Sans" w:cs="Google Sans" w:eastAsia="Google Sans" w:hAnsi="Google Sans"/>
                <w:b w:val="1"/>
                <w:bCs w:val="1"/>
                <w:color w:val="1f1f1f"/>
                <w:rtl w:val="0"/>
              </w:rPr>
              <w:t xml:space="preserve">"Good Practice and Poor Practice"</w:t>
            </w:r>
            <w:r w:rsidDel="00000000" w:rsidR="00000000" w:rsidRPr="00000000">
              <w:rPr>
                <w:rFonts w:ascii="Google Sans" w:cs="Google Sans" w:eastAsia="Google Sans" w:hAnsi="Google Sans"/>
                <w:color w:val="1f1f1f"/>
                <w:rtl w:val="0"/>
              </w:rPr>
              <w:t xml:space="preserve"> updates (plus its </w:t>
            </w:r>
            <w:r w:rsidDel="00000000" w:rsidR="00000000" w:rsidRPr="00000000">
              <w:rPr>
                <w:rFonts w:ascii="Google Sans" w:cs="Google Sans" w:eastAsia="Google Sans" w:hAnsi="Google Sans"/>
                <w:i w:val="1"/>
                <w:iCs w:val="1"/>
                <w:color w:val="1f1f1f"/>
                <w:rtl w:val="0"/>
              </w:rPr>
              <w:t xml:space="preserve">Raising Standards Together</w:t>
            </w:r>
            <w:r w:rsidDel="00000000" w:rsidR="00000000" w:rsidRPr="00000000">
              <w:rPr>
                <w:rFonts w:ascii="Google Sans" w:cs="Google Sans" w:eastAsia="Google Sans" w:hAnsi="Google Sans"/>
                <w:color w:val="1f1f1f"/>
                <w:rtl w:val="0"/>
              </w:rPr>
              <w:t xml:space="preserve"> programme) that benchmark firms against top peers and ratchet supervisory expectations upward</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Building a board risk framework from spreadsheets typically takes 12–18 months at a fast-growing bank.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confirmed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FCA Final Notices for </w:t>
            </w:r>
            <w:r w:rsidDel="00000000" w:rsidR="00000000" w:rsidRPr="00000000">
              <w:rPr>
                <w:rFonts w:ascii="Google Sans" w:cs="Google Sans" w:eastAsia="Google Sans" w:hAnsi="Google Sans"/>
                <w:i w:val="1"/>
                <w:iCs w:val="1"/>
                <w:color w:val="1f1f1f"/>
                <w:rtl w:val="0"/>
              </w:rPr>
              <w:t xml:space="preserve">Starling Bank</w:t>
            </w:r>
            <w:r w:rsidDel="00000000" w:rsidR="00000000" w:rsidRPr="00000000">
              <w:rPr>
                <w:rFonts w:ascii="Google Sans" w:cs="Google Sans" w:eastAsia="Google Sans" w:hAnsi="Google Sans"/>
                <w:color w:val="1f1f1f"/>
                <w:rtl w:val="0"/>
              </w:rPr>
              <w:t xml:space="preserve"> (2024), </w:t>
            </w:r>
            <w:r w:rsidDel="00000000" w:rsidR="00000000" w:rsidRPr="00000000">
              <w:rPr>
                <w:rFonts w:ascii="Google Sans" w:cs="Google Sans" w:eastAsia="Google Sans" w:hAnsi="Google Sans"/>
                <w:i w:val="1"/>
                <w:iCs w:val="1"/>
                <w:color w:val="1f1f1f"/>
                <w:rtl w:val="0"/>
              </w:rPr>
              <w:t xml:space="preserve">Metro Bank</w:t>
            </w:r>
            <w:r w:rsidDel="00000000" w:rsidR="00000000" w:rsidRPr="00000000">
              <w:rPr>
                <w:rFonts w:ascii="Google Sans" w:cs="Google Sans" w:eastAsia="Google Sans" w:hAnsi="Google Sans"/>
                <w:color w:val="1f1f1f"/>
                <w:rtl w:val="0"/>
              </w:rPr>
              <w:t xml:space="preserve"> (2024), </w:t>
            </w:r>
            <w:r w:rsidDel="00000000" w:rsidR="00000000" w:rsidRPr="00000000">
              <w:rPr>
                <w:rFonts w:ascii="Google Sans" w:cs="Google Sans" w:eastAsia="Google Sans" w:hAnsi="Google Sans"/>
                <w:i w:val="1"/>
                <w:iCs w:val="1"/>
                <w:color w:val="1f1f1f"/>
                <w:rtl w:val="0"/>
              </w:rPr>
              <w:t xml:space="preserve">CB Payments</w:t>
            </w:r>
            <w:r w:rsidDel="00000000" w:rsidR="00000000" w:rsidRPr="00000000">
              <w:rPr>
                <w:rFonts w:ascii="Google Sans" w:cs="Google Sans" w:eastAsia="Google Sans" w:hAnsi="Google Sans"/>
                <w:color w:val="1f1f1f"/>
                <w:rtl w:val="0"/>
              </w:rPr>
              <w:t xml:space="preserve"> (2024), and </w:t>
            </w:r>
            <w:r w:rsidDel="00000000" w:rsidR="00000000" w:rsidRPr="00000000">
              <w:rPr>
                <w:rFonts w:ascii="Google Sans" w:cs="Google Sans" w:eastAsia="Google Sans" w:hAnsi="Google Sans"/>
                <w:i w:val="1"/>
                <w:iCs w:val="1"/>
                <w:color w:val="1f1f1f"/>
                <w:rtl w:val="0"/>
              </w:rPr>
              <w:t xml:space="preserve">Nottingham Building Society Annual Report 2025</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July 2024 – March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Confirmed by empirical remediation timelines.</w:t>
            </w:r>
            <w:r w:rsidDel="00000000" w:rsidR="00000000" w:rsidRPr="00000000">
              <w:rPr>
                <w:rFonts w:ascii="Google Sans" w:cs="Google Sans" w:eastAsia="Google Sans" w:hAnsi="Google Sans"/>
                <w:color w:val="1f1f1f"/>
                <w:rtl w:val="0"/>
              </w:rPr>
              <w:t xml:space="preserve"> At CB Payments, building a formal control review (Dec 2022) and written compliance framework (April 2023) through to full remediation took &gt;12 months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at Starling, moving from the Sept 2021 VREQ to zero monthly VREQ breaches (April 2024) took 31 months (and 14 months from the Jan 2023 discovery)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at Nottingham BS, consolidating lending to embed new platform and resilience foundations required a dedicated 12-month cycle in 2025</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crime trigger latency can be cut from about 30 minutes to under 20 seconds with self-learning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b w:val="1"/>
                <w:bCs w:val="1"/>
                <w:color w:val="1f1f1f"/>
                <w:rtl w:val="0"/>
              </w:rPr>
              <w:t xml:space="preserve">partly supported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(technically feasible for streaming fraud)</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not supported</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(for holistic AML AI &amp; UK SS1/23 governance)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GroundTruth AI (</w:t>
            </w:r>
            <w:r w:rsidDel="00000000" w:rsidR="00000000" w:rsidRPr="00000000">
              <w:rPr>
                <w:rFonts w:ascii="Google Sans" w:cs="Google Sans" w:eastAsia="Google Sans" w:hAnsi="Google Sans"/>
                <w:i w:val="1"/>
                <w:iCs w:val="1"/>
                <w:color w:val="1f1f1f"/>
                <w:rtl w:val="0"/>
              </w:rPr>
              <w:t xml:space="preserve">Google AML AI in 3 minutes</w:t>
            </w:r>
            <w:r w:rsidDel="00000000" w:rsidR="00000000" w:rsidRPr="00000000">
              <w:rPr>
                <w:rFonts w:ascii="Google Sans" w:cs="Google Sans" w:eastAsia="Google Sans" w:hAnsi="Google Sans"/>
                <w:color w:val="1f1f1f"/>
                <w:rtl w:val="0"/>
              </w:rPr>
              <w:t xml:space="preserve">); World Bank AI Repository (</w:t>
            </w:r>
            <w:r w:rsidDel="00000000" w:rsidR="00000000" w:rsidRPr="00000000">
              <w:rPr>
                <w:rFonts w:ascii="Google Sans" w:cs="Google Sans" w:eastAsia="Google Sans" w:hAnsi="Google Sans"/>
                <w:i w:val="1"/>
                <w:iCs w:val="1"/>
                <w:color w:val="1f1f1f"/>
                <w:rtl w:val="0"/>
              </w:rPr>
              <w:t xml:space="preserve">HSBC DRA</w:t>
            </w:r>
            <w:r w:rsidDel="00000000" w:rsidR="00000000" w:rsidRPr="00000000">
              <w:rPr>
                <w:rFonts w:ascii="Google Sans" w:cs="Google Sans" w:eastAsia="Google Sans" w:hAnsi="Google Sans"/>
                <w:color w:val="1f1f1f"/>
                <w:rtl w:val="0"/>
              </w:rPr>
              <w:t xml:space="preserve">); SmartDev (</w:t>
            </w:r>
            <w:r w:rsidDel="00000000" w:rsidR="00000000" w:rsidRPr="00000000">
              <w:rPr>
                <w:rFonts w:ascii="Google Sans" w:cs="Google Sans" w:eastAsia="Google Sans" w:hAnsi="Google Sans"/>
                <w:i w:val="1"/>
                <w:iCs w:val="1"/>
                <w:color w:val="1f1f1f"/>
                <w:rtl w:val="0"/>
              </w:rPr>
              <w:t xml:space="preserve">AI Use Cases in AML</w:t>
            </w:r>
            <w:r w:rsidDel="00000000" w:rsidR="00000000" w:rsidRPr="00000000">
              <w:rPr>
                <w:rFonts w:ascii="Google Sans" w:cs="Google Sans" w:eastAsia="Google Sans" w:hAnsi="Google Sans"/>
                <w:color w:val="1f1f1f"/>
                <w:rtl w:val="0"/>
              </w:rPr>
              <w:t xml:space="preserve">); Jaywing (</w:t>
            </w:r>
            <w:r w:rsidDel="00000000" w:rsidR="00000000" w:rsidRPr="00000000">
              <w:rPr>
                <w:rFonts w:ascii="Google Sans" w:cs="Google Sans" w:eastAsia="Google Sans" w:hAnsi="Google Sans"/>
                <w:i w:val="1"/>
                <w:iCs w:val="1"/>
                <w:color w:val="1f1f1f"/>
                <w:rtl w:val="0"/>
              </w:rPr>
              <w:t xml:space="preserve">PRA SS1/23</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June 2023 – October 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moving from batch to streaming AI enables sub-20-second anomaly triage in payment fraud</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flagship AML AI systems (such as </w:t>
            </w:r>
            <w:r w:rsidDel="00000000" w:rsidR="00000000" w:rsidRPr="00000000">
              <w:rPr>
                <w:rFonts w:ascii="Google Sans" w:cs="Google Sans" w:eastAsia="Google Sans" w:hAnsi="Google Sans"/>
                <w:b w:val="1"/>
                <w:bCs w:val="1"/>
                <w:color w:val="1f1f1f"/>
                <w:rtl w:val="0"/>
              </w:rPr>
              <w:t xml:space="preserve">Google Cloud AML AI at HSBC</w:t>
            </w:r>
            <w:r w:rsidDel="00000000" w:rsidR="00000000" w:rsidRPr="00000000">
              <w:rPr>
                <w:rFonts w:ascii="Google Sans" w:cs="Google Sans" w:eastAsia="Google Sans" w:hAnsi="Google Sans"/>
                <w:color w:val="1f1f1f"/>
                <w:rtl w:val="0"/>
              </w:rPr>
              <w:t xml:space="preserve">) do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score single transactions in seconds; they score holistic customer risk over 2 years of data, cutting alert false positives by 60% and investigation turnaround from weeks to ~8 days (or case-note drafting from hours to minutes)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 Further, </w:t>
            </w:r>
            <w:r w:rsidDel="00000000" w:rsidR="00000000" w:rsidRPr="00000000">
              <w:rPr>
                <w:rFonts w:ascii="Google Sans" w:cs="Google Sans" w:eastAsia="Google Sans" w:hAnsi="Google Sans"/>
                <w:b w:val="1"/>
                <w:bCs w:val="1"/>
                <w:color w:val="1f1f1f"/>
                <w:rtl w:val="0"/>
              </w:rPr>
              <w:t xml:space="preserve">PRA SS1/23</w:t>
            </w:r>
            <w:r w:rsidDel="00000000" w:rsidR="00000000" w:rsidRPr="00000000">
              <w:rPr>
                <w:rFonts w:ascii="Google Sans" w:cs="Google Sans" w:eastAsia="Google Sans" w:hAnsi="Google Sans"/>
                <w:color w:val="1f1f1f"/>
                <w:rtl w:val="0"/>
              </w:rPr>
              <w:t xml:space="preserve"> prohibits ungoverned "self-learning" threshold drift in production without human validation</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1F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SYNTHESIS</w:t>
      </w:r>
    </w:p>
    <w:p w:rsidR="00000000" w:rsidDel="00000000" w:rsidP="00000000" w:rsidRDefault="00000000" w:rsidRPr="00000000" w14:paraId="000001F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What a UK Board-Level Risk View Must Show (Ordered List Traced to Evidence)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win the mandate of a UK Board Risk Committee Chair (SMF10), CEO (SMF1), and CRO (SMF4), the platform's top-level Board View must elevate above control compliance and present an ordered, five-layer strategic cockpit:</w:t>
      </w:r>
    </w:p>
    <w:p w:rsidR="00000000" w:rsidDel="00000000" w:rsidP="00000000" w:rsidRDefault="00000000" w:rsidRPr="00000000" w14:paraId="000001F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Strategic Objectives &amp; Growth Appetite Alignment Bar (A-GM-04, B-GM-01):</w:t>
      </w:r>
      <w:r w:rsidDel="00000000" w:rsidR="00000000" w:rsidRPr="00000000">
        <w:rPr>
          <w:rFonts w:ascii="Google Sans" w:cs="Google Sans" w:eastAsia="Google Sans" w:hAnsi="Google Sans"/>
          <w:color w:val="1f1f1f"/>
          <w:rtl w:val="0"/>
        </w:rPr>
        <w:t xml:space="preserve"> A top-level strategic banner displaying the firm's 3–5 core strategic priorities (such as First-Time Buyer mortgage growth, digital onboarding expansion, NIM protection, or core platform transformation) directly paired with the risk capacity consumed by each objective and an explicit indicator showing whether operational and financial crime control capacity is keeping pace with commercial growth—preventing the Starling and Monzo failure mode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8">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10–12 Headline Board Risk Appetite Scorecard (A-GM-02, A-GM-03, B-GM-01):</w:t>
      </w:r>
      <w:r w:rsidDel="00000000" w:rsidR="00000000" w:rsidRPr="00000000">
        <w:rPr>
          <w:rFonts w:ascii="Google Sans" w:cs="Google Sans" w:eastAsia="Google Sans" w:hAnsi="Google Sans"/>
          <w:color w:val="1f1f1f"/>
          <w:rtl w:val="0"/>
        </w:rPr>
        <w:t xml:space="preserve"> A clean executive grid displaying the 8–10 Principal Risks and their 10–12 headline Level 1 quantitative metrics (CET1, Leverage, LCR, Cost of Risk, Arrears &gt;3m, FinCrime/VREQ Adherence, Operational Resilience Impact Tolerance, Consumer Duty Fair Value/Support, Cyber Patching, and Climate Pathway) with current status against Amber/Red limits, 4-quarter directional trajectory arrows, and velocity warnings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Active Escalation &amp; Metric-Tension Exception Feed (A-GM-02, B-GM-02, G-GM-02):</w:t>
      </w:r>
      <w:r w:rsidDel="00000000" w:rsidR="00000000" w:rsidRPr="00000000">
        <w:rPr>
          <w:rFonts w:ascii="Google Sans" w:cs="Google Sans" w:eastAsia="Google Sans" w:hAnsi="Google Sans"/>
          <w:color w:val="1f1f1f"/>
          <w:rtl w:val="0"/>
        </w:rPr>
        <w:t xml:space="preserve"> An exception stream filtered strictly by board escalation rules, surfacing all Level 1 Red/Amber breaches, persistent Level 2 Ambers (</w:t>
      </w:r>
      <w:r w:rsidDel="00000000" w:rsidR="00000000" w:rsidRPr="00000000">
        <w:rPr>
          <w:rFonts w:ascii="Google Sans" w:cs="Google Sans" w:eastAsia="Google Sans" w:hAnsi="Google Sans"/>
          <w:color w:val="1f1f1f"/>
        </w:rPr>
        <w:drawing>
          <wp:inline distB="19050" distT="19050" distL="19050" distR="19050">
            <wp:extent cx="304919" cy="205820"/>
            <wp:effectExtent b="0" l="0" r="0" t="0"/>
            <wp:docPr id="17"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04919" cy="2058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quarters), any </w:t>
      </w:r>
      <w:r w:rsidDel="00000000" w:rsidR="00000000" w:rsidRPr="00000000">
        <w:rPr>
          <w:rFonts w:ascii="Google Sans" w:cs="Google Sans" w:eastAsia="Google Sans" w:hAnsi="Google Sans"/>
          <w:b w:val="1"/>
          <w:bCs w:val="1"/>
          <w:color w:val="1f1f1f"/>
          <w:rtl w:val="0"/>
        </w:rPr>
        <w:t xml:space="preserve">Metric-Tension Guardrail Collisions</w:t>
      </w:r>
      <w:r w:rsidDel="00000000" w:rsidR="00000000" w:rsidRPr="00000000">
        <w:rPr>
          <w:rFonts w:ascii="Google Sans" w:cs="Google Sans" w:eastAsia="Google Sans" w:hAnsi="Google Sans"/>
          <w:color w:val="1f1f1f"/>
          <w:rtl w:val="0"/>
        </w:rPr>
        <w:t xml:space="preserve"> (where a commercial growth KPI is pushing a paired risk KRI into Amber), and an immutable feed of top risks flagged at lower operational forums that have remained un-remediated past SLA—preventing the Metro Bank minute-deletion suppression failure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SMCR Accountability &amp; Data-Completeness Attestation Strip (D-GM-01, D-GM-03, D-GM-04, H-GM-01):</w:t>
      </w:r>
      <w:r w:rsidDel="00000000" w:rsidR="00000000" w:rsidRPr="00000000">
        <w:rPr>
          <w:rFonts w:ascii="Google Sans" w:cs="Google Sans" w:eastAsia="Google Sans" w:hAnsi="Google Sans"/>
          <w:color w:val="1f1f1f"/>
          <w:rtl w:val="0"/>
        </w:rPr>
        <w:t xml:space="preserve"> An accountability overlay ensuring every principal risk and active breach displayed on the board view shows its single accountable SMF owner, the horizontal Product/Journey Risk Owner, the status of their monthly human attestation, and an automated </w:t>
      </w:r>
      <w:r w:rsidDel="00000000" w:rsidR="00000000" w:rsidRPr="00000000">
        <w:rPr>
          <w:rFonts w:ascii="Google Sans" w:cs="Google Sans" w:eastAsia="Google Sans" w:hAnsi="Google Sans"/>
          <w:b w:val="1"/>
          <w:bCs w:val="1"/>
          <w:color w:val="1f1f1f"/>
          <w:rtl w:val="0"/>
        </w:rPr>
        <w:t xml:space="preserve">"Source-to-Monitoring Data Completeness Badge"</w:t>
      </w:r>
      <w:r w:rsidDel="00000000" w:rsidR="00000000" w:rsidRPr="00000000">
        <w:rPr>
          <w:rFonts w:ascii="Google Sans" w:cs="Google Sans" w:eastAsia="Google Sans" w:hAnsi="Google Sans"/>
          <w:color w:val="1f1f1f"/>
          <w:rtl w:val="0"/>
        </w:rPr>
        <w:t xml:space="preserve"> confirming that 100% of core banking records reached the monitoring controls—eliminating silent data-feed and sanctions-filter failures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Horizon Scanning, Consumer Duty Outcomes &amp; Reportability Triage (C-GM-01, C-GM-02, F-GM-01, F-GM-02):</w:t>
      </w:r>
      <w:r w:rsidDel="00000000" w:rsidR="00000000" w:rsidRPr="00000000">
        <w:rPr>
          <w:rFonts w:ascii="Google Sans" w:cs="Google Sans" w:eastAsia="Google Sans" w:hAnsi="Google Sans"/>
          <w:color w:val="1f1f1f"/>
          <w:rtl w:val="0"/>
        </w:rPr>
        <w:t xml:space="preserve"> A forward-looking governance panel tracking Top &amp; Emerging Risks (weighted downside scenarios), live readiness for the mandatory </w:t>
      </w:r>
      <w:r w:rsidDel="00000000" w:rsidR="00000000" w:rsidRPr="00000000">
        <w:rPr>
          <w:rFonts w:ascii="Google Sans" w:cs="Google Sans" w:eastAsia="Google Sans" w:hAnsi="Google Sans"/>
          <w:b w:val="1"/>
          <w:bCs w:val="1"/>
          <w:color w:val="1f1f1f"/>
          <w:rtl w:val="0"/>
        </w:rPr>
        <w:t xml:space="preserve">Annual Consumer Duty Board Report</w:t>
      </w:r>
      <w:r w:rsidDel="00000000" w:rsidR="00000000" w:rsidRPr="00000000">
        <w:rPr>
          <w:rFonts w:ascii="Google Sans" w:cs="Google Sans" w:eastAsia="Google Sans" w:hAnsi="Google Sans"/>
          <w:color w:val="1f1f1f"/>
          <w:rtl w:val="0"/>
        </w:rPr>
        <w:t xml:space="preserve"> across customer journeys, and the </w:t>
      </w:r>
      <w:r w:rsidDel="00000000" w:rsidR="00000000" w:rsidRPr="00000000">
        <w:rPr>
          <w:rFonts w:ascii="Google Sans" w:cs="Google Sans" w:eastAsia="Google Sans" w:hAnsi="Google Sans"/>
          <w:b w:val="1"/>
          <w:bCs w:val="1"/>
          <w:color w:val="1f1f1f"/>
          <w:rtl w:val="0"/>
        </w:rPr>
        <w:t xml:space="preserve">SUP 15 / Fundamental Rule 7 Decision Log</w:t>
      </w:r>
      <w:r w:rsidDel="00000000" w:rsidR="00000000" w:rsidRPr="00000000">
        <w:rPr>
          <w:rFonts w:ascii="Google Sans" w:cs="Google Sans" w:eastAsia="Google Sans" w:hAnsi="Google Sans"/>
          <w:color w:val="1f1f1f"/>
          <w:rtl w:val="0"/>
        </w:rPr>
        <w:t xml:space="preserve"> showing all externally reported incidents alongside documented "Not Reportable" near-misses signed off by SMF4 or SMF16</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Qualifiers versus Differentiators in the UK Market</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UK governance, risk, and compliance market, </w:t>
      </w:r>
      <w:r w:rsidDel="00000000" w:rsidR="00000000" w:rsidRPr="00000000">
        <w:rPr>
          <w:rFonts w:ascii="Google Sans" w:cs="Google Sans" w:eastAsia="Google Sans" w:hAnsi="Google Sans"/>
          <w:b w:val="1"/>
          <w:bCs w:val="1"/>
          <w:color w:val="1f1f1f"/>
          <w:rtl w:val="0"/>
        </w:rPr>
        <w:t xml:space="preserve">table-stakes qualifiers</w:t>
      </w:r>
      <w:r w:rsidDel="00000000" w:rsidR="00000000" w:rsidRPr="00000000">
        <w:rPr>
          <w:rFonts w:ascii="Google Sans" w:cs="Google Sans" w:eastAsia="Google Sans" w:hAnsi="Google Sans"/>
          <w:color w:val="1f1f1f"/>
          <w:rtl w:val="0"/>
        </w:rPr>
        <w:t xml:space="preserve">—capabilities that every serious competitor including MetricStream, ServiceNow IRM, Archer, IBM OpenPages, and Protecht already possesses—include bottom-up Risk and Control Self-Assessment (RCSA) workflows and control libraries across risk domains, standard KRI Red-Amber-Green (RAG) threshold dashboards, loss-event and incident intake registers, basic mapping of controls to FCA and PRA handbook rules, and standard Three Lines of Defence role permissions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Positioning the platform primarily around control monitoring across nine risk domains places it in a crowded commodity contest against entrenched incumbents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contrast, </w:t>
      </w:r>
      <w:r w:rsidDel="00000000" w:rsidR="00000000" w:rsidRPr="00000000">
        <w:rPr>
          <w:rFonts w:ascii="Google Sans" w:cs="Google Sans" w:eastAsia="Google Sans" w:hAnsi="Google Sans"/>
          <w:b w:val="1"/>
          <w:bCs w:val="1"/>
          <w:color w:val="1f1f1f"/>
          <w:rtl w:val="0"/>
        </w:rPr>
        <w:t xml:space="preserve">true unserved differentiators</w:t>
      </w:r>
      <w:r w:rsidDel="00000000" w:rsidR="00000000" w:rsidRPr="00000000">
        <w:rPr>
          <w:rFonts w:ascii="Google Sans" w:cs="Google Sans" w:eastAsia="Google Sans" w:hAnsi="Google Sans"/>
          <w:color w:val="1f1f1f"/>
          <w:rtl w:val="0"/>
        </w:rPr>
        <w:t xml:space="preserve"> address the exact structural failures identified by UK boards and FCA enforcement notices. First, the platform can differentiate through </w:t>
      </w:r>
      <w:r w:rsidDel="00000000" w:rsidR="00000000" w:rsidRPr="00000000">
        <w:rPr>
          <w:rFonts w:ascii="Google Sans" w:cs="Google Sans" w:eastAsia="Google Sans" w:hAnsi="Google Sans"/>
          <w:b w:val="1"/>
          <w:bCs w:val="1"/>
          <w:color w:val="1f1f1f"/>
          <w:rtl w:val="0"/>
        </w:rPr>
        <w:t xml:space="preserve">End-to-End Strategy </w:t>
      </w:r>
      <w:r w:rsidDel="00000000" w:rsidR="00000000" w:rsidRPr="00000000">
        <w:rPr>
          <w:rFonts w:ascii="Google Sans" w:cs="Google Sans" w:eastAsia="Google Sans" w:hAnsi="Google Sans"/>
          <w:b w:val="1"/>
          <w:bCs w:val="1"/>
          <w:color w:val="1f1f1f"/>
        </w:rPr>
        <w:drawing>
          <wp:inline distB="19050" distT="19050" distL="19050" distR="19050">
            <wp:extent cx="195977" cy="203514"/>
            <wp:effectExtent b="0" l="0" r="0" t="0"/>
            <wp:docPr id="1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77" cy="20351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RAS </w:t>
      </w:r>
      <w:r w:rsidDel="00000000" w:rsidR="00000000" w:rsidRPr="00000000">
        <w:rPr>
          <w:rFonts w:ascii="Google Sans" w:cs="Google Sans" w:eastAsia="Google Sans" w:hAnsi="Google Sans"/>
          <w:b w:val="1"/>
          <w:bCs w:val="1"/>
          <w:color w:val="1f1f1f"/>
        </w:rPr>
        <w:drawing>
          <wp:inline distB="19050" distT="19050" distL="19050" distR="19050">
            <wp:extent cx="195977" cy="203514"/>
            <wp:effectExtent b="0" l="0" r="0" t="0"/>
            <wp:docPr id="1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77" cy="20351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L1/L2/L3 </w:t>
      </w:r>
      <w:r w:rsidDel="00000000" w:rsidR="00000000" w:rsidRPr="00000000">
        <w:rPr>
          <w:rFonts w:ascii="Google Sans" w:cs="Google Sans" w:eastAsia="Google Sans" w:hAnsi="Google Sans"/>
          <w:b w:val="1"/>
          <w:bCs w:val="1"/>
          <w:color w:val="1f1f1f"/>
        </w:rPr>
        <w:drawing>
          <wp:inline distB="19050" distT="19050" distL="19050" distR="19050">
            <wp:extent cx="195977" cy="203514"/>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77" cy="20351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Control Traceability with "Growth-vs-Control Capacity" Gating</w:t>
      </w:r>
      <w:r w:rsidDel="00000000" w:rsidR="00000000" w:rsidRPr="00000000">
        <w:rPr>
          <w:rFonts w:ascii="Google Sans" w:cs="Google Sans" w:eastAsia="Google Sans" w:hAnsi="Google Sans"/>
          <w:color w:val="1f1f1f"/>
          <w:rtl w:val="0"/>
        </w:rPr>
        <w:t xml:space="preserve">, proving mathematically to the board whether financial crime and operational controls are scaling commensurately with customer and lending growth (A-GM-04, H-GM-01)</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Second, </w:t>
      </w:r>
      <w:r w:rsidDel="00000000" w:rsidR="00000000" w:rsidRPr="00000000">
        <w:rPr>
          <w:rFonts w:ascii="Google Sans" w:cs="Google Sans" w:eastAsia="Google Sans" w:hAnsi="Google Sans"/>
          <w:b w:val="1"/>
          <w:bCs w:val="1"/>
          <w:color w:val="1f1f1f"/>
          <w:rtl w:val="0"/>
        </w:rPr>
        <w:t xml:space="preserve">Automated Metric-Tension &amp; Trade-Off Analysis</w:t>
      </w:r>
      <w:r w:rsidDel="00000000" w:rsidR="00000000" w:rsidRPr="00000000">
        <w:rPr>
          <w:rFonts w:ascii="Google Sans" w:cs="Google Sans" w:eastAsia="Google Sans" w:hAnsi="Google Sans"/>
          <w:color w:val="1f1f1f"/>
          <w:rtl w:val="0"/>
        </w:rPr>
        <w:t xml:space="preserve"> explicitly pairs commercial acceleration KPIs (onboarding speed, high-LTV lending, savings pricing) with constraining risk KRIs to turn risk appetite into a strategic lever rather than a static compliance brake (G-GM-02)</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Third, </w:t>
      </w:r>
      <w:r w:rsidDel="00000000" w:rsidR="00000000" w:rsidRPr="00000000">
        <w:rPr>
          <w:rFonts w:ascii="Google Sans" w:cs="Google Sans" w:eastAsia="Google Sans" w:hAnsi="Google Sans"/>
          <w:b w:val="1"/>
          <w:bCs w:val="1"/>
          <w:color w:val="1f1f1f"/>
          <w:rtl w:val="0"/>
        </w:rPr>
        <w:t xml:space="preserve">Silent-Failure &amp; Data-Feed Completeness Assurance</w:t>
      </w:r>
      <w:r w:rsidDel="00000000" w:rsidR="00000000" w:rsidRPr="00000000">
        <w:rPr>
          <w:rFonts w:ascii="Google Sans" w:cs="Google Sans" w:eastAsia="Google Sans" w:hAnsi="Google Sans"/>
          <w:color w:val="1f1f1f"/>
          <w:rtl w:val="0"/>
        </w:rPr>
        <w:t xml:space="preserve"> monitors the </w:t>
      </w:r>
      <w:r w:rsidDel="00000000" w:rsidR="00000000" w:rsidRPr="00000000">
        <w:rPr>
          <w:rFonts w:ascii="Google Sans" w:cs="Google Sans" w:eastAsia="Google Sans" w:hAnsi="Google Sans"/>
          <w:i w:val="1"/>
          <w:iCs w:val="1"/>
          <w:color w:val="1f1f1f"/>
          <w:rtl w:val="0"/>
        </w:rPr>
        <w:t xml:space="preserve">controls over the controls</w:t>
      </w:r>
      <w:r w:rsidDel="00000000" w:rsidR="00000000" w:rsidRPr="00000000">
        <w:rPr>
          <w:rFonts w:ascii="Google Sans" w:cs="Google Sans" w:eastAsia="Google Sans" w:hAnsi="Google Sans"/>
          <w:color w:val="1f1f1f"/>
          <w:rtl w:val="0"/>
        </w:rPr>
        <w:t xml:space="preserve">—specifically daily source-to-monitoring record reconciliations, zero-alert anomaly detectors, and IT parameter/rule-change audit feeds so a broken data script never masquerades as a "Green" KRI (D-GM-03, D-GM-04, H-GM-01)</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Fourth, </w:t>
      </w:r>
      <w:r w:rsidDel="00000000" w:rsidR="00000000" w:rsidRPr="00000000">
        <w:rPr>
          <w:rFonts w:ascii="Google Sans" w:cs="Google Sans" w:eastAsia="Google Sans" w:hAnsi="Google Sans"/>
          <w:b w:val="1"/>
          <w:bCs w:val="1"/>
          <w:color w:val="1f1f1f"/>
          <w:rtl w:val="0"/>
        </w:rPr>
        <w:t xml:space="preserve">Immutable Escalation Health &amp; Anti-Suppression Governance</w:t>
      </w:r>
      <w:r w:rsidDel="00000000" w:rsidR="00000000" w:rsidRPr="00000000">
        <w:rPr>
          <w:rFonts w:ascii="Google Sans" w:cs="Google Sans" w:eastAsia="Google Sans" w:hAnsi="Google Sans"/>
          <w:color w:val="1f1f1f"/>
          <w:rtl w:val="0"/>
        </w:rPr>
        <w:t xml:space="preserve"> tracks how long issues sit in working groups, flags deleted or reassigned risk actions, and automatically escalates un-remediated operational risks to the BRC (B-GM-02, F-GM-02)</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Fifth, a </w:t>
      </w:r>
      <w:r w:rsidDel="00000000" w:rsidR="00000000" w:rsidRPr="00000000">
        <w:rPr>
          <w:rFonts w:ascii="Google Sans" w:cs="Google Sans" w:eastAsia="Google Sans" w:hAnsi="Google Sans"/>
          <w:b w:val="1"/>
          <w:bCs w:val="1"/>
          <w:color w:val="1f1f1f"/>
          <w:rtl w:val="0"/>
        </w:rPr>
        <w:t xml:space="preserve">Defensible SUP 15 / FR7 &amp; SMCR "Reasonable Steps" Decision Ledger</w:t>
      </w:r>
      <w:r w:rsidDel="00000000" w:rsidR="00000000" w:rsidRPr="00000000">
        <w:rPr>
          <w:rFonts w:ascii="Google Sans" w:cs="Google Sans" w:eastAsia="Google Sans" w:hAnsi="Google Sans"/>
          <w:color w:val="1f1f1f"/>
          <w:rtl w:val="0"/>
        </w:rPr>
        <w:t xml:space="preserve"> provides a structured, timestamped human workflow for the "Reportable vs Not Reportable" regulatory call while compiling automatic SMCR reasonable-steps evidence packs (C-GM-02, D-GM-01)</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The Ten Most Important Product Requirements (Traced to Section IDs)</w:t>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Priority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Product Requirement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Supporting Section IDs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Four-Tier Relational Cascade Engine:</w:t>
            </w:r>
            <w:r w:rsidDel="00000000" w:rsidR="00000000" w:rsidRPr="00000000">
              <w:rPr>
                <w:rFonts w:ascii="Google Sans" w:cs="Google Sans" w:eastAsia="Google Sans" w:hAnsi="Google Sans"/>
                <w:color w:val="1f1f1f"/>
                <w:rtl w:val="0"/>
              </w:rPr>
              <w:t xml:space="preserve"> Hard-link Corporate Strategic Objectives </w:t>
            </w:r>
            <w:r w:rsidDel="00000000" w:rsidR="00000000" w:rsidRPr="00000000">
              <w:rPr>
                <w:rFonts w:ascii="Google Sans" w:cs="Google Sans" w:eastAsia="Google Sans" w:hAnsi="Google Sans"/>
                <w:color w:val="1f1f1f"/>
              </w:rPr>
              <w:drawing>
                <wp:inline distB="19050" distT="19050" distL="19050" distR="19050">
                  <wp:extent cx="195977" cy="203514"/>
                  <wp:effectExtent b="0" l="0" r="0" t="0"/>
                  <wp:docPr id="2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77" cy="20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Qualitative RAS Statements </w:t>
            </w:r>
            <w:r w:rsidDel="00000000" w:rsidR="00000000" w:rsidRPr="00000000">
              <w:rPr>
                <w:rFonts w:ascii="Google Sans" w:cs="Google Sans" w:eastAsia="Google Sans" w:hAnsi="Google Sans"/>
                <w:color w:val="1f1f1f"/>
              </w:rPr>
              <w:drawing>
                <wp:inline distB="19050" distT="19050" distL="19050" distR="19050">
                  <wp:extent cx="195977" cy="203514"/>
                  <wp:effectExtent b="0" l="0" r="0" t="0"/>
                  <wp:docPr id="2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77" cy="20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Nested L1 (Board), L2 (Executive), and L3 (Operational) Metrics (with buffered Amber early-warning zones) </w:t>
            </w:r>
            <w:r w:rsidDel="00000000" w:rsidR="00000000" w:rsidRPr="00000000">
              <w:rPr>
                <w:rFonts w:ascii="Google Sans" w:cs="Google Sans" w:eastAsia="Google Sans" w:hAnsi="Google Sans"/>
                <w:color w:val="1f1f1f"/>
              </w:rPr>
              <w:drawing>
                <wp:inline distB="19050" distT="19050" distL="19050" distR="19050">
                  <wp:extent cx="195977" cy="203514"/>
                  <wp:effectExtent b="0" l="0" r="0" t="0"/>
                  <wp:docPr id="9"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95977" cy="203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RCSA Controls.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A-GM-01, A-GM-02, A-GM-03, B-GM-01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Paired Metric-Tension &amp; Strategic Lever Simulator:</w:t>
            </w:r>
            <w:r w:rsidDel="00000000" w:rsidR="00000000" w:rsidRPr="00000000">
              <w:rPr>
                <w:rFonts w:ascii="Google Sans" w:cs="Google Sans" w:eastAsia="Google Sans" w:hAnsi="Google Sans"/>
                <w:color w:val="1f1f1f"/>
                <w:rtl w:val="0"/>
              </w:rPr>
              <w:t xml:space="preserve"> Allow CROs and first-line Product Owners to pair growth KPIs with risk guardrail KRIs and simulate how adjusting a credit or onboarding appetite threshold impacts downstream control capacity and capital/cost-of-risk.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A-GM-04, G-GM-02, J-GM-01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Clause-to-Code Policy &amp; VREQ Traceability:</w:t>
            </w:r>
            <w:r w:rsidDel="00000000" w:rsidR="00000000" w:rsidRPr="00000000">
              <w:rPr>
                <w:rFonts w:ascii="Google Sans" w:cs="Google Sans" w:eastAsia="Google Sans" w:hAnsi="Google Sans"/>
                <w:color w:val="1f1f1f"/>
                <w:rtl w:val="0"/>
              </w:rPr>
              <w:t xml:space="preserve"> Block any policy or VREQ requirement from being marked "Live" unless every clause is mapped to an active system rule/control and an outcome KRI (tracking whether restricted customers actually transact, not just whether a flag fired).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G-GM-01, H-GM-01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Automated Control-Completeness &amp; Zero-Alert Anomaly Monitor:</w:t>
            </w:r>
            <w:r w:rsidDel="00000000" w:rsidR="00000000" w:rsidRPr="00000000">
              <w:rPr>
                <w:rFonts w:ascii="Google Sans" w:cs="Google Sans" w:eastAsia="Google Sans" w:hAnsi="Google Sans"/>
                <w:color w:val="1f1f1f"/>
                <w:rtl w:val="0"/>
              </w:rPr>
              <w:t xml:space="preserve"> Pair every automated KRI/KCI feed with a daily source-to-target record reconciliation count and a statistical "Zero-Alert / Silent Control" detector that triggers an immediate L2 alert if screening or monitoring drops abnormally.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A-GM-05, D-GM-04, H-GM-01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Dual-Axis Ownership Matrix (Horizontal Journey </w:t>
            </w:r>
            <w:r w:rsidDel="00000000" w:rsidR="00000000" w:rsidRPr="00000000">
              <w:rPr>
                <w:rFonts w:ascii="Google Sans" w:cs="Google Sans" w:eastAsia="Google Sans" w:hAnsi="Google Sans"/>
                <w:b w:val="1"/>
                <w:bCs w:val="1"/>
                <w:color w:val="1f1f1f"/>
              </w:rPr>
              <w:drawing>
                <wp:inline distB="19050" distT="19050" distL="19050" distR="19050">
                  <wp:extent cx="152519" cy="205901"/>
                  <wp:effectExtent b="0" l="0" r="0" t="0"/>
                  <wp:docPr id="12"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152519" cy="20590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 Vertical Function + SMCR):</w:t>
            </w:r>
            <w:r w:rsidDel="00000000" w:rsidR="00000000" w:rsidRPr="00000000">
              <w:rPr>
                <w:rFonts w:ascii="Google Sans" w:cs="Google Sans" w:eastAsia="Google Sans" w:hAnsi="Google Sans"/>
                <w:color w:val="1f1f1f"/>
                <w:rtl w:val="0"/>
              </w:rPr>
              <w:t xml:space="preserve"> Separate Risk Owners (horizontal product/journey executives and SMFs) from Control Owners (vertical operational/IT leads), piping IT parameter changes, manual overrides, and complaints directly to the Risk Owner.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D-GM-01, D-GM-03, E-GM-02, F-GM-01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Immutable Escalation Filtering &amp; Culture/Suppression Index:</w:t>
            </w:r>
            <w:r w:rsidDel="00000000" w:rsidR="00000000" w:rsidRPr="00000000">
              <w:rPr>
                <w:rFonts w:ascii="Google Sans" w:cs="Google Sans" w:eastAsia="Google Sans" w:hAnsi="Google Sans"/>
                <w:color w:val="1f1f1f"/>
                <w:rtl w:val="0"/>
              </w:rPr>
              <w:t xml:space="preserve"> Automate filtering from ERC (all Reds/Ambers) to BRC (L1 all, L2 Reds &amp; persistent Ambers) to Board (10–12 headline metrics + critical exceptions), while logging any reassigned/dropped committee actions as a Culture/Governance KRI.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B-GM-02, E-GM-01, F-GM-02, H-GM-01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Defensible External Reportability (SUP 15 / FR7) Triage &amp; Read-Across Workflow:</w:t>
            </w:r>
            <w:r w:rsidDel="00000000" w:rsidR="00000000" w:rsidRPr="00000000">
              <w:rPr>
                <w:rFonts w:ascii="Google Sans" w:cs="Google Sans" w:eastAsia="Google Sans" w:hAnsi="Google Sans"/>
                <w:color w:val="1f1f1f"/>
                <w:rtl w:val="0"/>
              </w:rPr>
              <w:t xml:space="preserve"> Provide a guided legal/regulatory triage workflow with countdown clocks (Immediate SUP 15/FR7/OFSI, 72h ICO, 7-day SMCR Form C/D), timestamped SMF sign-off for "Not Reportable" calls, and automated internal "read-across" prompts.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C-GM-01, C-GM-02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Consumer Duty Outcomes &amp; Annual Board Report Generator:</w:t>
            </w:r>
            <w:r w:rsidDel="00000000" w:rsidR="00000000" w:rsidRPr="00000000">
              <w:rPr>
                <w:rFonts w:ascii="Google Sans" w:cs="Google Sans" w:eastAsia="Google Sans" w:hAnsi="Google Sans"/>
                <w:color w:val="1f1f1f"/>
                <w:rtl w:val="0"/>
              </w:rPr>
              <w:t xml:space="preserve"> Structure conduct metrics around the Four Outcomes across end-to-end customer journeys, segmenting vulnerable customer outcomes, tracking inactive fee-paying accounts, and compiling the mandatory PRIN 2A.8 Annual Board Report.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F-GM-01, K-5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SMF Attestation &amp; Resource-Escalation Shield:</w:t>
            </w:r>
            <w:r w:rsidDel="00000000" w:rsidR="00000000" w:rsidRPr="00000000">
              <w:rPr>
                <w:rFonts w:ascii="Google Sans" w:cs="Google Sans" w:eastAsia="Google Sans" w:hAnsi="Google Sans"/>
                <w:color w:val="1f1f1f"/>
                <w:rtl w:val="0"/>
              </w:rPr>
              <w:t xml:space="preserve"> Support configurable six-monthly/annual internal SMF attestations (SoR accuracy, RCSA sign-off, data completeness) and a formal "Resource &amp; Capability Strain Log" allowing SMF16/SMF17/SMF4 to document resource requests to the Board.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D-GM-02, D-GM-04, E-GM-03, K-2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PRA SS1/23 AI &amp; Model Risk Governance Overlay:</w:t>
            </w:r>
            <w:r w:rsidDel="00000000" w:rsidR="00000000" w:rsidRPr="00000000">
              <w:rPr>
                <w:rFonts w:ascii="Google Sans" w:cs="Google Sans" w:eastAsia="Google Sans" w:hAnsi="Google Sans"/>
                <w:color w:val="1f1f1f"/>
                <w:rtl w:val="0"/>
              </w:rPr>
              <w:t xml:space="preserve"> Provide a Board Model Risk Appetite view tracking all production AI/ML models (including AML/fraud scoring and internal agents), monitoring false-positive-to-SAR conversion, model drift, and human approval of parameter tuning.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I-GM-01, I-GM-04, K-7</w:t>
            </w:r>
          </w:p>
        </w:tc>
      </w:tr>
    </w:tbl>
    <w:p w:rsidR="00000000" w:rsidDel="00000000" w:rsidP="00000000" w:rsidRDefault="00000000" w:rsidRPr="00000000" w14:paraId="00000221">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Verdict on the "Agentic-AI Financial Crime" Entry Point</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entry point is </w:t>
      </w:r>
      <w:r w:rsidDel="00000000" w:rsidR="00000000" w:rsidRPr="00000000">
        <w:rPr>
          <w:rFonts w:ascii="Google Sans" w:cs="Google Sans" w:eastAsia="Google Sans" w:hAnsi="Google Sans"/>
          <w:b w:val="1"/>
          <w:bCs w:val="1"/>
          <w:color w:val="1f1f1f"/>
          <w:rtl w:val="0"/>
        </w:rPr>
        <w:t xml:space="preserve">credible only if reframed from "governing external customer payment agents" to "Board and SMF4/SMF17 Governance of AI-Driven Financial Crime Controls and SS1/23 Model Risk"</w:t>
      </w:r>
      <w:r w:rsidDel="00000000" w:rsidR="00000000" w:rsidRPr="00000000">
        <w:rPr>
          <w:rFonts w:ascii="Google Sans" w:cs="Google Sans" w:eastAsia="Google Sans" w:hAnsi="Google Sans"/>
          <w:color w:val="1f1f1f"/>
          <w:rtl w:val="0"/>
        </w:rPr>
        <w:t xml:space="preserve">. The strongest evidence against pitching external customer payment-agent governance right now is two-fold. First, major global banks such as JPMorgan and Citigroup are explicitly blocking external third-party AI agents from executing transactions at the API gateway due to unresolved credential security and liability-transfer risks (I-GM-03, K-4)</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mid-tier UK building societies and challengers will not permit third-party autonomous agents to initiate payments before Tier-1 banks and the Payment Systems Regulator establish safe PISP and Strong Customer Authentication liability rules (I-GM-02)</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Second, UK mid-tier banks and building societies are not incurring regulatory penalties for futuristic agentic-AI payment exploits; they are being fined £28.96m (Starling), £21.09m (Monzo), £16.68m (Metro Bank), and £3.50m (CB Payments) for foundational failures in automated transaction monitoring data feeds, broken sanctions filters, untracked VREQs, and unmapped onboarding controls (H-GM-01)</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the evidence in favour of a focused </w:t>
      </w:r>
      <w:r w:rsidDel="00000000" w:rsidR="00000000" w:rsidRPr="00000000">
        <w:rPr>
          <w:rFonts w:ascii="Google Sans" w:cs="Google Sans" w:eastAsia="Google Sans" w:hAnsi="Google Sans"/>
          <w:b w:val="1"/>
          <w:bCs w:val="1"/>
          <w:color w:val="1f1f1f"/>
          <w:rtl w:val="0"/>
        </w:rPr>
        <w:t xml:space="preserve">"AI-Enabled Financial Crime, VREQ &amp; Control Assurance"</w:t>
      </w:r>
      <w:r w:rsidDel="00000000" w:rsidR="00000000" w:rsidRPr="00000000">
        <w:rPr>
          <w:rFonts w:ascii="Google Sans" w:cs="Google Sans" w:eastAsia="Google Sans" w:hAnsi="Google Sans"/>
          <w:color w:val="1f1f1f"/>
          <w:rtl w:val="0"/>
        </w:rPr>
        <w:t xml:space="preserve"> entry point is compelling. Financial crime and VREQ governance represents the single highest-pain, highest-fine trigger in the UK challenger and mid-tier banking market (H-GM-01, J-GM-02)</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banks are actively deploying AI and machine learning internally to slash the 95%–98% false-positive rate in AML and fraud monitoring (following the HSBC / Google Cloud AML AI, Lunar, and Credal.ai blueprint) and deploying internal AI assistants (I-GM-04)</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Under </w:t>
      </w:r>
      <w:r w:rsidDel="00000000" w:rsidR="00000000" w:rsidRPr="00000000">
        <w:rPr>
          <w:rFonts w:ascii="Google Sans" w:cs="Google Sans" w:eastAsia="Google Sans" w:hAnsi="Google Sans"/>
          <w:b w:val="1"/>
          <w:bCs w:val="1"/>
          <w:color w:val="1f1f1f"/>
          <w:rtl w:val="0"/>
        </w:rPr>
        <w:t xml:space="preserve">PRA SS1/23</w:t>
      </w:r>
      <w:r w:rsidDel="00000000" w:rsidR="00000000" w:rsidRPr="00000000">
        <w:rPr>
          <w:rFonts w:ascii="Google Sans" w:cs="Google Sans" w:eastAsia="Google Sans" w:hAnsi="Google Sans"/>
          <w:color w:val="1f1f1f"/>
          <w:rtl w:val="0"/>
        </w:rPr>
        <w:t xml:space="preserve"> (effective May 2024), boards are newly required to set explicit </w:t>
      </w:r>
      <w:r w:rsidDel="00000000" w:rsidR="00000000" w:rsidRPr="00000000">
        <w:rPr>
          <w:rFonts w:ascii="Google Sans" w:cs="Google Sans" w:eastAsia="Google Sans" w:hAnsi="Google Sans"/>
          <w:b w:val="1"/>
          <w:bCs w:val="1"/>
          <w:color w:val="1f1f1f"/>
          <w:rtl w:val="0"/>
        </w:rPr>
        <w:t xml:space="preserve">Model Risk Appetite</w:t>
      </w:r>
      <w:r w:rsidDel="00000000" w:rsidR="00000000" w:rsidRPr="00000000">
        <w:rPr>
          <w:rFonts w:ascii="Google Sans" w:cs="Google Sans" w:eastAsia="Google Sans" w:hAnsi="Google Sans"/>
          <w:color w:val="1f1f1f"/>
          <w:rtl w:val="0"/>
        </w:rPr>
        <w:t xml:space="preserve"> and govern dynamic AI threshold tuning, data-feed completeness, and explainability (I-GM-01, I-GM-04)</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Consequently, the optimal commercial strategy is to use </w:t>
      </w:r>
      <w:r w:rsidDel="00000000" w:rsidR="00000000" w:rsidRPr="00000000">
        <w:rPr>
          <w:rFonts w:ascii="Google Sans" w:cs="Google Sans" w:eastAsia="Google Sans" w:hAnsi="Google Sans"/>
          <w:b w:val="1"/>
          <w:bCs w:val="1"/>
          <w:color w:val="1f1f1f"/>
          <w:rtl w:val="0"/>
        </w:rPr>
        <w:t xml:space="preserve">Financial Crime &amp; VREQ Control-to-Board Assurance (including SS1/23 AI Model Governance)</w:t>
      </w:r>
      <w:r w:rsidDel="00000000" w:rsidR="00000000" w:rsidRPr="00000000">
        <w:rPr>
          <w:rFonts w:ascii="Google Sans" w:cs="Google Sans" w:eastAsia="Google Sans" w:hAnsi="Google Sans"/>
          <w:color w:val="1f1f1f"/>
          <w:rtl w:val="0"/>
        </w:rPr>
        <w:t xml:space="preserve"> as the razor-sharp wedge to land the SMF17 (MLRO), SMF4 (CRO), and BRC Chair (SMF10), and then expand across the full 9-domain Board Risk Appetite Platform.</w:t>
      </w:r>
    </w:p>
    <w:p w:rsidR="00000000" w:rsidDel="00000000" w:rsidP="00000000" w:rsidRDefault="00000000" w:rsidRPr="00000000" w14:paraId="000002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Ten Sharp Questions for a Former UK CRO Who Rebuilt a Bank's Risk Framework Under Supervision</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Focus Theme &amp; Supporting IDs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Sharp Diagnostic Question for the Former UK CRO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Cascading Non-Financial Appetite</w:t>
            </w:r>
            <w:r w:rsidDel="00000000" w:rsidR="00000000" w:rsidRPr="00000000">
              <w:rPr>
                <w:rFonts w:ascii="Google Sans" w:cs="Google Sans" w:eastAsia="Google Sans" w:hAnsi="Google Sans"/>
                <w:color w:val="1f1f1f"/>
                <w:rtl w:val="0"/>
              </w:rPr>
              <w:t xml:space="preserve"> (A-GM-01, A-GM-02)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rebuilding the RAF under supervisory scrutiny, how did the framework solve the mathematical aggregation problem between Level 3 operational KRIs (such as screening queue backlogs or IT data rejections) and the Level 1 Board qualitative statement of "no appetite for regulatory breach" without keeping the Board permanently in Amber or Red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Preventing Silent Control Failures</w:t>
            </w:r>
            <w:r w:rsidDel="00000000" w:rsidR="00000000" w:rsidRPr="00000000">
              <w:rPr>
                <w:rFonts w:ascii="Google Sans" w:cs="Google Sans" w:eastAsia="Google Sans" w:hAnsi="Google Sans"/>
                <w:color w:val="1f1f1f"/>
                <w:rtl w:val="0"/>
              </w:rPr>
              <w:t xml:space="preserve"> (D-GM-04, H-GM-01)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both Starling and Metro Bank, the board believed automated financial crime controls were working for years because broken IT filters and data-feed rejections failed silently; what exact "controls over the controls"—such as daily record reconciliations or zero-alert anomaly checks—were surfaced in the Executive and Board Risk Committee packs to prove data completeness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Managing Metric Tension as a Growth Lever</w:t>
            </w:r>
            <w:r w:rsidDel="00000000" w:rsidR="00000000" w:rsidRPr="00000000">
              <w:rPr>
                <w:rFonts w:ascii="Google Sans" w:cs="Google Sans" w:eastAsia="Google Sans" w:hAnsi="Google Sans"/>
                <w:color w:val="1f1f1f"/>
                <w:rtl w:val="0"/>
              </w:rPr>
              <w:t xml:space="preserve"> (A-GM-04, G-GM-02)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concrete terms, how was the Risk Appetite Statement used to unlock commercial growth—for instance, expanding high-LTV mortgage criteria or accelerating digital onboarding—and what specific paired guardrail metrics were put in place so the first line knew precisely when to throttle back</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Anti-Suppression &amp; Escalation Filtering</w:t>
            </w:r>
            <w:r w:rsidDel="00000000" w:rsidR="00000000" w:rsidRPr="00000000">
              <w:rPr>
                <w:rFonts w:ascii="Google Sans" w:cs="Google Sans" w:eastAsia="Google Sans" w:hAnsi="Google Sans"/>
                <w:color w:val="1f1f1f"/>
                <w:rtl w:val="0"/>
              </w:rPr>
              <w:t xml:space="preserve"> (B-GM-02, F-GM-02)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Metro Bank Final Notice, bad-data warnings were raised in 2017, deleted from working-group minutes in January 2018, and dropped by an operational risk board in August 2018 before ever reaching the BRC; what governance rule or system workflow prevents executive sub-committees from "managing out" or re-wording uncomfortable amber and red issues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The "Reportable or Not" Call Under SUP 15 / FR7</w:t>
            </w:r>
            <w:r w:rsidDel="00000000" w:rsidR="00000000" w:rsidRPr="00000000">
              <w:rPr>
                <w:rFonts w:ascii="Google Sans" w:cs="Google Sans" w:eastAsia="Google Sans" w:hAnsi="Google Sans"/>
                <w:color w:val="1f1f1f"/>
                <w:rtl w:val="0"/>
              </w:rPr>
              <w:t xml:space="preserve"> (C-GM-01, C-GM-02)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potentially material control gap or historic rule misconfiguration was first discovered by the business, how long did the internal triage clock run before notifying the FCA/PRA under SUP 15 / Fundamental Rule 7, and what exact contemporaneous documentation was required when an SMF decided an issue was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reportable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Horizontal Journey vs Vertical Functional Ownership</w:t>
            </w:r>
            <w:r w:rsidDel="00000000" w:rsidR="00000000" w:rsidRPr="00000000">
              <w:rPr>
                <w:rFonts w:ascii="Google Sans" w:cs="Google Sans" w:eastAsia="Google Sans" w:hAnsi="Google Sans"/>
                <w:color w:val="1f1f1f"/>
                <w:rtl w:val="0"/>
              </w:rPr>
              <w:t xml:space="preserve"> (D-GM-03, F-GM-01)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mapping Risk Owners and Control Owners under SMCR and the Consumer Duty, how were territorial disputes resolved where a horizontal customer journey (such as digital onboarding) failed because of a vertical IT team's code change or a customer-service manual override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VREQ and s166 Governance Mechanics</w:t>
            </w:r>
            <w:r w:rsidDel="00000000" w:rsidR="00000000" w:rsidRPr="00000000">
              <w:rPr>
                <w:rFonts w:ascii="Google Sans" w:cs="Google Sans" w:eastAsia="Google Sans" w:hAnsi="Google Sans"/>
                <w:color w:val="1f1f1f"/>
                <w:rtl w:val="0"/>
              </w:rPr>
              <w:t xml:space="preserve"> (D-GM-02, H-GM-01)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heightened supervision, what did the FCA and PRA actually demand in periodic SMF attestations, and what separated a VREQ governance framework that satisfied the Skilled Person from one that failed (as at Starling, Monzo, and CB Payments)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Protecting SMF4, SMF16, and SMF17 on Resourcing</w:t>
            </w:r>
            <w:r w:rsidDel="00000000" w:rsidR="00000000" w:rsidRPr="00000000">
              <w:rPr>
                <w:rFonts w:ascii="Google Sans" w:cs="Google Sans" w:eastAsia="Google Sans" w:hAnsi="Google Sans"/>
                <w:color w:val="1f1f1f"/>
                <w:rtl w:val="0"/>
              </w:rPr>
              <w:t xml:space="preserve"> (E-GM-03)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FCA's emphasis in Starling and Sonali Bank on senior managers escalating resource shortfalls during rapid growth, how was "compliance capacity versus commercial volume growth" quantified for the Board so that resource requests were undeniable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Governing Adaptive AI/ML Models Under SS1/23</w:t>
            </w:r>
            <w:r w:rsidDel="00000000" w:rsidR="00000000" w:rsidRPr="00000000">
              <w:rPr>
                <w:rFonts w:ascii="Google Sans" w:cs="Google Sans" w:eastAsia="Google Sans" w:hAnsi="Google Sans"/>
                <w:color w:val="1f1f1f"/>
                <w:rtl w:val="0"/>
              </w:rPr>
              <w:t xml:space="preserve"> (I-GM-01, I-GM-04)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financial crime teams shift from static rules to machine-learning risk scoring and dynamic thresholds, how does the BRC set Model Risk Appetite under PRA SS1/23, and who signs off when a model re-tunes its alerting parameters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Procurement &amp; Replacing Spreadsheets</w:t>
            </w:r>
            <w:r w:rsidDel="00000000" w:rsidR="00000000" w:rsidRPr="00000000">
              <w:rPr>
                <w:rFonts w:ascii="Google Sans" w:cs="Google Sans" w:eastAsia="Google Sans" w:hAnsi="Google Sans"/>
                <w:color w:val="1f1f1f"/>
                <w:rtl w:val="0"/>
              </w:rPr>
              <w:t xml:space="preserve"> (J-GM-02, J-GM-03, K-6)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new CRO inherits a board pack stitched together in Word and Excel over three weeks every quarter, what stops the bank from buying an incumbent like MetricStream, Archer, or Protecht, and what must a challenger vendor demonstrate in week one to win a 60-day paid pilot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247">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Nationwide Sub-Group Pillar 3 Disclosures 2025, </w:t>
      </w:r>
      <w:hyperlink r:id="rId19">
        <w:r w:rsidDel="00000000" w:rsidR="00000000" w:rsidRPr="00000000">
          <w:rPr>
            <w:rFonts w:ascii="Google Sans" w:cs="Google Sans" w:eastAsia="Google Sans" w:hAnsi="Google Sans"/>
            <w:color w:val="0000ee"/>
            <w:sz w:val="24"/>
            <w:szCs w:val="24"/>
            <w:u w:val="single"/>
            <w:rtl w:val="0"/>
          </w:rPr>
          <w:t xml:space="preserve">https://www.nationwide.co.uk/-/assets/nationwidecouk/documents/about/how-we-are-run/results-and-accounts/2024-2025/nationwide-sub-group-pillar-3-disclosures-2025.pdf</w:t>
        </w:r>
      </w:hyperlink>
      <w:r w:rsidDel="00000000" w:rsidR="00000000" w:rsidRPr="00000000">
        <w:rPr>
          <w:rtl w:val="0"/>
        </w:rPr>
      </w:r>
    </w:p>
    <w:p w:rsidR="00000000" w:rsidDel="00000000" w:rsidP="00000000" w:rsidRDefault="00000000" w:rsidRPr="00000000" w14:paraId="000002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Articulating Operational Risk Appetite | PDF - Scribd, </w:t>
      </w:r>
      <w:hyperlink r:id="rId20">
        <w:r w:rsidDel="00000000" w:rsidR="00000000" w:rsidRPr="00000000">
          <w:rPr>
            <w:rFonts w:ascii="Google Sans" w:cs="Google Sans" w:eastAsia="Google Sans" w:hAnsi="Google Sans"/>
            <w:color w:val="0000ee"/>
            <w:sz w:val="24"/>
            <w:szCs w:val="24"/>
            <w:u w:val="single"/>
            <w:rtl w:val="0"/>
          </w:rPr>
          <w:t xml:space="preserve">https://www.scribd.com/document/773250880/37-Articulating-Operational-Risk-appetite</w:t>
        </w:r>
      </w:hyperlink>
      <w:r w:rsidDel="00000000" w:rsidR="00000000" w:rsidRPr="00000000">
        <w:rPr>
          <w:rtl w:val="0"/>
        </w:rPr>
      </w:r>
    </w:p>
    <w:p w:rsidR="00000000" w:rsidDel="00000000" w:rsidP="00000000" w:rsidRDefault="00000000" w:rsidRPr="00000000" w14:paraId="000002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and control self assessment | Protecht Academy UK, </w:t>
      </w:r>
      <w:hyperlink r:id="rId21">
        <w:r w:rsidDel="00000000" w:rsidR="00000000" w:rsidRPr="00000000">
          <w:rPr>
            <w:rFonts w:ascii="Google Sans" w:cs="Google Sans" w:eastAsia="Google Sans" w:hAnsi="Google Sans"/>
            <w:color w:val="0000ee"/>
            <w:sz w:val="24"/>
            <w:szCs w:val="24"/>
            <w:u w:val="single"/>
            <w:rtl w:val="0"/>
          </w:rPr>
          <w:t xml:space="preserve">https://www.protechtgroup.com/en-gb/academy/risk-and-control-self-assessment</w:t>
        </w:r>
      </w:hyperlink>
      <w:r w:rsidDel="00000000" w:rsidR="00000000" w:rsidRPr="00000000">
        <w:rPr>
          <w:rtl w:val="0"/>
        </w:rPr>
      </w:r>
    </w:p>
    <w:p w:rsidR="00000000" w:rsidDel="00000000" w:rsidP="00000000" w:rsidRDefault="00000000" w:rsidRPr="00000000" w14:paraId="000002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Best Operational Risk Management Software Platforms in 2026, </w:t>
      </w:r>
      <w:hyperlink r:id="rId22">
        <w:r w:rsidDel="00000000" w:rsidR="00000000" w:rsidRPr="00000000">
          <w:rPr>
            <w:rFonts w:ascii="Google Sans" w:cs="Google Sans" w:eastAsia="Google Sans" w:hAnsi="Google Sans"/>
            <w:color w:val="0000ee"/>
            <w:sz w:val="24"/>
            <w:szCs w:val="24"/>
            <w:u w:val="single"/>
            <w:rtl w:val="0"/>
          </w:rPr>
          <w:t xml:space="preserve">https://www.centraleyes.com/6-best-operational-risk-management-software-platforms-in-2026/</w:t>
        </w:r>
      </w:hyperlink>
      <w:r w:rsidDel="00000000" w:rsidR="00000000" w:rsidRPr="00000000">
        <w:rPr>
          <w:rtl w:val="0"/>
        </w:rPr>
      </w:r>
    </w:p>
    <w:p w:rsidR="00000000" w:rsidDel="00000000" w:rsidP="00000000" w:rsidRDefault="00000000" w:rsidRPr="00000000" w14:paraId="000002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Nationwide Building Society Preliminary Results Announcement, </w:t>
      </w:r>
      <w:hyperlink r:id="rId23">
        <w:r w:rsidDel="00000000" w:rsidR="00000000" w:rsidRPr="00000000">
          <w:rPr>
            <w:rFonts w:ascii="Google Sans" w:cs="Google Sans" w:eastAsia="Google Sans" w:hAnsi="Google Sans"/>
            <w:color w:val="0000ee"/>
            <w:sz w:val="24"/>
            <w:szCs w:val="24"/>
            <w:u w:val="single"/>
            <w:rtl w:val="0"/>
          </w:rPr>
          <w:t xml:space="preserve">https://www.nationwide.co.uk/-/assets/nationwidecouk/documents/about/how-we-are-run/results-and-accounts/2025-2026/2026-preliminary-results.pdf</w:t>
        </w:r>
      </w:hyperlink>
      <w:r w:rsidDel="00000000" w:rsidR="00000000" w:rsidRPr="00000000">
        <w:rPr>
          <w:rtl w:val="0"/>
        </w:rPr>
      </w:r>
    </w:p>
    <w:p w:rsidR="00000000" w:rsidDel="00000000" w:rsidP="00000000" w:rsidRDefault="00000000" w:rsidRPr="00000000" w14:paraId="000002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FCA fines Starling £29m after its automated sanctions screening, </w:t>
      </w:r>
      <w:hyperlink r:id="rId24">
        <w:r w:rsidDel="00000000" w:rsidR="00000000" w:rsidRPr="00000000">
          <w:rPr>
            <w:rFonts w:ascii="Google Sans" w:cs="Google Sans" w:eastAsia="Google Sans" w:hAnsi="Google Sans"/>
            <w:color w:val="0000ee"/>
            <w:sz w:val="24"/>
            <w:szCs w:val="24"/>
            <w:u w:val="single"/>
            <w:rtl w:val="0"/>
          </w:rPr>
          <w:t xml:space="preserve">https://www.bankingnewsai.com/ai-incidents/starling-2024-fca-automated-sanctions-screening</w:t>
        </w:r>
      </w:hyperlink>
      <w:r w:rsidDel="00000000" w:rsidR="00000000" w:rsidRPr="00000000">
        <w:rPr>
          <w:rtl w:val="0"/>
        </w:rPr>
      </w:r>
    </w:p>
    <w:p w:rsidR="00000000" w:rsidDel="00000000" w:rsidP="00000000" w:rsidRDefault="00000000" w:rsidRPr="00000000" w14:paraId="000002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and Accounts 2024 | Nationwide, </w:t>
      </w:r>
      <w:hyperlink r:id="rId25">
        <w:r w:rsidDel="00000000" w:rsidR="00000000" w:rsidRPr="00000000">
          <w:rPr>
            <w:rFonts w:ascii="Google Sans" w:cs="Google Sans" w:eastAsia="Google Sans" w:hAnsi="Google Sans"/>
            <w:color w:val="0000ee"/>
            <w:sz w:val="24"/>
            <w:szCs w:val="24"/>
            <w:u w:val="single"/>
            <w:rtl w:val="0"/>
          </w:rPr>
          <w:t xml:space="preserve">https://www.nationwide.co.uk/-/assets/nationwidecouk/documents/about/how-we-are-run/results-and-accounts/2023-2024/annual-report-and-accounts-2024.pdf</w:t>
        </w:r>
      </w:hyperlink>
      <w:r w:rsidDel="00000000" w:rsidR="00000000" w:rsidRPr="00000000">
        <w:rPr>
          <w:rtl w:val="0"/>
        </w:rPr>
      </w:r>
    </w:p>
    <w:p w:rsidR="00000000" w:rsidDel="00000000" w:rsidP="00000000" w:rsidRDefault="00000000" w:rsidRPr="00000000" w14:paraId="0000024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Three Lines Model: Internal Audit vs Risk Management - Protecht, </w:t>
      </w:r>
      <w:hyperlink r:id="rId26">
        <w:r w:rsidDel="00000000" w:rsidR="00000000" w:rsidRPr="00000000">
          <w:rPr>
            <w:rFonts w:ascii="Google Sans" w:cs="Google Sans" w:eastAsia="Google Sans" w:hAnsi="Google Sans"/>
            <w:color w:val="0000ee"/>
            <w:sz w:val="24"/>
            <w:szCs w:val="24"/>
            <w:u w:val="single"/>
            <w:rtl w:val="0"/>
          </w:rPr>
          <w:t xml:space="preserve">https://www.protechtgroup.com/en-gb/blog/the-three-lines-model-internal-audit-risk-management</w:t>
        </w:r>
      </w:hyperlink>
      <w:r w:rsidDel="00000000" w:rsidR="00000000" w:rsidRPr="00000000">
        <w:rPr>
          <w:rtl w:val="0"/>
        </w:rPr>
      </w:r>
    </w:p>
    <w:p w:rsidR="00000000" w:rsidDel="00000000" w:rsidP="00000000" w:rsidRDefault="00000000" w:rsidRPr="00000000" w14:paraId="0000025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CB Payments FCA Fine: Onboarding Control Failures - Learnsignal, </w:t>
      </w:r>
      <w:hyperlink r:id="rId27">
        <w:r w:rsidDel="00000000" w:rsidR="00000000" w:rsidRPr="00000000">
          <w:rPr>
            <w:rFonts w:ascii="Google Sans" w:cs="Google Sans" w:eastAsia="Google Sans" w:hAnsi="Google Sans"/>
            <w:color w:val="0000ee"/>
            <w:sz w:val="24"/>
            <w:szCs w:val="24"/>
            <w:u w:val="single"/>
            <w:rtl w:val="0"/>
          </w:rPr>
          <w:t xml:space="preserve">https://www.learnsignal.com/blog/cb-payments-fca-final-notice-voluntary-requirement-high-risk-customer-onboarding-failures-guide/</w:t>
        </w:r>
      </w:hyperlink>
      <w:r w:rsidDel="00000000" w:rsidR="00000000" w:rsidRPr="00000000">
        <w:rPr>
          <w:rtl w:val="0"/>
        </w:rPr>
      </w:r>
    </w:p>
    <w:p w:rsidR="00000000" w:rsidDel="00000000" w:rsidP="00000000" w:rsidRDefault="00000000" w:rsidRPr="00000000" w14:paraId="0000025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Metro Bank FCA Fine: Transaction Monitoring Failure - Learnsignal, </w:t>
      </w:r>
      <w:hyperlink r:id="rId28">
        <w:r w:rsidDel="00000000" w:rsidR="00000000" w:rsidRPr="00000000">
          <w:rPr>
            <w:rFonts w:ascii="Google Sans" w:cs="Google Sans" w:eastAsia="Google Sans" w:hAnsi="Google Sans"/>
            <w:color w:val="0000ee"/>
            <w:sz w:val="24"/>
            <w:szCs w:val="24"/>
            <w:u w:val="single"/>
            <w:rtl w:val="0"/>
          </w:rPr>
          <w:t xml:space="preserve">https://www.learnsignal.com/blog/metro-bank-fca-final-notice-16-7-million-automated-transaction-monitoring-data-feed-failure-guide/</w:t>
        </w:r>
      </w:hyperlink>
      <w:r w:rsidDel="00000000" w:rsidR="00000000" w:rsidRPr="00000000">
        <w:rPr>
          <w:rtl w:val="0"/>
        </w:rPr>
      </w:r>
    </w:p>
    <w:p w:rsidR="00000000" w:rsidDel="00000000" w:rsidP="00000000" w:rsidRDefault="00000000" w:rsidRPr="00000000" w14:paraId="0000025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Notice 2024: Starling Bank Limited - Financial Conduct Authority, </w:t>
      </w:r>
      <w:hyperlink r:id="rId29">
        <w:r w:rsidDel="00000000" w:rsidR="00000000" w:rsidRPr="00000000">
          <w:rPr>
            <w:rFonts w:ascii="Google Sans" w:cs="Google Sans" w:eastAsia="Google Sans" w:hAnsi="Google Sans"/>
            <w:color w:val="0000ee"/>
            <w:sz w:val="24"/>
            <w:szCs w:val="24"/>
            <w:u w:val="single"/>
            <w:rtl w:val="0"/>
          </w:rPr>
          <w:t xml:space="preserve">https://www.fca.org.uk/publication/final-notices/starling-bank-limited-2024.pdf</w:t>
        </w:r>
      </w:hyperlink>
      <w:r w:rsidDel="00000000" w:rsidR="00000000" w:rsidRPr="00000000">
        <w:rPr>
          <w:rtl w:val="0"/>
        </w:rPr>
      </w:r>
    </w:p>
    <w:p w:rsidR="00000000" w:rsidDel="00000000" w:rsidP="00000000" w:rsidRDefault="00000000" w:rsidRPr="00000000" w14:paraId="0000025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and resilience knowledge hub | Protecht UK, </w:t>
      </w:r>
      <w:hyperlink r:id="rId30">
        <w:r w:rsidDel="00000000" w:rsidR="00000000" w:rsidRPr="00000000">
          <w:rPr>
            <w:rFonts w:ascii="Google Sans" w:cs="Google Sans" w:eastAsia="Google Sans" w:hAnsi="Google Sans"/>
            <w:color w:val="0000ee"/>
            <w:sz w:val="24"/>
            <w:szCs w:val="24"/>
            <w:u w:val="single"/>
            <w:rtl w:val="0"/>
          </w:rPr>
          <w:t xml:space="preserve">https://www.protechtgroup.com/en-gb/knowledge-hub</w:t>
        </w:r>
      </w:hyperlink>
      <w:r w:rsidDel="00000000" w:rsidR="00000000" w:rsidRPr="00000000">
        <w:rPr>
          <w:rtl w:val="0"/>
        </w:rPr>
      </w:r>
    </w:p>
    <w:p w:rsidR="00000000" w:rsidDel="00000000" w:rsidP="00000000" w:rsidRDefault="00000000" w:rsidRPr="00000000" w14:paraId="0000025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Service Level Agreement (SLA) - AML AI - Google Cloud, </w:t>
      </w:r>
      <w:hyperlink r:id="rId31">
        <w:r w:rsidDel="00000000" w:rsidR="00000000" w:rsidRPr="00000000">
          <w:rPr>
            <w:rFonts w:ascii="Google Sans" w:cs="Google Sans" w:eastAsia="Google Sans" w:hAnsi="Google Sans"/>
            <w:color w:val="0000ee"/>
            <w:sz w:val="24"/>
            <w:szCs w:val="24"/>
            <w:u w:val="single"/>
            <w:rtl w:val="0"/>
          </w:rPr>
          <w:t xml:space="preserve">https://cloud.google.com/anti-money-laundering-ai/sla</w:t>
        </w:r>
      </w:hyperlink>
      <w:r w:rsidDel="00000000" w:rsidR="00000000" w:rsidRPr="00000000">
        <w:rPr>
          <w:rtl w:val="0"/>
        </w:rPr>
      </w:r>
    </w:p>
    <w:p w:rsidR="00000000" w:rsidDel="00000000" w:rsidP="00000000" w:rsidRDefault="00000000" w:rsidRPr="00000000" w14:paraId="0000025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Skipton Group Half-Yearly Financial Report 2024 1, </w:t>
      </w:r>
      <w:hyperlink r:id="rId32">
        <w:r w:rsidDel="00000000" w:rsidR="00000000" w:rsidRPr="00000000">
          <w:rPr>
            <w:rFonts w:ascii="Google Sans" w:cs="Google Sans" w:eastAsia="Google Sans" w:hAnsi="Google Sans"/>
            <w:color w:val="0000ee"/>
            <w:sz w:val="24"/>
            <w:szCs w:val="24"/>
            <w:u w:val="single"/>
            <w:rtl w:val="0"/>
          </w:rPr>
          <w:t xml:space="preserve">https://www.skipton.co.uk/content/dam/sbs-sites/skipton-co-uk/documents/about-us/financial-results/2024/half-yearly-financial-results-2024.pdf</w:t>
        </w:r>
      </w:hyperlink>
      <w:r w:rsidDel="00000000" w:rsidR="00000000" w:rsidRPr="00000000">
        <w:rPr>
          <w:rtl w:val="0"/>
        </w:rPr>
      </w:r>
    </w:p>
    <w:p w:rsidR="00000000" w:rsidDel="00000000" w:rsidP="00000000" w:rsidRDefault="00000000" w:rsidRPr="00000000" w14:paraId="0000025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Pillar 3 Disclosures 2024 - Leeds Building Society, </w:t>
      </w:r>
      <w:hyperlink r:id="rId33">
        <w:r w:rsidDel="00000000" w:rsidR="00000000" w:rsidRPr="00000000">
          <w:rPr>
            <w:rFonts w:ascii="Google Sans" w:cs="Google Sans" w:eastAsia="Google Sans" w:hAnsi="Google Sans"/>
            <w:color w:val="0000ee"/>
            <w:sz w:val="24"/>
            <w:szCs w:val="24"/>
            <w:u w:val="single"/>
            <w:rtl w:val="0"/>
          </w:rPr>
          <w:t xml:space="preserve">https://www.leedsbuildingsociety.co.uk/_resources/pdfs/press-pdfs/financial-results-pdfs/pillar-3-disclosures-2025.pdf</w:t>
        </w:r>
      </w:hyperlink>
      <w:r w:rsidDel="00000000" w:rsidR="00000000" w:rsidRPr="00000000">
        <w:rPr>
          <w:rtl w:val="0"/>
        </w:rPr>
      </w:r>
    </w:p>
    <w:p w:rsidR="00000000" w:rsidDel="00000000" w:rsidP="00000000" w:rsidRDefault="00000000" w:rsidRPr="00000000" w14:paraId="0000025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2024 - OakNorth Bank, </w:t>
      </w:r>
      <w:hyperlink r:id="rId34">
        <w:r w:rsidDel="00000000" w:rsidR="00000000" w:rsidRPr="00000000">
          <w:rPr>
            <w:rFonts w:ascii="Google Sans" w:cs="Google Sans" w:eastAsia="Google Sans" w:hAnsi="Google Sans"/>
            <w:color w:val="0000ee"/>
            <w:sz w:val="24"/>
            <w:szCs w:val="24"/>
            <w:u w:val="single"/>
            <w:rtl w:val="0"/>
          </w:rPr>
          <w:t xml:space="preserve">https://oaknorth.co.uk/wp-content/uploads/2025/03/Annual_Report_2024.pdf</w:t>
        </w:r>
      </w:hyperlink>
      <w:r w:rsidDel="00000000" w:rsidR="00000000" w:rsidRPr="00000000">
        <w:rPr>
          <w:rtl w:val="0"/>
        </w:rPr>
      </w:r>
    </w:p>
    <w:p w:rsidR="00000000" w:rsidDel="00000000" w:rsidP="00000000" w:rsidRDefault="00000000" w:rsidRPr="00000000" w14:paraId="0000025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Shawbrook in numbers, </w:t>
      </w:r>
      <w:hyperlink r:id="rId35">
        <w:r w:rsidDel="00000000" w:rsidR="00000000" w:rsidRPr="00000000">
          <w:rPr>
            <w:rFonts w:ascii="Google Sans" w:cs="Google Sans" w:eastAsia="Google Sans" w:hAnsi="Google Sans"/>
            <w:color w:val="0000ee"/>
            <w:sz w:val="24"/>
            <w:szCs w:val="24"/>
            <w:u w:val="single"/>
            <w:rtl w:val="0"/>
          </w:rPr>
          <w:t xml:space="preserve">https://cdn.prod.nntech.io/company-events/reports/0874ad25-26a1-37e9-8d97-926640d02d06/report.pdf</w:t>
        </w:r>
      </w:hyperlink>
      <w:r w:rsidDel="00000000" w:rsidR="00000000" w:rsidRPr="00000000">
        <w:rPr>
          <w:rtl w:val="0"/>
        </w:rPr>
      </w:r>
    </w:p>
    <w:p w:rsidR="00000000" w:rsidDel="00000000" w:rsidP="00000000" w:rsidRDefault="00000000" w:rsidRPr="00000000" w14:paraId="0000025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Interim Results September 2025 | Nationwide, </w:t>
      </w:r>
      <w:hyperlink r:id="rId36">
        <w:r w:rsidDel="00000000" w:rsidR="00000000" w:rsidRPr="00000000">
          <w:rPr>
            <w:rFonts w:ascii="Google Sans" w:cs="Google Sans" w:eastAsia="Google Sans" w:hAnsi="Google Sans"/>
            <w:color w:val="0000ee"/>
            <w:sz w:val="24"/>
            <w:szCs w:val="24"/>
            <w:u w:val="single"/>
            <w:rtl w:val="0"/>
          </w:rPr>
          <w:t xml:space="preserve">https://www.nationwide.co.uk/-/assets/nationwidecouk/documents/about/how-we-are-run/results-and-accounts/2025-2026/interim-results-september-2025.pdf</w:t>
        </w:r>
      </w:hyperlink>
      <w:r w:rsidDel="00000000" w:rsidR="00000000" w:rsidRPr="00000000">
        <w:rPr>
          <w:rtl w:val="0"/>
        </w:rPr>
      </w:r>
    </w:p>
    <w:p w:rsidR="00000000" w:rsidDel="00000000" w:rsidP="00000000" w:rsidRDefault="00000000" w:rsidRPr="00000000" w14:paraId="0000025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Shawbrook Bank - Public Technologies (PUBT), </w:t>
      </w:r>
      <w:hyperlink r:id="rId37">
        <w:r w:rsidDel="00000000" w:rsidR="00000000" w:rsidRPr="00000000">
          <w:rPr>
            <w:rFonts w:ascii="Google Sans" w:cs="Google Sans" w:eastAsia="Google Sans" w:hAnsi="Google Sans"/>
            <w:color w:val="0000ee"/>
            <w:sz w:val="24"/>
            <w:szCs w:val="24"/>
            <w:u w:val="single"/>
            <w:rtl w:val="0"/>
          </w:rPr>
          <w:t xml:space="preserve">https://docs.publicnow.com/viewDoc.aspx?filename=167184\EXT\26B33723950660A75F2A977959A1F195A73012FA_D7D0835A1310AD62A2F8340EDA1DB11318749664.PDF</w:t>
        </w:r>
      </w:hyperlink>
      <w:r w:rsidDel="00000000" w:rsidR="00000000" w:rsidRPr="00000000">
        <w:rPr>
          <w:rtl w:val="0"/>
        </w:rPr>
      </w:r>
    </w:p>
    <w:p w:rsidR="00000000" w:rsidDel="00000000" w:rsidP="00000000" w:rsidRDefault="00000000" w:rsidRPr="00000000" w14:paraId="000002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Key Risk Indicators: How To Choose And Score KRIs, </w:t>
      </w:r>
      <w:hyperlink r:id="rId38">
        <w:r w:rsidDel="00000000" w:rsidR="00000000" w:rsidRPr="00000000">
          <w:rPr>
            <w:rFonts w:ascii="Google Sans" w:cs="Google Sans" w:eastAsia="Google Sans" w:hAnsi="Google Sans"/>
            <w:color w:val="0000ee"/>
            <w:sz w:val="24"/>
            <w:szCs w:val="24"/>
            <w:u w:val="single"/>
            <w:rtl w:val="0"/>
          </w:rPr>
          <w:t xml:space="preserve">https://riskpublishing.com/best-key-risk-indicators/</w:t>
        </w:r>
      </w:hyperlink>
      <w:r w:rsidDel="00000000" w:rsidR="00000000" w:rsidRPr="00000000">
        <w:rPr>
          <w:rtl w:val="0"/>
        </w:rPr>
      </w:r>
    </w:p>
    <w:p w:rsidR="00000000" w:rsidDel="00000000" w:rsidP="00000000" w:rsidRDefault="00000000" w:rsidRPr="00000000" w14:paraId="0000025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Shawbrook Group plc, </w:t>
      </w:r>
      <w:hyperlink r:id="rId39">
        <w:r w:rsidDel="00000000" w:rsidR="00000000" w:rsidRPr="00000000">
          <w:rPr>
            <w:rFonts w:ascii="Google Sans" w:cs="Google Sans" w:eastAsia="Google Sans" w:hAnsi="Google Sans"/>
            <w:color w:val="0000ee"/>
            <w:sz w:val="24"/>
            <w:szCs w:val="24"/>
            <w:u w:val="single"/>
            <w:rtl w:val="0"/>
          </w:rPr>
          <w:t xml:space="preserve">https://stgmkrreport.blob.core.windows.net/web/21380071539WSMTM4410-2025-12-31-1.html?sp=r&amp;st=2026-04-01T10:21:59Z&amp;se=2027-04-01T18:36:59Z&amp;spr=https&amp;sv=2024-11-04&amp;sr=b&amp;sig=q8QBeDoyj410ZeQeM7xCJ%2Br6fTwUUPOUx5KfhUdwC6o%3D</w:t>
        </w:r>
      </w:hyperlink>
      <w:r w:rsidDel="00000000" w:rsidR="00000000" w:rsidRPr="00000000">
        <w:rPr>
          <w:rtl w:val="0"/>
        </w:rPr>
      </w:r>
    </w:p>
    <w:p w:rsidR="00000000" w:rsidDel="00000000" w:rsidP="00000000" w:rsidRDefault="00000000" w:rsidRPr="00000000" w14:paraId="0000025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and Accounts 2024 - Leeds Building Society, </w:t>
      </w:r>
      <w:hyperlink r:id="rId40">
        <w:r w:rsidDel="00000000" w:rsidR="00000000" w:rsidRPr="00000000">
          <w:rPr>
            <w:rFonts w:ascii="Google Sans" w:cs="Google Sans" w:eastAsia="Google Sans" w:hAnsi="Google Sans"/>
            <w:color w:val="0000ee"/>
            <w:sz w:val="24"/>
            <w:szCs w:val="24"/>
            <w:u w:val="single"/>
            <w:rtl w:val="0"/>
          </w:rPr>
          <w:t xml:space="preserve">https://www.leedsbuildingsociety.co.uk/_resources/pdfs/your-society-pdfs/agm/2025/annual-report-accounts-2025.pdf</w:t>
        </w:r>
      </w:hyperlink>
      <w:r w:rsidDel="00000000" w:rsidR="00000000" w:rsidRPr="00000000">
        <w:rPr>
          <w:rtl w:val="0"/>
        </w:rPr>
      </w:r>
    </w:p>
    <w:p w:rsidR="00000000" w:rsidDel="00000000" w:rsidP="00000000" w:rsidRDefault="00000000" w:rsidRPr="00000000" w14:paraId="0000025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Annual Report and Accounts - Leeds Building Society, </w:t>
      </w:r>
      <w:hyperlink r:id="rId41">
        <w:r w:rsidDel="00000000" w:rsidR="00000000" w:rsidRPr="00000000">
          <w:rPr>
            <w:rFonts w:ascii="Google Sans" w:cs="Google Sans" w:eastAsia="Google Sans" w:hAnsi="Google Sans"/>
            <w:color w:val="0000ee"/>
            <w:sz w:val="24"/>
            <w:szCs w:val="24"/>
            <w:u w:val="single"/>
            <w:rtl w:val="0"/>
          </w:rPr>
          <w:t xml:space="preserve">https://www.leedsbuildingsociety.co.uk/_resources/pdfs/press-pdfs/financial-results-pdfs/2025-annual-report-and-accounts.pdf</w:t>
        </w:r>
      </w:hyperlink>
      <w:r w:rsidDel="00000000" w:rsidR="00000000" w:rsidRPr="00000000">
        <w:rPr>
          <w:rtl w:val="0"/>
        </w:rPr>
      </w:r>
    </w:p>
    <w:p w:rsidR="00000000" w:rsidDel="00000000" w:rsidP="00000000" w:rsidRDefault="00000000" w:rsidRPr="00000000" w14:paraId="0000025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Irm Risk Appetite | PDF - Slideshare, </w:t>
      </w:r>
      <w:hyperlink r:id="rId42">
        <w:r w:rsidDel="00000000" w:rsidR="00000000" w:rsidRPr="00000000">
          <w:rPr>
            <w:rFonts w:ascii="Google Sans" w:cs="Google Sans" w:eastAsia="Google Sans" w:hAnsi="Google Sans"/>
            <w:color w:val="0000ee"/>
            <w:sz w:val="24"/>
            <w:szCs w:val="24"/>
            <w:u w:val="single"/>
            <w:rtl w:val="0"/>
          </w:rPr>
          <w:t xml:space="preserve">https://www.slideshare.net/slideshow/irm-risk-appetite/9259686</w:t>
        </w:r>
      </w:hyperlink>
      <w:r w:rsidDel="00000000" w:rsidR="00000000" w:rsidRPr="00000000">
        <w:rPr>
          <w:rtl w:val="0"/>
        </w:rPr>
      </w:r>
    </w:p>
    <w:p w:rsidR="00000000" w:rsidDel="00000000" w:rsidP="00000000" w:rsidRDefault="00000000" w:rsidRPr="00000000" w14:paraId="0000026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societies: operational and financial resilience are key, </w:t>
      </w:r>
      <w:hyperlink r:id="rId43">
        <w:r w:rsidDel="00000000" w:rsidR="00000000" w:rsidRPr="00000000">
          <w:rPr>
            <w:rFonts w:ascii="Google Sans" w:cs="Google Sans" w:eastAsia="Google Sans" w:hAnsi="Google Sans"/>
            <w:color w:val="0000ee"/>
            <w:sz w:val="24"/>
            <w:szCs w:val="24"/>
            <w:u w:val="single"/>
            <w:rtl w:val="0"/>
          </w:rPr>
          <w:t xml:space="preserve">https://www.grantthornton.co.uk/insights/building-societies-operational-and-financial-resilience-are-key/</w:t>
        </w:r>
      </w:hyperlink>
      <w:r w:rsidDel="00000000" w:rsidR="00000000" w:rsidRPr="00000000">
        <w:rPr>
          <w:rtl w:val="0"/>
        </w:rPr>
      </w:r>
    </w:p>
    <w:p w:rsidR="00000000" w:rsidDel="00000000" w:rsidP="00000000" w:rsidRDefault="00000000" w:rsidRPr="00000000" w14:paraId="0000026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Image to update - Skipton Group, </w:t>
      </w:r>
      <w:hyperlink r:id="rId44">
        <w:r w:rsidDel="00000000" w:rsidR="00000000" w:rsidRPr="00000000">
          <w:rPr>
            <w:rFonts w:ascii="Google Sans" w:cs="Google Sans" w:eastAsia="Google Sans" w:hAnsi="Google Sans"/>
            <w:color w:val="0000ee"/>
            <w:sz w:val="24"/>
            <w:szCs w:val="24"/>
            <w:u w:val="single"/>
            <w:rtl w:val="0"/>
          </w:rPr>
          <w:t xml:space="preserve">https://www.skiptongroup.com/wp-content/uploads/2026/02/annual-report-and-accounts-2025.pdf</w:t>
        </w:r>
      </w:hyperlink>
      <w:r w:rsidDel="00000000" w:rsidR="00000000" w:rsidRPr="00000000">
        <w:rPr>
          <w:rtl w:val="0"/>
        </w:rPr>
      </w:r>
    </w:p>
    <w:p w:rsidR="00000000" w:rsidDel="00000000" w:rsidP="00000000" w:rsidRDefault="00000000" w:rsidRPr="00000000" w14:paraId="0000026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and Accounts - Nottingham Building Society, </w:t>
      </w:r>
      <w:hyperlink r:id="rId45">
        <w:r w:rsidDel="00000000" w:rsidR="00000000" w:rsidRPr="00000000">
          <w:rPr>
            <w:rFonts w:ascii="Google Sans" w:cs="Google Sans" w:eastAsia="Google Sans" w:hAnsi="Google Sans"/>
            <w:color w:val="0000ee"/>
            <w:sz w:val="24"/>
            <w:szCs w:val="24"/>
            <w:u w:val="single"/>
            <w:rtl w:val="0"/>
          </w:rPr>
          <w:t xml:space="preserve">https://www.thenottingham.com/media/lxbjhahg/2025-annual-report.pdf</w:t>
        </w:r>
      </w:hyperlink>
      <w:r w:rsidDel="00000000" w:rsidR="00000000" w:rsidRPr="00000000">
        <w:rPr>
          <w:rtl w:val="0"/>
        </w:rPr>
      </w:r>
    </w:p>
    <w:p w:rsidR="00000000" w:rsidDel="00000000" w:rsidP="00000000" w:rsidRDefault="00000000" w:rsidRPr="00000000" w14:paraId="0000026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Societies and Mortgage Market Trends - Whitecap Consulting, </w:t>
      </w:r>
      <w:hyperlink r:id="rId46">
        <w:r w:rsidDel="00000000" w:rsidR="00000000" w:rsidRPr="00000000">
          <w:rPr>
            <w:rFonts w:ascii="Google Sans" w:cs="Google Sans" w:eastAsia="Google Sans" w:hAnsi="Google Sans"/>
            <w:color w:val="0000ee"/>
            <w:sz w:val="24"/>
            <w:szCs w:val="24"/>
            <w:u w:val="single"/>
            <w:rtl w:val="0"/>
          </w:rPr>
          <w:t xml:space="preserve">https://www.whitecapconsulting.co.uk/articles/building-societies-blog-series-mortgages/</w:t>
        </w:r>
      </w:hyperlink>
      <w:r w:rsidDel="00000000" w:rsidR="00000000" w:rsidRPr="00000000">
        <w:rPr>
          <w:rtl w:val="0"/>
        </w:rPr>
      </w:r>
    </w:p>
    <w:p w:rsidR="00000000" w:rsidDel="00000000" w:rsidP="00000000" w:rsidRDefault="00000000" w:rsidRPr="00000000" w14:paraId="0000026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Starling Bank fined £29 million for financial crime systems and, </w:t>
      </w:r>
      <w:hyperlink r:id="rId47">
        <w:r w:rsidDel="00000000" w:rsidR="00000000" w:rsidRPr="00000000">
          <w:rPr>
            <w:rFonts w:ascii="Google Sans" w:cs="Google Sans" w:eastAsia="Google Sans" w:hAnsi="Google Sans"/>
            <w:color w:val="0000ee"/>
            <w:sz w:val="24"/>
            <w:szCs w:val="24"/>
            <w:u w:val="single"/>
            <w:rtl w:val="0"/>
          </w:rPr>
          <w:t xml:space="preserve">https://www.stephensonharwood.com/insights/starling-bank-fined-29-million-for-financial-crime-systems-and-controls-failings/</w:t>
        </w:r>
      </w:hyperlink>
      <w:r w:rsidDel="00000000" w:rsidR="00000000" w:rsidRPr="00000000">
        <w:rPr>
          <w:rtl w:val="0"/>
        </w:rPr>
      </w:r>
    </w:p>
    <w:p w:rsidR="00000000" w:rsidDel="00000000" w:rsidP="00000000" w:rsidRDefault="00000000" w:rsidRPr="00000000" w14:paraId="0000026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Risk Insights Resource Center - GARP, </w:t>
      </w:r>
      <w:hyperlink r:id="rId48">
        <w:r w:rsidDel="00000000" w:rsidR="00000000" w:rsidRPr="00000000">
          <w:rPr>
            <w:rFonts w:ascii="Google Sans" w:cs="Google Sans" w:eastAsia="Google Sans" w:hAnsi="Google Sans"/>
            <w:color w:val="0000ee"/>
            <w:sz w:val="24"/>
            <w:szCs w:val="24"/>
            <w:u w:val="single"/>
            <w:rtl w:val="0"/>
          </w:rPr>
          <w:t xml:space="preserve">https://www.garp.org/risk-insights-resources</w:t>
        </w:r>
      </w:hyperlink>
      <w:r w:rsidDel="00000000" w:rsidR="00000000" w:rsidRPr="00000000">
        <w:rPr>
          <w:rtl w:val="0"/>
        </w:rPr>
      </w:r>
    </w:p>
    <w:p w:rsidR="00000000" w:rsidDel="00000000" w:rsidP="00000000" w:rsidRDefault="00000000" w:rsidRPr="00000000" w14:paraId="0000026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Financial Report - 07:00:06 22 May 2024 - NBS News article, </w:t>
      </w:r>
      <w:hyperlink r:id="rId49">
        <w:r w:rsidDel="00000000" w:rsidR="00000000" w:rsidRPr="00000000">
          <w:rPr>
            <w:rFonts w:ascii="Google Sans" w:cs="Google Sans" w:eastAsia="Google Sans" w:hAnsi="Google Sans"/>
            <w:color w:val="0000ee"/>
            <w:sz w:val="24"/>
            <w:szCs w:val="24"/>
            <w:u w:val="single"/>
            <w:rtl w:val="0"/>
          </w:rPr>
          <w:t xml:space="preserve">https://www.londonstockexchange.com/news-article/NBS/annual-financial-report/16483925</w:t>
        </w:r>
      </w:hyperlink>
      <w:r w:rsidDel="00000000" w:rsidR="00000000" w:rsidRPr="00000000">
        <w:rPr>
          <w:rtl w:val="0"/>
        </w:rPr>
      </w:r>
    </w:p>
    <w:p w:rsidR="00000000" w:rsidDel="00000000" w:rsidP="00000000" w:rsidRDefault="00000000" w:rsidRPr="00000000" w14:paraId="0000026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Nationwide Building Society Preliminary Results Announcement, </w:t>
      </w:r>
      <w:hyperlink r:id="rId50">
        <w:r w:rsidDel="00000000" w:rsidR="00000000" w:rsidRPr="00000000">
          <w:rPr>
            <w:rFonts w:ascii="Google Sans" w:cs="Google Sans" w:eastAsia="Google Sans" w:hAnsi="Google Sans"/>
            <w:color w:val="0000ee"/>
            <w:sz w:val="24"/>
            <w:szCs w:val="24"/>
            <w:u w:val="single"/>
            <w:rtl w:val="0"/>
          </w:rPr>
          <w:t xml:space="preserve">https://www.nationwide.co.uk/-/assets/nationwidecouk/documents/about/how-we-are-run/results-and-accounts/2024-2025/2025-preliminary-results.pdf</w:t>
        </w:r>
      </w:hyperlink>
      <w:r w:rsidDel="00000000" w:rsidR="00000000" w:rsidRPr="00000000">
        <w:rPr>
          <w:rtl w:val="0"/>
        </w:rPr>
      </w:r>
    </w:p>
    <w:p w:rsidR="00000000" w:rsidDel="00000000" w:rsidP="00000000" w:rsidRDefault="00000000" w:rsidRPr="00000000" w14:paraId="0000026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 Booking Model and Branch Risk Appetite Finalised - Deloitte, </w:t>
      </w:r>
      <w:hyperlink r:id="rId51">
        <w:r w:rsidDel="00000000" w:rsidR="00000000" w:rsidRPr="00000000">
          <w:rPr>
            <w:rFonts w:ascii="Google Sans" w:cs="Google Sans" w:eastAsia="Google Sans" w:hAnsi="Google Sans"/>
            <w:color w:val="0000ee"/>
            <w:sz w:val="24"/>
            <w:szCs w:val="24"/>
            <w:u w:val="single"/>
            <w:rtl w:val="0"/>
          </w:rPr>
          <w:t xml:space="preserve">https://www.deloitte.com/uk/en/blogs/ecrs/pra-booking-model-and-branch-risk-appetite-finalised-act-now-on-self-assessment.html</w:t>
        </w:r>
      </w:hyperlink>
      <w:r w:rsidDel="00000000" w:rsidR="00000000" w:rsidRPr="00000000">
        <w:rPr>
          <w:rtl w:val="0"/>
        </w:rPr>
      </w:r>
    </w:p>
    <w:p w:rsidR="00000000" w:rsidDel="00000000" w:rsidP="00000000" w:rsidRDefault="00000000" w:rsidRPr="00000000" w14:paraId="0000026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Societies Act 1986 (Amendment) Bill - UK Parliament, </w:t>
      </w:r>
      <w:hyperlink r:id="rId52">
        <w:r w:rsidDel="00000000" w:rsidR="00000000" w:rsidRPr="00000000">
          <w:rPr>
            <w:rFonts w:ascii="Google Sans" w:cs="Google Sans" w:eastAsia="Google Sans" w:hAnsi="Google Sans"/>
            <w:color w:val="0000ee"/>
            <w:sz w:val="24"/>
            <w:szCs w:val="24"/>
            <w:u w:val="single"/>
            <w:rtl w:val="0"/>
          </w:rPr>
          <w:t xml:space="preserve">https://researchbriefings.files.parliament.uk/documents/LLN-2024-0018/2024-0018-Building-Societies-Act-1986-(Amendment)-Bill-LARGE.pdf</w:t>
        </w:r>
      </w:hyperlink>
      <w:r w:rsidDel="00000000" w:rsidR="00000000" w:rsidRPr="00000000">
        <w:rPr>
          <w:rtl w:val="0"/>
        </w:rPr>
      </w:r>
    </w:p>
    <w:p w:rsidR="00000000" w:rsidDel="00000000" w:rsidP="00000000" w:rsidRDefault="00000000" w:rsidRPr="00000000" w14:paraId="0000026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Duty Fair Value Assessments: A Practical Guide for IFAs, </w:t>
      </w:r>
      <w:hyperlink r:id="rId53">
        <w:r w:rsidDel="00000000" w:rsidR="00000000" w:rsidRPr="00000000">
          <w:rPr>
            <w:rFonts w:ascii="Google Sans" w:cs="Google Sans" w:eastAsia="Google Sans" w:hAnsi="Google Sans"/>
            <w:color w:val="0000ee"/>
            <w:sz w:val="24"/>
            <w:szCs w:val="24"/>
            <w:u w:val="single"/>
            <w:rtl w:val="0"/>
          </w:rPr>
          <w:t xml:space="preserve">https://justfa.uk/articles/consumer-duty-fair-value-assessments-a-practical-guide-for-ifas</w:t>
        </w:r>
      </w:hyperlink>
      <w:r w:rsidDel="00000000" w:rsidR="00000000" w:rsidRPr="00000000">
        <w:rPr>
          <w:rtl w:val="0"/>
        </w:rPr>
      </w:r>
    </w:p>
    <w:p w:rsidR="00000000" w:rsidDel="00000000" w:rsidP="00000000" w:rsidRDefault="00000000" w:rsidRPr="00000000" w14:paraId="0000026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Payments Consumer Duty multi-firm review | FCA, </w:t>
      </w:r>
      <w:hyperlink r:id="rId54">
        <w:r w:rsidDel="00000000" w:rsidR="00000000" w:rsidRPr="00000000">
          <w:rPr>
            <w:rFonts w:ascii="Google Sans" w:cs="Google Sans" w:eastAsia="Google Sans" w:hAnsi="Google Sans"/>
            <w:color w:val="0000ee"/>
            <w:sz w:val="24"/>
            <w:szCs w:val="24"/>
            <w:u w:val="single"/>
            <w:rtl w:val="0"/>
          </w:rPr>
          <w:t xml:space="preserve">https://www.fca.org.uk/publications/multi-firm-reviews/payments-consumer-duty</w:t>
        </w:r>
      </w:hyperlink>
      <w:r w:rsidDel="00000000" w:rsidR="00000000" w:rsidRPr="00000000">
        <w:rPr>
          <w:rtl w:val="0"/>
        </w:rPr>
      </w:r>
    </w:p>
    <w:p w:rsidR="00000000" w:rsidDel="00000000" w:rsidP="00000000" w:rsidRDefault="00000000" w:rsidRPr="00000000" w14:paraId="0000026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Our Consumer Duty focus areas | FCA, </w:t>
      </w:r>
      <w:hyperlink r:id="rId55">
        <w:r w:rsidDel="00000000" w:rsidR="00000000" w:rsidRPr="00000000">
          <w:rPr>
            <w:rFonts w:ascii="Google Sans" w:cs="Google Sans" w:eastAsia="Google Sans" w:hAnsi="Google Sans"/>
            <w:color w:val="0000ee"/>
            <w:sz w:val="24"/>
            <w:szCs w:val="24"/>
            <w:u w:val="single"/>
            <w:rtl w:val="0"/>
          </w:rPr>
          <w:t xml:space="preserve">https://www.fca.org.uk/publications/corporate-documents/consumer-duty-focus-areas</w:t>
        </w:r>
      </w:hyperlink>
      <w:r w:rsidDel="00000000" w:rsidR="00000000" w:rsidRPr="00000000">
        <w:rPr>
          <w:rtl w:val="0"/>
        </w:rPr>
      </w:r>
    </w:p>
    <w:p w:rsidR="00000000" w:rsidDel="00000000" w:rsidP="00000000" w:rsidRDefault="00000000" w:rsidRPr="00000000" w14:paraId="0000026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FCA priorities under the Consumer Duty for the remainder of 2024/25., </w:t>
      </w:r>
      <w:hyperlink r:id="rId56">
        <w:r w:rsidDel="00000000" w:rsidR="00000000" w:rsidRPr="00000000">
          <w:rPr>
            <w:rFonts w:ascii="Google Sans" w:cs="Google Sans" w:eastAsia="Google Sans" w:hAnsi="Google Sans"/>
            <w:color w:val="0000ee"/>
            <w:sz w:val="24"/>
            <w:szCs w:val="24"/>
            <w:u w:val="single"/>
            <w:rtl w:val="0"/>
          </w:rPr>
          <w:t xml:space="preserve">https://www.ycmuk.co.uk/fca-priorities-under-the-consumer-duty-for-the-remainder-of-2024-25d11a23fa</w:t>
        </w:r>
      </w:hyperlink>
      <w:r w:rsidDel="00000000" w:rsidR="00000000" w:rsidRPr="00000000">
        <w:rPr>
          <w:rtl w:val="0"/>
        </w:rPr>
      </w:r>
    </w:p>
    <w:p w:rsidR="00000000" w:rsidDel="00000000" w:rsidP="00000000" w:rsidRDefault="00000000" w:rsidRPr="00000000" w14:paraId="0000026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Climate-Related Disclosures and Transition Plan 2024, </w:t>
      </w:r>
      <w:hyperlink r:id="rId57">
        <w:r w:rsidDel="00000000" w:rsidR="00000000" w:rsidRPr="00000000">
          <w:rPr>
            <w:rFonts w:ascii="Google Sans" w:cs="Google Sans" w:eastAsia="Google Sans" w:hAnsi="Google Sans"/>
            <w:color w:val="0000ee"/>
            <w:sz w:val="24"/>
            <w:szCs w:val="24"/>
            <w:u w:val="single"/>
            <w:rtl w:val="0"/>
          </w:rPr>
          <w:t xml:space="preserve">https://www.leedsbuildingsociety.co.uk/_resources/pdfs/your-society-pdfs/climate-related-disclosures-and-transition-plan-2025.pdf</w:t>
        </w:r>
      </w:hyperlink>
      <w:r w:rsidDel="00000000" w:rsidR="00000000" w:rsidRPr="00000000">
        <w:rPr>
          <w:rtl w:val="0"/>
        </w:rPr>
      </w:r>
    </w:p>
    <w:p w:rsidR="00000000" w:rsidDel="00000000" w:rsidP="00000000" w:rsidRDefault="00000000" w:rsidRPr="00000000" w14:paraId="0000026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FCA fines Metro Bank £16.7m after its automated transaction, </w:t>
      </w:r>
      <w:hyperlink r:id="rId58">
        <w:r w:rsidDel="00000000" w:rsidR="00000000" w:rsidRPr="00000000">
          <w:rPr>
            <w:rFonts w:ascii="Google Sans" w:cs="Google Sans" w:eastAsia="Google Sans" w:hAnsi="Google Sans"/>
            <w:color w:val="0000ee"/>
            <w:sz w:val="24"/>
            <w:szCs w:val="24"/>
            <w:u w:val="single"/>
            <w:rtl w:val="0"/>
          </w:rPr>
          <w:t xml:space="preserve">https://www.bankingnewsai.com/ai-incidents/metro-bank-2024-fca-automated-transaction-monitoring</w:t>
        </w:r>
      </w:hyperlink>
      <w:r w:rsidDel="00000000" w:rsidR="00000000" w:rsidRPr="00000000">
        <w:rPr>
          <w:rtl w:val="0"/>
        </w:rPr>
      </w:r>
    </w:p>
    <w:p w:rsidR="00000000" w:rsidDel="00000000" w:rsidP="00000000" w:rsidRDefault="00000000" w:rsidRPr="00000000" w14:paraId="0000027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Final Notice 2024: Metro Bank plc - Financial Conduct Authority, </w:t>
      </w:r>
      <w:hyperlink r:id="rId59">
        <w:r w:rsidDel="00000000" w:rsidR="00000000" w:rsidRPr="00000000">
          <w:rPr>
            <w:rFonts w:ascii="Google Sans" w:cs="Google Sans" w:eastAsia="Google Sans" w:hAnsi="Google Sans"/>
            <w:color w:val="0000ee"/>
            <w:sz w:val="24"/>
            <w:szCs w:val="24"/>
            <w:u w:val="single"/>
            <w:rtl w:val="0"/>
          </w:rPr>
          <w:t xml:space="preserve">https://www.fca.org.uk/publication/final-notices/metro-bank-plc-2024.pdf</w:t>
        </w:r>
      </w:hyperlink>
      <w:r w:rsidDel="00000000" w:rsidR="00000000" w:rsidRPr="00000000">
        <w:rPr>
          <w:rtl w:val="0"/>
        </w:rPr>
      </w:r>
    </w:p>
    <w:p w:rsidR="00000000" w:rsidDel="00000000" w:rsidP="00000000" w:rsidRDefault="00000000" w:rsidRPr="00000000" w14:paraId="0000027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Notice in a nutshell: Bank fined for financial crime failings, </w:t>
      </w:r>
      <w:hyperlink r:id="rId60">
        <w:r w:rsidDel="00000000" w:rsidR="00000000" w:rsidRPr="00000000">
          <w:rPr>
            <w:rFonts w:ascii="Google Sans" w:cs="Google Sans" w:eastAsia="Google Sans" w:hAnsi="Google Sans"/>
            <w:color w:val="0000ee"/>
            <w:sz w:val="24"/>
            <w:szCs w:val="24"/>
            <w:u w:val="single"/>
            <w:rtl w:val="0"/>
          </w:rPr>
          <w:t xml:space="preserve">https://connections.nortonrosefulbright.com/post/102kv0z/notice-in-a-nutshell-bank-fined-for-financial-crime-failings</w:t>
        </w:r>
      </w:hyperlink>
      <w:r w:rsidDel="00000000" w:rsidR="00000000" w:rsidRPr="00000000">
        <w:rPr>
          <w:rtl w:val="0"/>
        </w:rPr>
      </w:r>
    </w:p>
    <w:p w:rsidR="00000000" w:rsidDel="00000000" w:rsidP="00000000" w:rsidRDefault="00000000" w:rsidRPr="00000000" w14:paraId="0000027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Regulation round-up July 2023 - GovDelivery - Granicus, </w:t>
      </w:r>
      <w:hyperlink r:id="rId61">
        <w:r w:rsidDel="00000000" w:rsidR="00000000" w:rsidRPr="00000000">
          <w:rPr>
            <w:rFonts w:ascii="Google Sans" w:cs="Google Sans" w:eastAsia="Google Sans" w:hAnsi="Google Sans"/>
            <w:color w:val="0000ee"/>
            <w:sz w:val="24"/>
            <w:szCs w:val="24"/>
            <w:u w:val="single"/>
            <w:rtl w:val="0"/>
          </w:rPr>
          <w:t xml:space="preserve">https://content.govdelivery.com/accounts/UKFCA/bulletins/3671a74</w:t>
        </w:r>
      </w:hyperlink>
      <w:r w:rsidDel="00000000" w:rsidR="00000000" w:rsidRPr="00000000">
        <w:rPr>
          <w:rtl w:val="0"/>
        </w:rPr>
      </w:r>
    </w:p>
    <w:p w:rsidR="00000000" w:rsidDel="00000000" w:rsidP="00000000" w:rsidRDefault="00000000" w:rsidRPr="00000000" w14:paraId="0000027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JPMorgan and Wall Street Giants Block AI Agents Over Security Fears, </w:t>
      </w:r>
      <w:hyperlink r:id="rId62">
        <w:r w:rsidDel="00000000" w:rsidR="00000000" w:rsidRPr="00000000">
          <w:rPr>
            <w:rFonts w:ascii="Google Sans" w:cs="Google Sans" w:eastAsia="Google Sans" w:hAnsi="Google Sans"/>
            <w:color w:val="0000ee"/>
            <w:sz w:val="24"/>
            <w:szCs w:val="24"/>
            <w:u w:val="single"/>
            <w:rtl w:val="0"/>
          </w:rPr>
          <w:t xml:space="preserve">https://news.bitcoin.com/finance/jpmorgan-and-wall-street-giants-block-ai-agents-over-security-fears/</w:t>
        </w:r>
      </w:hyperlink>
      <w:r w:rsidDel="00000000" w:rsidR="00000000" w:rsidRPr="00000000">
        <w:rPr>
          <w:rtl w:val="0"/>
        </w:rPr>
      </w:r>
    </w:p>
    <w:p w:rsidR="00000000" w:rsidDel="00000000" w:rsidP="00000000" w:rsidRDefault="00000000" w:rsidRPr="00000000" w14:paraId="0000027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Metro Bank fined nearly £17m for failure to monitor potential money, </w:t>
      </w:r>
      <w:hyperlink r:id="rId63">
        <w:r w:rsidDel="00000000" w:rsidR="00000000" w:rsidRPr="00000000">
          <w:rPr>
            <w:rFonts w:ascii="Google Sans" w:cs="Google Sans" w:eastAsia="Google Sans" w:hAnsi="Google Sans"/>
            <w:color w:val="0000ee"/>
            <w:sz w:val="24"/>
            <w:szCs w:val="24"/>
            <w:u w:val="single"/>
            <w:rtl w:val="0"/>
          </w:rPr>
          <w:t xml:space="preserve">https://www.theguardian.com/business/2024/nov/12/metro-bank-fined-potential-money-laundering-fca</w:t>
        </w:r>
      </w:hyperlink>
      <w:r w:rsidDel="00000000" w:rsidR="00000000" w:rsidRPr="00000000">
        <w:rPr>
          <w:rtl w:val="0"/>
        </w:rPr>
      </w:r>
    </w:p>
    <w:p w:rsidR="00000000" w:rsidDel="00000000" w:rsidP="00000000" w:rsidRDefault="00000000" w:rsidRPr="00000000" w14:paraId="0000027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12 Enterprise Risk Management Software (ERM ... - Continuity2, </w:t>
      </w:r>
      <w:hyperlink r:id="rId64">
        <w:r w:rsidDel="00000000" w:rsidR="00000000" w:rsidRPr="00000000">
          <w:rPr>
            <w:rFonts w:ascii="Google Sans" w:cs="Google Sans" w:eastAsia="Google Sans" w:hAnsi="Google Sans"/>
            <w:color w:val="0000ee"/>
            <w:sz w:val="24"/>
            <w:szCs w:val="24"/>
            <w:u w:val="single"/>
            <w:rtl w:val="0"/>
          </w:rPr>
          <w:t xml:space="preserve">https://continuity2.com/blog/erm-software</w:t>
        </w:r>
      </w:hyperlink>
      <w:r w:rsidDel="00000000" w:rsidR="00000000" w:rsidRPr="00000000">
        <w:rPr>
          <w:rtl w:val="0"/>
        </w:rPr>
      </w:r>
    </w:p>
    <w:p w:rsidR="00000000" w:rsidDel="00000000" w:rsidP="00000000" w:rsidRDefault="00000000" w:rsidRPr="00000000" w14:paraId="0000027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Reports and Accounts 2024 [PDF] - Skipton Building Society, </w:t>
      </w:r>
      <w:hyperlink r:id="rId65">
        <w:r w:rsidDel="00000000" w:rsidR="00000000" w:rsidRPr="00000000">
          <w:rPr>
            <w:rFonts w:ascii="Google Sans" w:cs="Google Sans" w:eastAsia="Google Sans" w:hAnsi="Google Sans"/>
            <w:color w:val="0000ee"/>
            <w:sz w:val="24"/>
            <w:szCs w:val="24"/>
            <w:u w:val="single"/>
            <w:rtl w:val="0"/>
          </w:rPr>
          <w:t xml:space="preserve">https://www.skipton.co.uk/content/dam/sbs-sites/skipton-co-uk/documents/about-us/financial-results/2024/annual-reports-and-accounts-2024.pdf</w:t>
        </w:r>
      </w:hyperlink>
      <w:r w:rsidDel="00000000" w:rsidR="00000000" w:rsidRPr="00000000">
        <w:rPr>
          <w:rtl w:val="0"/>
        </w:rPr>
      </w:r>
    </w:p>
    <w:p w:rsidR="00000000" w:rsidDel="00000000" w:rsidP="00000000" w:rsidRDefault="00000000" w:rsidRPr="00000000" w14:paraId="0000027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and managing emerging operational risks - Risk.net, </w:t>
      </w:r>
      <w:hyperlink r:id="rId66">
        <w:r w:rsidDel="00000000" w:rsidR="00000000" w:rsidRPr="00000000">
          <w:rPr>
            <w:rFonts w:ascii="Google Sans" w:cs="Google Sans" w:eastAsia="Google Sans" w:hAnsi="Google Sans"/>
            <w:color w:val="0000ee"/>
            <w:sz w:val="24"/>
            <w:szCs w:val="24"/>
            <w:u w:val="single"/>
            <w:rtl w:val="0"/>
          </w:rPr>
          <w:t xml:space="preserve">https://www.risk.net/risk-management/operational-risk/2393632/identifying-and-managing-emerging-operational-risks</w:t>
        </w:r>
      </w:hyperlink>
      <w:r w:rsidDel="00000000" w:rsidR="00000000" w:rsidRPr="00000000">
        <w:rPr>
          <w:rtl w:val="0"/>
        </w:rPr>
      </w:r>
    </w:p>
    <w:p w:rsidR="00000000" w:rsidDel="00000000" w:rsidP="00000000" w:rsidRDefault="00000000" w:rsidRPr="00000000" w14:paraId="0000027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Strategic report 2025 | Nationwide, </w:t>
      </w:r>
      <w:hyperlink r:id="rId67">
        <w:r w:rsidDel="00000000" w:rsidR="00000000" w:rsidRPr="00000000">
          <w:rPr>
            <w:rFonts w:ascii="Google Sans" w:cs="Google Sans" w:eastAsia="Google Sans" w:hAnsi="Google Sans"/>
            <w:color w:val="0000ee"/>
            <w:sz w:val="24"/>
            <w:szCs w:val="24"/>
            <w:u w:val="single"/>
            <w:rtl w:val="0"/>
          </w:rPr>
          <w:t xml:space="preserve">https://www.nationwide.co.uk/-/assets/nationwidecouk/documents/about/how-we-are-run/results-and-accounts/2024-2025/strategic-report-2025.pdf</w:t>
        </w:r>
      </w:hyperlink>
      <w:r w:rsidDel="00000000" w:rsidR="00000000" w:rsidRPr="00000000">
        <w:rPr>
          <w:rtl w:val="0"/>
        </w:rPr>
      </w:r>
    </w:p>
    <w:p w:rsidR="00000000" w:rsidDel="00000000" w:rsidP="00000000" w:rsidRDefault="00000000" w:rsidRPr="00000000" w14:paraId="0000027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Pillar 3 Disclosures - Skipton Building Society, </w:t>
      </w:r>
      <w:hyperlink r:id="rId68">
        <w:r w:rsidDel="00000000" w:rsidR="00000000" w:rsidRPr="00000000">
          <w:rPr>
            <w:rFonts w:ascii="Google Sans" w:cs="Google Sans" w:eastAsia="Google Sans" w:hAnsi="Google Sans"/>
            <w:color w:val="0000ee"/>
            <w:sz w:val="24"/>
            <w:szCs w:val="24"/>
            <w:u w:val="single"/>
            <w:rtl w:val="0"/>
          </w:rPr>
          <w:t xml:space="preserve">https://www.skipton.co.uk/content/dam/sbs-sites/skipton-co-uk/documents/about-us/pillar-3-disclosures/pillar-3-2024-december.pdf</w:t>
        </w:r>
      </w:hyperlink>
      <w:r w:rsidDel="00000000" w:rsidR="00000000" w:rsidRPr="00000000">
        <w:rPr>
          <w:rtl w:val="0"/>
        </w:rPr>
      </w:r>
    </w:p>
    <w:p w:rsidR="00000000" w:rsidDel="00000000" w:rsidP="00000000" w:rsidRDefault="00000000" w:rsidRPr="00000000" w14:paraId="0000027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and Accounts 2025, </w:t>
      </w:r>
      <w:hyperlink r:id="rId69">
        <w:r w:rsidDel="00000000" w:rsidR="00000000" w:rsidRPr="00000000">
          <w:rPr>
            <w:rFonts w:ascii="Google Sans" w:cs="Google Sans" w:eastAsia="Google Sans" w:hAnsi="Google Sans"/>
            <w:color w:val="0000ee"/>
            <w:sz w:val="24"/>
            <w:szCs w:val="24"/>
            <w:u w:val="single"/>
            <w:rtl w:val="0"/>
          </w:rPr>
          <w:t xml:space="preserve">https://media.umbraco.io/cambridge/rbxpbmxv/annual-report-and-accounts-2025.pdf</w:t>
        </w:r>
      </w:hyperlink>
      <w:r w:rsidDel="00000000" w:rsidR="00000000" w:rsidRPr="00000000">
        <w:rPr>
          <w:rtl w:val="0"/>
        </w:rPr>
      </w:r>
    </w:p>
    <w:p w:rsidR="00000000" w:rsidDel="00000000" w:rsidP="00000000" w:rsidRDefault="00000000" w:rsidRPr="00000000" w14:paraId="0000027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BSA Yearbook 2024/25 - The Building Societies Association, </w:t>
      </w:r>
      <w:hyperlink r:id="rId70">
        <w:r w:rsidDel="00000000" w:rsidR="00000000" w:rsidRPr="00000000">
          <w:rPr>
            <w:rFonts w:ascii="Google Sans" w:cs="Google Sans" w:eastAsia="Google Sans" w:hAnsi="Google Sans"/>
            <w:color w:val="0000ee"/>
            <w:sz w:val="24"/>
            <w:szCs w:val="24"/>
            <w:u w:val="single"/>
            <w:rtl w:val="0"/>
          </w:rPr>
          <w:t xml:space="preserve">https://www.bsa.org.uk/getmedia/4b40c04d-f257-441a-8d07-a687413fc276/BSA-Yearbook-2024-25-single.pdf</w:t>
        </w:r>
      </w:hyperlink>
      <w:r w:rsidDel="00000000" w:rsidR="00000000" w:rsidRPr="00000000">
        <w:rPr>
          <w:rtl w:val="0"/>
        </w:rPr>
      </w:r>
    </w:p>
    <w:p w:rsidR="00000000" w:rsidDel="00000000" w:rsidP="00000000" w:rsidRDefault="00000000" w:rsidRPr="00000000" w14:paraId="000002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Societies Trading Update June 2025, </w:t>
      </w:r>
      <w:hyperlink r:id="rId71">
        <w:r w:rsidDel="00000000" w:rsidR="00000000" w:rsidRPr="00000000">
          <w:rPr>
            <w:rFonts w:ascii="Google Sans" w:cs="Google Sans" w:eastAsia="Google Sans" w:hAnsi="Google Sans"/>
            <w:color w:val="0000ee"/>
            <w:sz w:val="24"/>
            <w:szCs w:val="24"/>
            <w:u w:val="single"/>
            <w:rtl w:val="0"/>
          </w:rPr>
          <w:t xml:space="preserve">https://www.bsa.org.uk/statistics/sector-info-performance/building-society-trading-updates/building-societies-trading-update-june-2025</w:t>
        </w:r>
      </w:hyperlink>
      <w:r w:rsidDel="00000000" w:rsidR="00000000" w:rsidRPr="00000000">
        <w:rPr>
          <w:rtl w:val="0"/>
        </w:rPr>
      </w:r>
    </w:p>
    <w:p w:rsidR="00000000" w:rsidDel="00000000" w:rsidP="00000000" w:rsidRDefault="00000000" w:rsidRPr="00000000" w14:paraId="000002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Annual Report - 2025 - Barclays PLC, </w:t>
      </w:r>
      <w:hyperlink r:id="rId72">
        <w:r w:rsidDel="00000000" w:rsidR="00000000" w:rsidRPr="00000000">
          <w:rPr>
            <w:rFonts w:ascii="Google Sans" w:cs="Google Sans" w:eastAsia="Google Sans" w:hAnsi="Google Sans"/>
            <w:color w:val="0000ee"/>
            <w:sz w:val="24"/>
            <w:szCs w:val="24"/>
            <w:u w:val="single"/>
            <w:rtl w:val="0"/>
          </w:rPr>
          <w:t xml:space="preserve">https://home.barclays/content/dam/home-barclays/documents/investor-relations/reports-and-events/annual-reports/2025/Barclays-PLC-Annual-Report-2025.pdf</w:t>
        </w:r>
      </w:hyperlink>
      <w:r w:rsidDel="00000000" w:rsidR="00000000" w:rsidRPr="00000000">
        <w:rPr>
          <w:rtl w:val="0"/>
        </w:rPr>
      </w:r>
    </w:p>
    <w:p w:rsidR="00000000" w:rsidDel="00000000" w:rsidP="00000000" w:rsidRDefault="00000000" w:rsidRPr="00000000" w14:paraId="000002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Starling Bank response to FCA Final Notice, </w:t>
      </w:r>
      <w:hyperlink r:id="rId73">
        <w:r w:rsidDel="00000000" w:rsidR="00000000" w:rsidRPr="00000000">
          <w:rPr>
            <w:rFonts w:ascii="Google Sans" w:cs="Google Sans" w:eastAsia="Google Sans" w:hAnsi="Google Sans"/>
            <w:color w:val="0000ee"/>
            <w:sz w:val="24"/>
            <w:szCs w:val="24"/>
            <w:u w:val="single"/>
            <w:rtl w:val="0"/>
          </w:rPr>
          <w:t xml:space="preserve">https://www.starlingbank.com/news/starling-bank-response-to-fca-final-notice/</w:t>
        </w:r>
      </w:hyperlink>
      <w:r w:rsidDel="00000000" w:rsidR="00000000" w:rsidRPr="00000000">
        <w:rPr>
          <w:rtl w:val="0"/>
        </w:rPr>
      </w:r>
    </w:p>
    <w:p w:rsidR="00000000" w:rsidDel="00000000" w:rsidP="00000000" w:rsidRDefault="00000000" w:rsidRPr="00000000" w14:paraId="000002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UK Enforcement Agencies Crack Down on Financial Crime Control, </w:t>
      </w:r>
      <w:hyperlink r:id="rId74">
        <w:r w:rsidDel="00000000" w:rsidR="00000000" w:rsidRPr="00000000">
          <w:rPr>
            <w:rFonts w:ascii="Google Sans" w:cs="Google Sans" w:eastAsia="Google Sans" w:hAnsi="Google Sans"/>
            <w:color w:val="0000ee"/>
            <w:sz w:val="24"/>
            <w:szCs w:val="24"/>
            <w:u w:val="single"/>
            <w:rtl w:val="0"/>
          </w:rPr>
          <w:t xml:space="preserve">https://www.gtlaw-londonlawblog.com/2024/10/uk-enforcement-agencies-crack-down-on-financial-crime-control-failures-sanctions-violations/</w:t>
        </w:r>
      </w:hyperlink>
      <w:r w:rsidDel="00000000" w:rsidR="00000000" w:rsidRPr="00000000">
        <w:rPr>
          <w:rtl w:val="0"/>
        </w:rPr>
      </w:r>
    </w:p>
    <w:p w:rsidR="00000000" w:rsidDel="00000000" w:rsidP="00000000" w:rsidRDefault="00000000" w:rsidRPr="00000000" w14:paraId="0000028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FCA fines Starling Bank £29m for failings in their financial crime, </w:t>
      </w:r>
      <w:hyperlink r:id="rId75">
        <w:r w:rsidDel="00000000" w:rsidR="00000000" w:rsidRPr="00000000">
          <w:rPr>
            <w:rFonts w:ascii="Google Sans" w:cs="Google Sans" w:eastAsia="Google Sans" w:hAnsi="Google Sans"/>
            <w:color w:val="0000ee"/>
            <w:sz w:val="24"/>
            <w:szCs w:val="24"/>
            <w:u w:val="single"/>
            <w:rtl w:val="0"/>
          </w:rPr>
          <w:t xml:space="preserve">https://www.fca.org.uk/news/press-releases/fca-fines-starling-bank-failings-financial-crime-systems-and-controls</w:t>
        </w:r>
      </w:hyperlink>
      <w:r w:rsidDel="00000000" w:rsidR="00000000" w:rsidRPr="00000000">
        <w:rPr>
          <w:rtl w:val="0"/>
        </w:rPr>
      </w:r>
    </w:p>
    <w:p w:rsidR="00000000" w:rsidDel="00000000" w:rsidP="00000000" w:rsidRDefault="00000000" w:rsidRPr="00000000" w14:paraId="0000028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Risk Management in an AI-Driven World [SS1/23] | Jaywing, </w:t>
      </w:r>
      <w:hyperlink r:id="rId76">
        <w:r w:rsidDel="00000000" w:rsidR="00000000" w:rsidRPr="00000000">
          <w:rPr>
            <w:rFonts w:ascii="Google Sans" w:cs="Google Sans" w:eastAsia="Google Sans" w:hAnsi="Google Sans"/>
            <w:color w:val="0000ee"/>
            <w:sz w:val="24"/>
            <w:szCs w:val="24"/>
            <w:u w:val="single"/>
            <w:rtl w:val="0"/>
          </w:rPr>
          <w:t xml:space="preserve">https://risk.jaywing.com/news-views/model-risk-management-in-an-ai-driven-world-ss1-23/</w:t>
        </w:r>
      </w:hyperlink>
      <w:r w:rsidDel="00000000" w:rsidR="00000000" w:rsidRPr="00000000">
        <w:rPr>
          <w:rtl w:val="0"/>
        </w:rPr>
      </w:r>
    </w:p>
    <w:p w:rsidR="00000000" w:rsidDel="00000000" w:rsidP="00000000" w:rsidRDefault="00000000" w:rsidRPr="00000000" w14:paraId="0000028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GRC Banking and Compliance Software for Financial Services, </w:t>
      </w:r>
      <w:hyperlink r:id="rId77">
        <w:r w:rsidDel="00000000" w:rsidR="00000000" w:rsidRPr="00000000">
          <w:rPr>
            <w:rFonts w:ascii="Google Sans" w:cs="Google Sans" w:eastAsia="Google Sans" w:hAnsi="Google Sans"/>
            <w:color w:val="0000ee"/>
            <w:sz w:val="24"/>
            <w:szCs w:val="24"/>
            <w:u w:val="single"/>
            <w:rtl w:val="0"/>
          </w:rPr>
          <w:t xml:space="preserve">https://www.metricstream.com/industries/banking-and-financial-services.htm</w:t>
        </w:r>
      </w:hyperlink>
      <w:r w:rsidDel="00000000" w:rsidR="00000000" w:rsidRPr="00000000">
        <w:rPr>
          <w:rtl w:val="0"/>
        </w:rPr>
      </w:r>
    </w:p>
    <w:p w:rsidR="00000000" w:rsidDel="00000000" w:rsidP="00000000" w:rsidRDefault="00000000" w:rsidRPr="00000000" w14:paraId="000002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6 Key Questions to Define Risk Control - Updated 2025 - Protecht, </w:t>
      </w:r>
      <w:hyperlink r:id="rId78">
        <w:r w:rsidDel="00000000" w:rsidR="00000000" w:rsidRPr="00000000">
          <w:rPr>
            <w:rFonts w:ascii="Google Sans" w:cs="Google Sans" w:eastAsia="Google Sans" w:hAnsi="Google Sans"/>
            <w:color w:val="0000ee"/>
            <w:sz w:val="24"/>
            <w:szCs w:val="24"/>
            <w:u w:val="single"/>
            <w:rtl w:val="0"/>
          </w:rPr>
          <w:t xml:space="preserve">https://www.protechtgroup.com/en-gb/blog/risk-management-controls</w:t>
        </w:r>
      </w:hyperlink>
      <w:r w:rsidDel="00000000" w:rsidR="00000000" w:rsidRPr="00000000">
        <w:rPr>
          <w:rtl w:val="0"/>
        </w:rPr>
      </w:r>
    </w:p>
    <w:p w:rsidR="00000000" w:rsidDel="00000000" w:rsidP="00000000" w:rsidRDefault="00000000" w:rsidRPr="00000000" w14:paraId="000002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Monzo AML Fine: What the FCA Found and the Lessons for Fintechs, </w:t>
      </w:r>
      <w:hyperlink r:id="rId79">
        <w:r w:rsidDel="00000000" w:rsidR="00000000" w:rsidRPr="00000000">
          <w:rPr>
            <w:rFonts w:ascii="Google Sans" w:cs="Google Sans" w:eastAsia="Google Sans" w:hAnsi="Google Sans"/>
            <w:color w:val="0000ee"/>
            <w:sz w:val="24"/>
            <w:szCs w:val="24"/>
            <w:u w:val="single"/>
            <w:rtl w:val="0"/>
          </w:rPr>
          <w:t xml:space="preserve">https://www.zyphe.com/resources/blog/monzo-aml-fine-lessons</w:t>
        </w:r>
      </w:hyperlink>
      <w:r w:rsidDel="00000000" w:rsidR="00000000" w:rsidRPr="00000000">
        <w:rPr>
          <w:rtl w:val="0"/>
        </w:rPr>
      </w:r>
    </w:p>
    <w:p w:rsidR="00000000" w:rsidDel="00000000" w:rsidP="00000000" w:rsidRDefault="00000000" w:rsidRPr="00000000" w14:paraId="000002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FCA fines Monzo Bank for financial crime failings - Practical Law, </w:t>
      </w:r>
      <w:hyperlink r:id="rId80">
        <w:r w:rsidDel="00000000" w:rsidR="00000000" w:rsidRPr="00000000">
          <w:rPr>
            <w:rFonts w:ascii="Google Sans" w:cs="Google Sans" w:eastAsia="Google Sans" w:hAnsi="Google Sans"/>
            <w:color w:val="0000ee"/>
            <w:sz w:val="24"/>
            <w:szCs w:val="24"/>
            <w:u w:val="single"/>
            <w:rtl w:val="0"/>
          </w:rPr>
          <w:t xml:space="preserve">https://uk.practicallaw.thomsonreuters.com/w-047-5186?transitionType=Default&amp;contextData=(sc.Default)</w:t>
        </w:r>
      </w:hyperlink>
      <w:r w:rsidDel="00000000" w:rsidR="00000000" w:rsidRPr="00000000">
        <w:rPr>
          <w:rtl w:val="0"/>
        </w:rPr>
      </w:r>
    </w:p>
    <w:p w:rsidR="00000000" w:rsidDel="00000000" w:rsidP="00000000" w:rsidRDefault="00000000" w:rsidRPr="00000000" w14:paraId="000002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FCA fine CB Payments Limited £3.5m for failures in implementing, </w:t>
      </w:r>
      <w:hyperlink r:id="rId81">
        <w:r w:rsidDel="00000000" w:rsidR="00000000" w:rsidRPr="00000000">
          <w:rPr>
            <w:rFonts w:ascii="Google Sans" w:cs="Google Sans" w:eastAsia="Google Sans" w:hAnsi="Google Sans"/>
            <w:color w:val="0000ee"/>
            <w:sz w:val="24"/>
            <w:szCs w:val="24"/>
            <w:u w:val="single"/>
            <w:rtl w:val="0"/>
          </w:rPr>
          <w:t xml:space="preserve">https://www.avyse.co.uk/regulatory-gap-analysis-templates/fca-fine-cb-payments-limited-35m-for-failures-in-implementing-voluntary-restrictions</w:t>
        </w:r>
      </w:hyperlink>
      <w:r w:rsidDel="00000000" w:rsidR="00000000" w:rsidRPr="00000000">
        <w:rPr>
          <w:rtl w:val="0"/>
        </w:rPr>
      </w:r>
    </w:p>
    <w:p w:rsidR="00000000" w:rsidDel="00000000" w:rsidP="00000000" w:rsidRDefault="00000000" w:rsidRPr="00000000" w14:paraId="000002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America's largest bank CEO Jamie Dimon makes it clear at earnings call that not giving AI Agents access t, </w:t>
      </w:r>
      <w:hyperlink r:id="rId82">
        <w:r w:rsidDel="00000000" w:rsidR="00000000" w:rsidRPr="00000000">
          <w:rPr>
            <w:rFonts w:ascii="Google Sans" w:cs="Google Sans" w:eastAsia="Google Sans" w:hAnsi="Google Sans"/>
            <w:color w:val="0000ee"/>
            <w:sz w:val="24"/>
            <w:szCs w:val="24"/>
            <w:u w:val="single"/>
            <w:rtl w:val="0"/>
          </w:rPr>
          <w:t xml:space="preserve">https://timesofindia.indiatimes.com/technology/tech-news/americas-largest-bank-ceo-jamie-dimon-makes-it-clear-at-earnings-call-that-not-giving-ai-agents-access-to-banks-data-calls-it-too-risky-for-clients-and-jpmorgan/articleshow/135063165.cms</w:t>
        </w:r>
      </w:hyperlink>
      <w:r w:rsidDel="00000000" w:rsidR="00000000" w:rsidRPr="00000000">
        <w:rPr>
          <w:rtl w:val="0"/>
        </w:rPr>
      </w:r>
    </w:p>
    <w:p w:rsidR="00000000" w:rsidDel="00000000" w:rsidP="00000000" w:rsidRDefault="00000000" w:rsidRPr="00000000" w14:paraId="000002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AML: Top Use Cases You Need To Know - SmartDev, </w:t>
      </w:r>
      <w:hyperlink r:id="rId83">
        <w:r w:rsidDel="00000000" w:rsidR="00000000" w:rsidRPr="00000000">
          <w:rPr>
            <w:rFonts w:ascii="Google Sans" w:cs="Google Sans" w:eastAsia="Google Sans" w:hAnsi="Google Sans"/>
            <w:color w:val="0000ee"/>
            <w:sz w:val="24"/>
            <w:szCs w:val="24"/>
            <w:u w:val="single"/>
            <w:rtl w:val="0"/>
          </w:rPr>
          <w:t xml:space="preserve">https://smartdev.com/ai-use-cases-in-aml/</w:t>
        </w:r>
      </w:hyperlink>
      <w:r w:rsidDel="00000000" w:rsidR="00000000" w:rsidRPr="00000000">
        <w:rPr>
          <w:rtl w:val="0"/>
        </w:rPr>
      </w:r>
    </w:p>
    <w:p w:rsidR="00000000" w:rsidDel="00000000" w:rsidP="00000000" w:rsidRDefault="00000000" w:rsidRPr="00000000" w14:paraId="000002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Financial Conduct Authority (FCA) and What Does It Do?, </w:t>
      </w:r>
      <w:hyperlink r:id="rId84">
        <w:r w:rsidDel="00000000" w:rsidR="00000000" w:rsidRPr="00000000">
          <w:rPr>
            <w:rFonts w:ascii="Google Sans" w:cs="Google Sans" w:eastAsia="Google Sans" w:hAnsi="Google Sans"/>
            <w:color w:val="0000ee"/>
            <w:sz w:val="24"/>
            <w:szCs w:val="24"/>
            <w:u w:val="single"/>
            <w:rtl w:val="0"/>
          </w:rPr>
          <w:t xml:space="preserve">https://crsolicitors.co.uk/financial-conduct-authority-fca/</w:t>
        </w:r>
      </w:hyperlink>
      <w:r w:rsidDel="00000000" w:rsidR="00000000" w:rsidRPr="00000000">
        <w:rPr>
          <w:rtl w:val="0"/>
        </w:rPr>
      </w:r>
    </w:p>
    <w:p w:rsidR="00000000" w:rsidDel="00000000" w:rsidP="00000000" w:rsidRDefault="00000000" w:rsidRPr="00000000" w14:paraId="000002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FCA fine Metro Bank £16m for transaction monitoring failings, </w:t>
      </w:r>
      <w:hyperlink r:id="rId85">
        <w:r w:rsidDel="00000000" w:rsidR="00000000" w:rsidRPr="00000000">
          <w:rPr>
            <w:rFonts w:ascii="Google Sans" w:cs="Google Sans" w:eastAsia="Google Sans" w:hAnsi="Google Sans"/>
            <w:color w:val="0000ee"/>
            <w:sz w:val="24"/>
            <w:szCs w:val="24"/>
            <w:u w:val="single"/>
            <w:rtl w:val="0"/>
          </w:rPr>
          <w:t xml:space="preserve">https://www.avyse.co.uk/regulatory-gap-analysis-templates/fca-fine-metro-bank-16m-for-transaction-monitoring-failings</w:t>
        </w:r>
      </w:hyperlink>
      <w:r w:rsidDel="00000000" w:rsidR="00000000" w:rsidRPr="00000000">
        <w:rPr>
          <w:rtl w:val="0"/>
        </w:rPr>
      </w:r>
    </w:p>
    <w:p w:rsidR="00000000" w:rsidDel="00000000" w:rsidP="00000000" w:rsidRDefault="00000000" w:rsidRPr="00000000" w14:paraId="000002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8 GRC Platforms for CPS230 and Resilience - Battleground Group, </w:t>
      </w:r>
      <w:hyperlink r:id="rId86">
        <w:r w:rsidDel="00000000" w:rsidR="00000000" w:rsidRPr="00000000">
          <w:rPr>
            <w:rFonts w:ascii="Google Sans" w:cs="Google Sans" w:eastAsia="Google Sans" w:hAnsi="Google Sans"/>
            <w:color w:val="0000ee"/>
            <w:sz w:val="24"/>
            <w:szCs w:val="24"/>
            <w:u w:val="single"/>
            <w:rtl w:val="0"/>
          </w:rPr>
          <w:t xml:space="preserve">https://www.battlegroundgroup.com/article/crisis-management-software-adoption-barriers-duplicate-17734/</w:t>
        </w:r>
      </w:hyperlink>
      <w:r w:rsidDel="00000000" w:rsidR="00000000" w:rsidRPr="00000000">
        <w:rPr>
          <w:rtl w:val="0"/>
        </w:rPr>
      </w:r>
    </w:p>
    <w:p w:rsidR="00000000" w:rsidDel="00000000" w:rsidP="00000000" w:rsidRDefault="00000000" w:rsidRPr="00000000" w14:paraId="000002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Emerging risks: Understanding, managing, and preparing ... - Protecht, </w:t>
      </w:r>
      <w:hyperlink r:id="rId87">
        <w:r w:rsidDel="00000000" w:rsidR="00000000" w:rsidRPr="00000000">
          <w:rPr>
            <w:rFonts w:ascii="Google Sans" w:cs="Google Sans" w:eastAsia="Google Sans" w:hAnsi="Google Sans"/>
            <w:color w:val="0000ee"/>
            <w:sz w:val="24"/>
            <w:szCs w:val="24"/>
            <w:u w:val="single"/>
            <w:rtl w:val="0"/>
          </w:rPr>
          <w:t xml:space="preserve">https://www.protechtgroup.com/en-gb/blog/emerging-risks-management-and-preparation</w:t>
        </w:r>
      </w:hyperlink>
      <w:r w:rsidDel="00000000" w:rsidR="00000000" w:rsidRPr="00000000">
        <w:rPr>
          <w:rtl w:val="0"/>
        </w:rPr>
      </w:r>
    </w:p>
    <w:p w:rsidR="00000000" w:rsidDel="00000000" w:rsidP="00000000" w:rsidRDefault="00000000" w:rsidRPr="00000000" w14:paraId="000002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Citi becomes latest US bank to restrict AI agents from accessing, </w:t>
      </w:r>
      <w:hyperlink r:id="rId88">
        <w:r w:rsidDel="00000000" w:rsidR="00000000" w:rsidRPr="00000000">
          <w:rPr>
            <w:rFonts w:ascii="Google Sans" w:cs="Google Sans" w:eastAsia="Google Sans" w:hAnsi="Google Sans"/>
            <w:color w:val="0000ee"/>
            <w:sz w:val="24"/>
            <w:szCs w:val="24"/>
            <w:u w:val="single"/>
            <w:rtl w:val="0"/>
          </w:rPr>
          <w:t xml:space="preserve">https://dealroom.co/news/other-1knxdh8-citi-becomes-latest-us-bank-to-restrict-ai-agents-from-accessing-account/</w:t>
        </w:r>
      </w:hyperlink>
      <w:r w:rsidDel="00000000" w:rsidR="00000000" w:rsidRPr="00000000">
        <w:rPr>
          <w:rtl w:val="0"/>
        </w:rPr>
      </w:r>
    </w:p>
    <w:p w:rsidR="00000000" w:rsidDel="00000000" w:rsidP="00000000" w:rsidRDefault="00000000" w:rsidRPr="00000000" w14:paraId="000002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JPMorgan and Other Wall Street Banks Restrict Access to AI Agent, </w:t>
      </w:r>
      <w:hyperlink r:id="rId89">
        <w:r w:rsidDel="00000000" w:rsidR="00000000" w:rsidRPr="00000000">
          <w:rPr>
            <w:rFonts w:ascii="Google Sans" w:cs="Google Sans" w:eastAsia="Google Sans" w:hAnsi="Google Sans"/>
            <w:color w:val="0000ee"/>
            <w:sz w:val="24"/>
            <w:szCs w:val="24"/>
            <w:u w:val="single"/>
            <w:rtl w:val="0"/>
          </w:rPr>
          <w:t xml:space="preserve">https://www.kucoin.com/news/flash/jpmorgan-and-other-wall-street-banks-restrict-ai-agent-trading-access</w:t>
        </w:r>
      </w:hyperlink>
      <w:r w:rsidDel="00000000" w:rsidR="00000000" w:rsidRPr="00000000">
        <w:rPr>
          <w:rtl w:val="0"/>
        </w:rPr>
      </w:r>
    </w:p>
    <w:p w:rsidR="00000000" w:rsidDel="00000000" w:rsidP="00000000" w:rsidRDefault="00000000" w:rsidRPr="00000000" w14:paraId="000002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AML AI in 3 minutes - Groundtruth AI, </w:t>
      </w:r>
      <w:hyperlink r:id="rId90">
        <w:r w:rsidDel="00000000" w:rsidR="00000000" w:rsidRPr="00000000">
          <w:rPr>
            <w:rFonts w:ascii="Google Sans" w:cs="Google Sans" w:eastAsia="Google Sans" w:hAnsi="Google Sans"/>
            <w:color w:val="0000ee"/>
            <w:sz w:val="24"/>
            <w:szCs w:val="24"/>
            <w:u w:val="single"/>
            <w:rtl w:val="0"/>
          </w:rPr>
          <w:t xml:space="preserve">https://groundtruthai.net/resources/google-aml-ai-in-three-minutes</w:t>
        </w:r>
      </w:hyperlink>
      <w:r w:rsidDel="00000000" w:rsidR="00000000" w:rsidRPr="00000000">
        <w:rPr>
          <w:rtl w:val="0"/>
        </w:rPr>
      </w:r>
    </w:p>
    <w:p w:rsidR="00000000" w:rsidDel="00000000" w:rsidP="00000000" w:rsidRDefault="00000000" w:rsidRPr="00000000" w14:paraId="000002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HSBC Dynamic Risk Assessment: AML &amp; Fraud Detection, </w:t>
      </w:r>
      <w:hyperlink r:id="rId91">
        <w:r w:rsidDel="00000000" w:rsidR="00000000" w:rsidRPr="00000000">
          <w:rPr>
            <w:rFonts w:ascii="Google Sans" w:cs="Google Sans" w:eastAsia="Google Sans" w:hAnsi="Google Sans"/>
            <w:color w:val="0000ee"/>
            <w:sz w:val="24"/>
            <w:szCs w:val="24"/>
            <w:u w:val="single"/>
            <w:rtl w:val="0"/>
          </w:rPr>
          <w:t xml:space="preserve">https://airepository.worldbank.org/use-case/hsbc-dynamic-risk-assessment-aml-fraud-detection</w:t>
        </w:r>
      </w:hyperlink>
      <w:r w:rsidDel="00000000" w:rsidR="00000000" w:rsidRPr="00000000">
        <w:rPr>
          <w:rtl w:val="0"/>
        </w:rPr>
      </w:r>
    </w:p>
    <w:p w:rsidR="00000000" w:rsidDel="00000000" w:rsidP="00000000" w:rsidRDefault="00000000" w:rsidRPr="00000000" w14:paraId="000002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HSBC: CLOUD-BASED FINANCIAL CRIME DETECTION AT SCALE, </w:t>
      </w:r>
      <w:hyperlink r:id="rId92">
        <w:r w:rsidDel="00000000" w:rsidR="00000000" w:rsidRPr="00000000">
          <w:rPr>
            <w:rFonts w:ascii="Google Sans" w:cs="Google Sans" w:eastAsia="Google Sans" w:hAnsi="Google Sans"/>
            <w:color w:val="0000ee"/>
            <w:sz w:val="24"/>
            <w:szCs w:val="24"/>
            <w:u w:val="single"/>
            <w:rtl w:val="0"/>
          </w:rPr>
          <w:t xml:space="preserve">https://services.google.com/fh/files/misc/hsbc_celent_model_risk_manager_of_the_year_2023.pdf</w:t>
        </w:r>
      </w:hyperlink>
      <w:r w:rsidDel="00000000" w:rsidR="00000000" w:rsidRPr="00000000">
        <w:rPr>
          <w:rtl w:val="0"/>
        </w:rPr>
      </w:r>
    </w:p>
    <w:p w:rsidR="00000000" w:rsidDel="00000000" w:rsidP="00000000" w:rsidRDefault="00000000" w:rsidRPr="00000000" w14:paraId="000002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Unveils AI-Powered Anti Money Laundering Product, </w:t>
      </w:r>
      <w:hyperlink r:id="rId93">
        <w:r w:rsidDel="00000000" w:rsidR="00000000" w:rsidRPr="00000000">
          <w:rPr>
            <w:rFonts w:ascii="Google Sans" w:cs="Google Sans" w:eastAsia="Google Sans" w:hAnsi="Google Sans"/>
            <w:color w:val="0000ee"/>
            <w:sz w:val="24"/>
            <w:szCs w:val="24"/>
            <w:u w:val="single"/>
            <w:rtl w:val="0"/>
          </w:rPr>
          <w:t xml:space="preserve">https://channeldrive.in/cloud-computing/google-cloud-unveils-ai-powered-anti-money-laundering-product/</w:t>
        </w:r>
      </w:hyperlink>
      <w:r w:rsidDel="00000000" w:rsidR="00000000" w:rsidRPr="00000000">
        <w:rPr>
          <w:rtl w:val="0"/>
        </w:rPr>
      </w:r>
    </w:p>
    <w:p w:rsidR="00000000" w:rsidDel="00000000" w:rsidP="00000000" w:rsidRDefault="00000000" w:rsidRPr="00000000" w14:paraId="000002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Launches AI-Powered Anti Money Laundering, </w:t>
      </w:r>
      <w:hyperlink r:id="rId94">
        <w:r w:rsidDel="00000000" w:rsidR="00000000" w:rsidRPr="00000000">
          <w:rPr>
            <w:rFonts w:ascii="Google Sans" w:cs="Google Sans" w:eastAsia="Google Sans" w:hAnsi="Google Sans"/>
            <w:color w:val="0000ee"/>
            <w:sz w:val="24"/>
            <w:szCs w:val="24"/>
            <w:u w:val="single"/>
            <w:rtl w:val="0"/>
          </w:rPr>
          <w:t xml:space="preserve">https://www.googlecloudpresscorner.com/2023-06-21-Google-Cloud-Launches-AI-Powered-Anti-Money-Laundering-Product-for-Financial-Institutions</w:t>
        </w:r>
      </w:hyperlink>
      <w:r w:rsidDel="00000000" w:rsidR="00000000" w:rsidRPr="00000000">
        <w:rPr>
          <w:rtl w:val="0"/>
        </w:rPr>
      </w:r>
    </w:p>
    <w:p w:rsidR="00000000" w:rsidDel="00000000" w:rsidP="00000000" w:rsidRDefault="00000000" w:rsidRPr="00000000" w14:paraId="000002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 and test models designed to detect money laundering, </w:t>
      </w:r>
      <w:hyperlink r:id="rId95">
        <w:r w:rsidDel="00000000" w:rsidR="00000000" w:rsidRPr="00000000">
          <w:rPr>
            <w:rFonts w:ascii="Google Sans" w:cs="Google Sans" w:eastAsia="Google Sans" w:hAnsi="Google Sans"/>
            <w:color w:val="0000ee"/>
            <w:sz w:val="24"/>
            <w:szCs w:val="24"/>
            <w:u w:val="single"/>
            <w:rtl w:val="0"/>
          </w:rPr>
          <w:t xml:space="preserve">https://docs.cloud.google.com/financial-services/anti-money-laundering/docs/train-models-to-detect-money-laundering</w:t>
        </w:r>
      </w:hyperlink>
      <w:r w:rsidDel="00000000" w:rsidR="00000000" w:rsidRPr="00000000">
        <w:rPr>
          <w:rtl w:val="0"/>
        </w:rPr>
      </w:r>
    </w:p>
    <w:p w:rsidR="00000000" w:rsidDel="00000000" w:rsidP="00000000" w:rsidRDefault="00000000" w:rsidRPr="00000000" w14:paraId="000002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societies outpace the big banks in mortgage and savings, </w:t>
      </w:r>
      <w:hyperlink r:id="rId96">
        <w:r w:rsidDel="00000000" w:rsidR="00000000" w:rsidRPr="00000000">
          <w:rPr>
            <w:rFonts w:ascii="Google Sans" w:cs="Google Sans" w:eastAsia="Google Sans" w:hAnsi="Google Sans"/>
            <w:color w:val="0000ee"/>
            <w:sz w:val="24"/>
            <w:szCs w:val="24"/>
            <w:u w:val="single"/>
            <w:rtl w:val="0"/>
          </w:rPr>
          <w:t xml:space="preserve">https://www.mpamag.com/uk/mortgage-industry/market-trends/building-societies-outpace-the-big-banks-in-mortgage-and-savings-surge/558237</w:t>
        </w:r>
      </w:hyperlink>
      <w:r w:rsidDel="00000000" w:rsidR="00000000" w:rsidRPr="00000000">
        <w:rPr>
          <w:rtl w:val="0"/>
        </w:rPr>
      </w:r>
    </w:p>
    <w:p w:rsidR="00000000" w:rsidDel="00000000" w:rsidP="00000000" w:rsidRDefault="00000000" w:rsidRPr="00000000" w14:paraId="000002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BSA statistics - The Building Societies Association, </w:t>
      </w:r>
      <w:hyperlink r:id="rId97">
        <w:r w:rsidDel="00000000" w:rsidR="00000000" w:rsidRPr="00000000">
          <w:rPr>
            <w:rFonts w:ascii="Google Sans" w:cs="Google Sans" w:eastAsia="Google Sans" w:hAnsi="Google Sans"/>
            <w:color w:val="0000ee"/>
            <w:sz w:val="24"/>
            <w:szCs w:val="24"/>
            <w:u w:val="single"/>
            <w:rtl w:val="0"/>
          </w:rPr>
          <w:t xml:space="preserve">https://www.bsa.org.uk/statistics/latest-bsa-statistics</w:t>
        </w:r>
      </w:hyperlink>
      <w:r w:rsidDel="00000000" w:rsidR="00000000" w:rsidRPr="00000000">
        <w:rPr>
          <w:rtl w:val="0"/>
        </w:rPr>
      </w:r>
    </w:p>
    <w:p w:rsidR="00000000" w:rsidDel="00000000" w:rsidP="00000000" w:rsidRDefault="00000000" w:rsidRPr="00000000" w14:paraId="000002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society sector continues to grow - Credit Connect, </w:t>
      </w:r>
      <w:hyperlink r:id="rId98">
        <w:r w:rsidDel="00000000" w:rsidR="00000000" w:rsidRPr="00000000">
          <w:rPr>
            <w:rFonts w:ascii="Google Sans" w:cs="Google Sans" w:eastAsia="Google Sans" w:hAnsi="Google Sans"/>
            <w:color w:val="0000ee"/>
            <w:sz w:val="24"/>
            <w:szCs w:val="24"/>
            <w:u w:val="single"/>
            <w:rtl w:val="0"/>
          </w:rPr>
          <w:t xml:space="preserve">https://www.credit-connect.co.uk/news/building-society-sector-continues-to-grow/</w:t>
        </w:r>
      </w:hyperlink>
      <w:r w:rsidDel="00000000" w:rsidR="00000000" w:rsidRPr="00000000">
        <w:rPr>
          <w:rtl w:val="0"/>
        </w:rPr>
      </w:r>
    </w:p>
    <w:p w:rsidR="00000000" w:rsidDel="00000000" w:rsidP="00000000" w:rsidRDefault="00000000" w:rsidRPr="00000000" w14:paraId="000002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Rebuilding Societies: How Mutuals Can ... - SPQR Articles &amp; Blogs, </w:t>
      </w:r>
      <w:hyperlink r:id="rId99">
        <w:r w:rsidDel="00000000" w:rsidR="00000000" w:rsidRPr="00000000">
          <w:rPr>
            <w:rFonts w:ascii="Google Sans" w:cs="Google Sans" w:eastAsia="Google Sans" w:hAnsi="Google Sans"/>
            <w:color w:val="0000ee"/>
            <w:sz w:val="24"/>
            <w:szCs w:val="24"/>
            <w:u w:val="single"/>
            <w:rtl w:val="0"/>
          </w:rPr>
          <w:t xml:space="preserve">https://www.wearespqr.com/blog-posts/navigating-regulation-pr-mutuals-cash-isa-raid</w:t>
        </w:r>
      </w:hyperlink>
      <w:r w:rsidDel="00000000" w:rsidR="00000000" w:rsidRPr="00000000">
        <w:rPr>
          <w:rtl w:val="0"/>
        </w:rPr>
      </w:r>
    </w:p>
    <w:p w:rsidR="00000000" w:rsidDel="00000000" w:rsidP="00000000" w:rsidRDefault="00000000" w:rsidRPr="00000000" w14:paraId="000002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society sector sees steady growth as consumers look for, </w:t>
      </w:r>
      <w:hyperlink r:id="rId100">
        <w:r w:rsidDel="00000000" w:rsidR="00000000" w:rsidRPr="00000000">
          <w:rPr>
            <w:rFonts w:ascii="Google Sans" w:cs="Google Sans" w:eastAsia="Google Sans" w:hAnsi="Google Sans"/>
            <w:color w:val="0000ee"/>
            <w:sz w:val="24"/>
            <w:szCs w:val="24"/>
            <w:u w:val="single"/>
            <w:rtl w:val="0"/>
          </w:rPr>
          <w:t xml:space="preserve">https://modernlender.co.uk/building-society-sector-sees-steady-growth-as-consumers-look-for-better-value.html</w:t>
        </w:r>
      </w:hyperlink>
      <w:r w:rsidDel="00000000" w:rsidR="00000000" w:rsidRPr="00000000">
        <w:rPr>
          <w:rtl w:val="0"/>
        </w:rPr>
      </w:r>
    </w:p>
    <w:p w:rsidR="00000000" w:rsidDel="00000000" w:rsidP="00000000" w:rsidRDefault="00000000" w:rsidRPr="00000000" w14:paraId="000002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Risk Management Advisory Services - ERM ... - Protecht, </w:t>
      </w:r>
      <w:hyperlink r:id="rId101">
        <w:r w:rsidDel="00000000" w:rsidR="00000000" w:rsidRPr="00000000">
          <w:rPr>
            <w:rFonts w:ascii="Google Sans" w:cs="Google Sans" w:eastAsia="Google Sans" w:hAnsi="Google Sans"/>
            <w:color w:val="0000ee"/>
            <w:sz w:val="24"/>
            <w:szCs w:val="24"/>
            <w:u w:val="single"/>
            <w:rtl w:val="0"/>
          </w:rPr>
          <w:t xml:space="preserve">https://www.protechtgroup.com/en-gb/customer-success</w:t>
        </w:r>
      </w:hyperlink>
      <w:r w:rsidDel="00000000" w:rsidR="00000000" w:rsidRPr="00000000">
        <w:rPr>
          <w:rtl w:val="0"/>
        </w:rPr>
      </w:r>
    </w:p>
    <w:p w:rsidR="00000000" w:rsidDel="00000000" w:rsidP="00000000" w:rsidRDefault="00000000" w:rsidRPr="00000000" w14:paraId="000002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Simple risk and control self-assessment (RCSA) framework. - Protecht, </w:t>
      </w:r>
      <w:hyperlink r:id="rId102">
        <w:r w:rsidDel="00000000" w:rsidR="00000000" w:rsidRPr="00000000">
          <w:rPr>
            <w:rFonts w:ascii="Google Sans" w:cs="Google Sans" w:eastAsia="Google Sans" w:hAnsi="Google Sans"/>
            <w:color w:val="0000ee"/>
            <w:sz w:val="24"/>
            <w:szCs w:val="24"/>
            <w:u w:val="single"/>
            <w:rtl w:val="0"/>
          </w:rPr>
          <w:t xml:space="preserve">https://www.protechtgroup.com/en-gb/guides/risk-controls-self-assessment-template</w:t>
        </w:r>
      </w:hyperlink>
      <w:r w:rsidDel="00000000" w:rsidR="00000000" w:rsidRPr="00000000">
        <w:rPr>
          <w:rtl w:val="0"/>
        </w:rPr>
      </w:r>
    </w:p>
    <w:p w:rsidR="00000000" w:rsidDel="00000000" w:rsidP="00000000" w:rsidRDefault="00000000" w:rsidRPr="00000000" w14:paraId="000002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Barclays PLC - Annual Report - 2025 - Lobbyregister, </w:t>
      </w:r>
      <w:hyperlink r:id="rId103">
        <w:r w:rsidDel="00000000" w:rsidR="00000000" w:rsidRPr="00000000">
          <w:rPr>
            <w:rFonts w:ascii="Google Sans" w:cs="Google Sans" w:eastAsia="Google Sans" w:hAnsi="Google Sans"/>
            <w:color w:val="0000ee"/>
            <w:sz w:val="24"/>
            <w:szCs w:val="24"/>
            <w:u w:val="single"/>
            <w:rtl w:val="0"/>
          </w:rPr>
          <w:t xml:space="preserve">https://www.lobbyregister.bundestag.de/media/ee/49/778839/Barclays-PLC-Annual-Report-2025.pdf</w:t>
        </w:r>
      </w:hyperlink>
      <w:r w:rsidDel="00000000" w:rsidR="00000000" w:rsidRPr="00000000">
        <w:rPr>
          <w:rtl w:val="0"/>
        </w:rPr>
      </w:r>
    </w:p>
    <w:p w:rsidR="00000000" w:rsidDel="00000000" w:rsidP="00000000" w:rsidRDefault="00000000" w:rsidRPr="00000000" w14:paraId="000002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risk management solution for ERM excellence - Ideagen, </w:t>
      </w:r>
      <w:hyperlink r:id="rId104">
        <w:r w:rsidDel="00000000" w:rsidR="00000000" w:rsidRPr="00000000">
          <w:rPr>
            <w:rFonts w:ascii="Google Sans" w:cs="Google Sans" w:eastAsia="Google Sans" w:hAnsi="Google Sans"/>
            <w:color w:val="0000ee"/>
            <w:sz w:val="24"/>
            <w:szCs w:val="24"/>
            <w:u w:val="single"/>
            <w:rtl w:val="0"/>
          </w:rPr>
          <w:t xml:space="preserve">https://www.ideagen.com/solutions/compliance/enterprise-risk-management</w:t>
        </w:r>
      </w:hyperlink>
      <w:r w:rsidDel="00000000" w:rsidR="00000000" w:rsidRPr="00000000">
        <w:rPr>
          <w:rtl w:val="0"/>
        </w:rPr>
      </w:r>
    </w:p>
    <w:p w:rsidR="00000000" w:rsidDel="00000000" w:rsidP="00000000" w:rsidRDefault="00000000" w:rsidRPr="00000000" w14:paraId="000002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regulatory intelligence? How it works and examples - Ideagen, </w:t>
      </w:r>
      <w:hyperlink r:id="rId105">
        <w:r w:rsidDel="00000000" w:rsidR="00000000" w:rsidRPr="00000000">
          <w:rPr>
            <w:rFonts w:ascii="Google Sans" w:cs="Google Sans" w:eastAsia="Google Sans" w:hAnsi="Google Sans"/>
            <w:color w:val="0000ee"/>
            <w:sz w:val="24"/>
            <w:szCs w:val="24"/>
            <w:u w:val="single"/>
            <w:rtl w:val="0"/>
          </w:rPr>
          <w:t xml:space="preserve">https://www.ideagen.com/thought-leadership/blog/What-Is-Regulatory-Intelligence</w:t>
        </w:r>
      </w:hyperlink>
      <w:r w:rsidDel="00000000" w:rsidR="00000000" w:rsidRPr="00000000">
        <w:rPr>
          <w:rtl w:val="0"/>
        </w:rPr>
      </w:r>
    </w:p>
    <w:p w:rsidR="00000000" w:rsidDel="00000000" w:rsidP="00000000" w:rsidRDefault="00000000" w:rsidRPr="00000000" w14:paraId="000002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Consumer Duty: Regulatory Developments &amp; Resources, </w:t>
      </w:r>
      <w:hyperlink r:id="rId106">
        <w:r w:rsidDel="00000000" w:rsidR="00000000" w:rsidRPr="00000000">
          <w:rPr>
            <w:rFonts w:ascii="Google Sans" w:cs="Google Sans" w:eastAsia="Google Sans" w:hAnsi="Google Sans"/>
            <w:color w:val="0000ee"/>
            <w:sz w:val="24"/>
            <w:szCs w:val="24"/>
            <w:u w:val="single"/>
            <w:rtl w:val="0"/>
          </w:rPr>
          <w:t xml:space="preserve">https://www.theia.org/industry-policy-and-current-initiatives/consumer-duty/regulatory-developments-resources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leedsbuildingsociety.co.uk/_resources/pdfs/your-society-pdfs/agm/2025/annual-report-accounts-2025.pdf" TargetMode="External"/><Relationship Id="rId42" Type="http://schemas.openxmlformats.org/officeDocument/2006/relationships/hyperlink" Target="https://www.slideshare.net/slideshow/irm-risk-appetite/9259686" TargetMode="External"/><Relationship Id="rId41" Type="http://schemas.openxmlformats.org/officeDocument/2006/relationships/hyperlink" Target="https://www.leedsbuildingsociety.co.uk/_resources/pdfs/press-pdfs/financial-results-pdfs/2025-annual-report-and-accounts.pdf" TargetMode="External"/><Relationship Id="rId44" Type="http://schemas.openxmlformats.org/officeDocument/2006/relationships/hyperlink" Target="https://www.skiptongroup.com/wp-content/uploads/2026/02/annual-report-and-accounts-2025.pdf" TargetMode="External"/><Relationship Id="rId43" Type="http://schemas.openxmlformats.org/officeDocument/2006/relationships/hyperlink" Target="https://www.grantthornton.co.uk/insights/building-societies-operational-and-financial-resilience-are-key/" TargetMode="External"/><Relationship Id="rId46" Type="http://schemas.openxmlformats.org/officeDocument/2006/relationships/hyperlink" Target="https://www.whitecapconsulting.co.uk/articles/building-societies-blog-series-mortgages/" TargetMode="External"/><Relationship Id="rId45" Type="http://schemas.openxmlformats.org/officeDocument/2006/relationships/hyperlink" Target="https://www.thenottingham.com/media/lxbjhahg/2025-annual-report.pdf" TargetMode="External"/><Relationship Id="rId106" Type="http://schemas.openxmlformats.org/officeDocument/2006/relationships/hyperlink" Target="https://www.theia.org/industry-policy-and-current-initiatives/consumer-duty/regulatory-developments-resources" TargetMode="External"/><Relationship Id="rId105" Type="http://schemas.openxmlformats.org/officeDocument/2006/relationships/hyperlink" Target="https://www.ideagen.com/thought-leadership/blog/What-Is-Regulatory-Intelligence" TargetMode="External"/><Relationship Id="rId104" Type="http://schemas.openxmlformats.org/officeDocument/2006/relationships/hyperlink" Target="https://www.ideagen.com/solutions/compliance/enterprise-risk-management" TargetMode="External"/><Relationship Id="rId48" Type="http://schemas.openxmlformats.org/officeDocument/2006/relationships/hyperlink" Target="https://www.garp.org/risk-insights-resources" TargetMode="External"/><Relationship Id="rId47" Type="http://schemas.openxmlformats.org/officeDocument/2006/relationships/hyperlink" Target="https://www.stephensonharwood.com/insights/starling-bank-fined-29-million-for-financial-crime-systems-and-controls-failings/" TargetMode="External"/><Relationship Id="rId49" Type="http://schemas.openxmlformats.org/officeDocument/2006/relationships/hyperlink" Target="https://www.londonstockexchange.com/news-article/NBS/annual-financial-report/16483925" TargetMode="External"/><Relationship Id="rId103" Type="http://schemas.openxmlformats.org/officeDocument/2006/relationships/hyperlink" Target="https://www.lobbyregister.bundestag.de/media/ee/49/778839/Barclays-PLC-Annual-Report-2025.pdf" TargetMode="External"/><Relationship Id="rId102" Type="http://schemas.openxmlformats.org/officeDocument/2006/relationships/hyperlink" Target="https://www.protechtgroup.com/en-gb/guides/risk-controls-self-assessment-template" TargetMode="External"/><Relationship Id="rId101" Type="http://schemas.openxmlformats.org/officeDocument/2006/relationships/hyperlink" Target="https://www.protechtgroup.com/en-gb/customer-success" TargetMode="External"/><Relationship Id="rId100" Type="http://schemas.openxmlformats.org/officeDocument/2006/relationships/hyperlink" Target="https://modernlender.co.uk/building-society-sector-sees-steady-growth-as-consumers-look-for-better-value.html" TargetMode="External"/><Relationship Id="rId31" Type="http://schemas.openxmlformats.org/officeDocument/2006/relationships/hyperlink" Target="https://cloud.google.com/anti-money-laundering-ai/sla" TargetMode="External"/><Relationship Id="rId30" Type="http://schemas.openxmlformats.org/officeDocument/2006/relationships/hyperlink" Target="https://www.protechtgroup.com/en-gb/knowledge-hub" TargetMode="External"/><Relationship Id="rId33" Type="http://schemas.openxmlformats.org/officeDocument/2006/relationships/hyperlink" Target="https://www.leedsbuildingsociety.co.uk/_resources/pdfs/press-pdfs/financial-results-pdfs/pillar-3-disclosures-2025.pdf" TargetMode="External"/><Relationship Id="rId32" Type="http://schemas.openxmlformats.org/officeDocument/2006/relationships/hyperlink" Target="https://www.skipton.co.uk/content/dam/sbs-sites/skipton-co-uk/documents/about-us/financial-results/2024/half-yearly-financial-results-2024.pdf" TargetMode="External"/><Relationship Id="rId35" Type="http://schemas.openxmlformats.org/officeDocument/2006/relationships/hyperlink" Target="https://cdn.prod.nntech.io/company-events/reports/0874ad25-26a1-37e9-8d97-926640d02d06/report.pdf" TargetMode="External"/><Relationship Id="rId34" Type="http://schemas.openxmlformats.org/officeDocument/2006/relationships/hyperlink" Target="https://oaknorth.co.uk/wp-content/uploads/2025/03/Annual_Report_2024.pdf" TargetMode="External"/><Relationship Id="rId37" Type="http://schemas.openxmlformats.org/officeDocument/2006/relationships/hyperlink" Target="https://docs.publicnow.com/viewDoc.aspx?filename=167184%5CEXT%5C26B33723950660A75F2A977959A1F195A73012FA_D7D0835A1310AD62A2F8340EDA1DB11318749664.PDF" TargetMode="External"/><Relationship Id="rId36" Type="http://schemas.openxmlformats.org/officeDocument/2006/relationships/hyperlink" Target="https://www.nationwide.co.uk/-/assets/nationwidecouk/documents/about/how-we-are-run/results-and-accounts/2025-2026/interim-results-september-2025.pdf" TargetMode="External"/><Relationship Id="rId39" Type="http://schemas.openxmlformats.org/officeDocument/2006/relationships/hyperlink" Target="https://stgmkrreport.blob.core.windows.net/web/21380071539WSMTM4410-2025-12-31-1.html?sp=r&amp;st=2026-04-01T10:21:59Z&amp;se=2027-04-01T18:36:59Z&amp;spr=https&amp;sv=2024-11-04&amp;sr=b&amp;sig=q8QBeDoyj410ZeQeM7xCJ%2Br6fTwUUPOUx5KfhUdwC6o%3D" TargetMode="External"/><Relationship Id="rId38" Type="http://schemas.openxmlformats.org/officeDocument/2006/relationships/hyperlink" Target="https://riskpublishing.com/best-key-risk-indicators/" TargetMode="External"/><Relationship Id="rId20" Type="http://schemas.openxmlformats.org/officeDocument/2006/relationships/hyperlink" Target="https://www.scribd.com/document/773250880/37-Articulating-Operational-Risk-appetite" TargetMode="External"/><Relationship Id="rId22" Type="http://schemas.openxmlformats.org/officeDocument/2006/relationships/hyperlink" Target="https://www.centraleyes.com/6-best-operational-risk-management-software-platforms-in-2026/" TargetMode="External"/><Relationship Id="rId21" Type="http://schemas.openxmlformats.org/officeDocument/2006/relationships/hyperlink" Target="https://www.protechtgroup.com/en-gb/academy/risk-and-control-self-assessment" TargetMode="External"/><Relationship Id="rId24" Type="http://schemas.openxmlformats.org/officeDocument/2006/relationships/hyperlink" Target="https://www.bankingnewsai.com/ai-incidents/starling-2024-fca-automated-sanctions-screening" TargetMode="External"/><Relationship Id="rId23" Type="http://schemas.openxmlformats.org/officeDocument/2006/relationships/hyperlink" Target="https://www.nationwide.co.uk/-/assets/nationwidecouk/documents/about/how-we-are-run/results-and-accounts/2025-2026/2026-preliminary-results.pdf" TargetMode="External"/><Relationship Id="rId26" Type="http://schemas.openxmlformats.org/officeDocument/2006/relationships/hyperlink" Target="https://www.protechtgroup.com/en-gb/blog/the-three-lines-model-internal-audit-risk-management" TargetMode="External"/><Relationship Id="rId25" Type="http://schemas.openxmlformats.org/officeDocument/2006/relationships/hyperlink" Target="https://www.nationwide.co.uk/-/assets/nationwidecouk/documents/about/how-we-are-run/results-and-accounts/2023-2024/annual-report-and-accounts-2024.pdf" TargetMode="External"/><Relationship Id="rId28" Type="http://schemas.openxmlformats.org/officeDocument/2006/relationships/hyperlink" Target="https://www.learnsignal.com/blog/metro-bank-fca-final-notice-16-7-million-automated-transaction-monitoring-data-feed-failure-guide/" TargetMode="External"/><Relationship Id="rId27" Type="http://schemas.openxmlformats.org/officeDocument/2006/relationships/hyperlink" Target="https://www.learnsignal.com/blog/cb-payments-fca-final-notice-voluntary-requirement-high-risk-customer-onboarding-failures-guide/" TargetMode="External"/><Relationship Id="rId29" Type="http://schemas.openxmlformats.org/officeDocument/2006/relationships/hyperlink" Target="https://www.fca.org.uk/publication/final-notices/starling-bank-limited-2024.pdf" TargetMode="External"/><Relationship Id="rId95" Type="http://schemas.openxmlformats.org/officeDocument/2006/relationships/hyperlink" Target="https://docs.cloud.google.com/financial-services/anti-money-laundering/docs/train-models-to-detect-money-laundering" TargetMode="External"/><Relationship Id="rId94" Type="http://schemas.openxmlformats.org/officeDocument/2006/relationships/hyperlink" Target="https://www.googlecloudpresscorner.com/2023-06-21-Google-Cloud-Launches-AI-Powered-Anti-Money-Laundering-Product-for-Financial-Institutions" TargetMode="External"/><Relationship Id="rId97" Type="http://schemas.openxmlformats.org/officeDocument/2006/relationships/hyperlink" Target="https://www.bsa.org.uk/statistics/latest-bsa-statistics" TargetMode="External"/><Relationship Id="rId96" Type="http://schemas.openxmlformats.org/officeDocument/2006/relationships/hyperlink" Target="https://www.mpamag.com/uk/mortgage-industry/market-trends/building-societies-outpace-the-big-banks-in-mortgage-and-savings-surge/558237" TargetMode="External"/><Relationship Id="rId11" Type="http://schemas.openxmlformats.org/officeDocument/2006/relationships/image" Target="media/image7.png"/><Relationship Id="rId99" Type="http://schemas.openxmlformats.org/officeDocument/2006/relationships/hyperlink" Target="https://www.wearespqr.com/blog-posts/navigating-regulation-pr-mutuals-cash-isa-raid" TargetMode="External"/><Relationship Id="rId10" Type="http://schemas.openxmlformats.org/officeDocument/2006/relationships/image" Target="media/image10.png"/><Relationship Id="rId98" Type="http://schemas.openxmlformats.org/officeDocument/2006/relationships/hyperlink" Target="https://www.credit-connect.co.uk/news/building-society-sector-continues-to-grow/" TargetMode="External"/><Relationship Id="rId13" Type="http://schemas.openxmlformats.org/officeDocument/2006/relationships/image" Target="media/image9.png"/><Relationship Id="rId12" Type="http://schemas.openxmlformats.org/officeDocument/2006/relationships/image" Target="media/image13.png"/><Relationship Id="rId91" Type="http://schemas.openxmlformats.org/officeDocument/2006/relationships/hyperlink" Target="https://airepository.worldbank.org/use-case/hsbc-dynamic-risk-assessment-aml-fraud-detection" TargetMode="External"/><Relationship Id="rId90" Type="http://schemas.openxmlformats.org/officeDocument/2006/relationships/hyperlink" Target="https://groundtruthai.net/resources/google-aml-ai-in-three-minutes" TargetMode="External"/><Relationship Id="rId93" Type="http://schemas.openxmlformats.org/officeDocument/2006/relationships/hyperlink" Target="https://channeldrive.in/cloud-computing/google-cloud-unveils-ai-powered-anti-money-laundering-product/" TargetMode="External"/><Relationship Id="rId92" Type="http://schemas.openxmlformats.org/officeDocument/2006/relationships/hyperlink" Target="https://services.google.com/fh/files/misc/hsbc_celent_model_risk_manager_of_the_year_2023.pdf" TargetMode="External"/><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12.png"/><Relationship Id="rId19" Type="http://schemas.openxmlformats.org/officeDocument/2006/relationships/hyperlink" Target="https://www.nationwide.co.uk/-/assets/nationwidecouk/documents/about/how-we-are-run/results-and-accounts/2024-2025/nationwide-sub-group-pillar-3-disclosures-2025.pdf" TargetMode="External"/><Relationship Id="rId18" Type="http://schemas.openxmlformats.org/officeDocument/2006/relationships/image" Target="media/image4.png"/><Relationship Id="rId84" Type="http://schemas.openxmlformats.org/officeDocument/2006/relationships/hyperlink" Target="https://crsolicitors.co.uk/financial-conduct-authority-fca/" TargetMode="External"/><Relationship Id="rId83" Type="http://schemas.openxmlformats.org/officeDocument/2006/relationships/hyperlink" Target="https://smartdev.com/ai-use-cases-in-aml/" TargetMode="External"/><Relationship Id="rId86" Type="http://schemas.openxmlformats.org/officeDocument/2006/relationships/hyperlink" Target="https://www.battlegroundgroup.com/article/crisis-management-software-adoption-barriers-duplicate-17734/" TargetMode="External"/><Relationship Id="rId85" Type="http://schemas.openxmlformats.org/officeDocument/2006/relationships/hyperlink" Target="https://www.avyse.co.uk/regulatory-gap-analysis-templates/fca-fine-metro-bank-16m-for-transaction-monitoring-failings" TargetMode="External"/><Relationship Id="rId88" Type="http://schemas.openxmlformats.org/officeDocument/2006/relationships/hyperlink" Target="https://dealroom.co/news/other-1knxdh8-citi-becomes-latest-us-bank-to-restrict-ai-agents-from-accessing-account/" TargetMode="External"/><Relationship Id="rId87" Type="http://schemas.openxmlformats.org/officeDocument/2006/relationships/hyperlink" Target="https://www.protechtgroup.com/en-gb/blog/emerging-risks-management-and-preparation" TargetMode="External"/><Relationship Id="rId89" Type="http://schemas.openxmlformats.org/officeDocument/2006/relationships/hyperlink" Target="https://www.kucoin.com/news/flash/jpmorgan-and-other-wall-street-banks-restrict-ai-agent-trading-access" TargetMode="External"/><Relationship Id="rId80" Type="http://schemas.openxmlformats.org/officeDocument/2006/relationships/hyperlink" Target="https://uk.practicallaw.thomsonreuters.com/w-047-5186?transitionType=Default&amp;contextData=(sc.Default)" TargetMode="External"/><Relationship Id="rId82" Type="http://schemas.openxmlformats.org/officeDocument/2006/relationships/hyperlink" Target="https://timesofindia.indiatimes.com/technology/tech-news/americas-largest-bank-ceo-jamie-dimon-makes-it-clear-at-earnings-call-that-not-giving-ai-agents-access-to-banks-data-calls-it-too-risky-for-clients-and-jpmorgan/articleshow/135063165.cms" TargetMode="External"/><Relationship Id="rId81" Type="http://schemas.openxmlformats.org/officeDocument/2006/relationships/hyperlink" Target="https://www.avyse.co.uk/regulatory-gap-analysis-templates/fca-fine-cb-payments-limited-35m-for-failures-in-implementing-voluntary-restriction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2.png"/><Relationship Id="rId8" Type="http://schemas.openxmlformats.org/officeDocument/2006/relationships/image" Target="media/image5.png"/><Relationship Id="rId73" Type="http://schemas.openxmlformats.org/officeDocument/2006/relationships/hyperlink" Target="https://www.starlingbank.com/news/starling-bank-response-to-fca-final-notice/" TargetMode="External"/><Relationship Id="rId72" Type="http://schemas.openxmlformats.org/officeDocument/2006/relationships/hyperlink" Target="https://home.barclays/content/dam/home-barclays/documents/investor-relations/reports-and-events/annual-reports/2025/Barclays-PLC-Annual-Report-2025.pdf" TargetMode="External"/><Relationship Id="rId75" Type="http://schemas.openxmlformats.org/officeDocument/2006/relationships/hyperlink" Target="https://www.fca.org.uk/news/press-releases/fca-fines-starling-bank-failings-financial-crime-systems-and-controls" TargetMode="External"/><Relationship Id="rId74" Type="http://schemas.openxmlformats.org/officeDocument/2006/relationships/hyperlink" Target="https://www.gtlaw-londonlawblog.com/2024/10/uk-enforcement-agencies-crack-down-on-financial-crime-control-failures-sanctions-violations/" TargetMode="External"/><Relationship Id="rId77" Type="http://schemas.openxmlformats.org/officeDocument/2006/relationships/hyperlink" Target="https://www.metricstream.com/industries/banking-and-financial-services.htm" TargetMode="External"/><Relationship Id="rId76" Type="http://schemas.openxmlformats.org/officeDocument/2006/relationships/hyperlink" Target="https://risk.jaywing.com/news-views/model-risk-management-in-an-ai-driven-world-ss1-23/" TargetMode="External"/><Relationship Id="rId79" Type="http://schemas.openxmlformats.org/officeDocument/2006/relationships/hyperlink" Target="https://www.zyphe.com/resources/blog/monzo-aml-fine-lessons" TargetMode="External"/><Relationship Id="rId78" Type="http://schemas.openxmlformats.org/officeDocument/2006/relationships/hyperlink" Target="https://www.protechtgroup.com/en-gb/blog/risk-management-controls" TargetMode="External"/><Relationship Id="rId71" Type="http://schemas.openxmlformats.org/officeDocument/2006/relationships/hyperlink" Target="https://www.bsa.org.uk/statistics/sector-info-performance/building-society-trading-updates/building-societies-trading-update-june-2025" TargetMode="External"/><Relationship Id="rId70" Type="http://schemas.openxmlformats.org/officeDocument/2006/relationships/hyperlink" Target="https://www.bsa.org.uk/getmedia/4b40c04d-f257-441a-8d07-a687413fc276/BSA-Yearbook-2024-25-single.pdf" TargetMode="External"/><Relationship Id="rId62" Type="http://schemas.openxmlformats.org/officeDocument/2006/relationships/hyperlink" Target="https://news.bitcoin.com/finance/jpmorgan-and-wall-street-giants-block-ai-agents-over-security-fears/" TargetMode="External"/><Relationship Id="rId61" Type="http://schemas.openxmlformats.org/officeDocument/2006/relationships/hyperlink" Target="https://content.govdelivery.com/accounts/UKFCA/bulletins/3671a74" TargetMode="External"/><Relationship Id="rId64" Type="http://schemas.openxmlformats.org/officeDocument/2006/relationships/hyperlink" Target="https://continuity2.com/blog/erm-software" TargetMode="External"/><Relationship Id="rId63" Type="http://schemas.openxmlformats.org/officeDocument/2006/relationships/hyperlink" Target="https://www.theguardian.com/business/2024/nov/12/metro-bank-fined-potential-money-laundering-fca" TargetMode="External"/><Relationship Id="rId66" Type="http://schemas.openxmlformats.org/officeDocument/2006/relationships/hyperlink" Target="https://www.risk.net/risk-management/operational-risk/2393632/identifying-and-managing-emerging-operational-risks" TargetMode="External"/><Relationship Id="rId65" Type="http://schemas.openxmlformats.org/officeDocument/2006/relationships/hyperlink" Target="https://www.skipton.co.uk/content/dam/sbs-sites/skipton-co-uk/documents/about-us/financial-results/2024/annual-reports-and-accounts-2024.pdf" TargetMode="External"/><Relationship Id="rId68" Type="http://schemas.openxmlformats.org/officeDocument/2006/relationships/hyperlink" Target="https://www.skipton.co.uk/content/dam/sbs-sites/skipton-co-uk/documents/about-us/pillar-3-disclosures/pillar-3-2024-december.pdf" TargetMode="External"/><Relationship Id="rId67" Type="http://schemas.openxmlformats.org/officeDocument/2006/relationships/hyperlink" Target="https://www.nationwide.co.uk/-/assets/nationwidecouk/documents/about/how-we-are-run/results-and-accounts/2024-2025/strategic-report-2025.pdf" TargetMode="External"/><Relationship Id="rId60" Type="http://schemas.openxmlformats.org/officeDocument/2006/relationships/hyperlink" Target="https://connections.nortonrosefulbright.com/post/102kv0z/notice-in-a-nutshell-bank-fined-for-financial-crime-failings" TargetMode="External"/><Relationship Id="rId69" Type="http://schemas.openxmlformats.org/officeDocument/2006/relationships/hyperlink" Target="https://media.umbraco.io/cambridge/rbxpbmxv/annual-report-and-accounts-2025.pdf" TargetMode="External"/><Relationship Id="rId51" Type="http://schemas.openxmlformats.org/officeDocument/2006/relationships/hyperlink" Target="https://www.deloitte.com/uk/en/blogs/ecrs/pra-booking-model-and-branch-risk-appetite-finalised-act-now-on-self-assessment.html" TargetMode="External"/><Relationship Id="rId50" Type="http://schemas.openxmlformats.org/officeDocument/2006/relationships/hyperlink" Target="https://www.nationwide.co.uk/-/assets/nationwidecouk/documents/about/how-we-are-run/results-and-accounts/2024-2025/2025-preliminary-results.pdf" TargetMode="External"/><Relationship Id="rId53" Type="http://schemas.openxmlformats.org/officeDocument/2006/relationships/hyperlink" Target="https://justfa.uk/articles/consumer-duty-fair-value-assessments-a-practical-guide-for-ifas" TargetMode="External"/><Relationship Id="rId52" Type="http://schemas.openxmlformats.org/officeDocument/2006/relationships/hyperlink" Target="https://researchbriefings.files.parliament.uk/documents/LLN-2024-0018/2024-0018-Building-Societies-Act-1986-(Amendment)-Bill-LARGE.pdf" TargetMode="External"/><Relationship Id="rId55" Type="http://schemas.openxmlformats.org/officeDocument/2006/relationships/hyperlink" Target="https://www.fca.org.uk/publications/corporate-documents/consumer-duty-focus-areas" TargetMode="External"/><Relationship Id="rId54" Type="http://schemas.openxmlformats.org/officeDocument/2006/relationships/hyperlink" Target="https://www.fca.org.uk/publications/multi-firm-reviews/payments-consumer-duty" TargetMode="External"/><Relationship Id="rId57" Type="http://schemas.openxmlformats.org/officeDocument/2006/relationships/hyperlink" Target="https://www.leedsbuildingsociety.co.uk/_resources/pdfs/your-society-pdfs/climate-related-disclosures-and-transition-plan-2025.pdf" TargetMode="External"/><Relationship Id="rId56" Type="http://schemas.openxmlformats.org/officeDocument/2006/relationships/hyperlink" Target="https://www.ycmuk.co.uk/fca-priorities-under-the-consumer-duty-for-the-remainder-of-2024-25d11a23fa" TargetMode="External"/><Relationship Id="rId59" Type="http://schemas.openxmlformats.org/officeDocument/2006/relationships/hyperlink" Target="https://www.fca.org.uk/publication/final-notices/metro-bank-plc-2024.pdf" TargetMode="External"/><Relationship Id="rId58" Type="http://schemas.openxmlformats.org/officeDocument/2006/relationships/hyperlink" Target="https://www.bankingnewsai.com/ai-incidents/metro-bank-2024-fca-automated-transaction-monito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