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High-Level Design (HLD)</w:t>
      </w:r>
    </w:p>
    <w:p>
      <w:pPr/>
      <w:r>
        <w:rPr>
          <w:b/>
        </w:rPr>
        <w:t xml:space="preserve">Product:</w:t>
      </w:r>
      <w:r>
        <w:t xml:space="preserve"> Proposal Assistant (working title) | </w:t>
      </w:r>
      <w:r>
        <w:rPr>
          <w:b/>
        </w:rPr>
        <w:t xml:space="preserve">Release:</w:t>
      </w:r>
      <w:r>
        <w:t xml:space="preserve"> Excel MVP, extensible to Word, PPT, PDF | </w:t>
      </w:r>
      <w:r>
        <w:rPr>
          <w:b/>
        </w:rPr>
        <w:t xml:space="preserve">Version:</w:t>
      </w:r>
      <w:r>
        <w:t xml:space="preserve"> 0.1 | </w:t>
      </w:r>
      <w:r>
        <w:rPr>
          <w:b/>
        </w:rPr>
        <w:t xml:space="preserve">Date:</w:t>
      </w:r>
      <w:r>
        <w:t xml:space="preserve"> 17 Oct 2026</w:t>
      </w:r>
    </w:p>
    <w:p>
      <w:pPr>
        <w:pStyle w:val="Heading2"/>
      </w:pPr>
      <w:r>
        <w:t xml:space="preserve">1. Purpose</w:t>
      </w:r>
    </w:p>
    <w:p>
      <w:pPr/>
      <w:r>
        <w:t xml:space="preserve">This document describes the overall architecture of the Proposal Assistant: its components, how they interact, the technology choices, deployment, security and how the design extends beyond Excel. Detailed class, schema and API design is in the LLD.</w:t>
      </w:r>
    </w:p>
    <w:p>
      <w:pPr>
        <w:pStyle w:val="Heading2"/>
      </w:pPr>
      <w:r>
        <w:t xml:space="preserve">2. Architecture goals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01"/>
        <w:gridCol w:w="5858"/>
      </w:tblGrid>
      <w:tr>
        <w:trPr>
          <w:tblHeader/>
        </w:trPr>
        <w:tc>
          <w:tcPr>
            <w:tcW w:w="3501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5858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Fidelity</w:t>
            </w:r>
          </w:p>
        </w:tc>
        <w:tc>
          <w:tcPr>
            <w:tcW w:w="5858" w:type="dxa"/>
          </w:tcPr>
          <w:p>
            <w:pPr/>
            <w:r>
              <w:t xml:space="preserve">The buyer's file is displayed and exported with formatting intact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Format-agnostic core</w:t>
            </w:r>
          </w:p>
        </w:tc>
        <w:tc>
          <w:tcPr>
            <w:tcW w:w="5858" w:type="dxa"/>
          </w:tcPr>
          <w:p>
            <w:pPr/>
            <w:r>
              <w:t xml:space="preserve">Excel first, but the Add Answer flow must work for Word, PPT and PDF later without redesign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Isolation</w:t>
            </w:r>
          </w:p>
        </w:tc>
        <w:tc>
          <w:tcPr>
            <w:tcW w:w="5858" w:type="dxa"/>
          </w:tcPr>
          <w:p>
            <w:pPr/>
            <w:r>
              <w:t xml:space="preserve">Strict per-customer data separation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Replaceable AI</w:t>
            </w:r>
          </w:p>
        </w:tc>
        <w:tc>
          <w:tcPr>
            <w:tcW w:w="5858" w:type="dxa"/>
          </w:tcPr>
          <w:p>
            <w:pPr/>
            <w:r>
              <w:t xml:space="preserve">The RAG/answer service sits behind a stable contract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Responsive feel</w:t>
            </w:r>
          </w:p>
        </w:tc>
        <w:tc>
          <w:tcPr>
            <w:tcW w:w="5858" w:type="dxa"/>
          </w:tcPr>
          <w:p>
            <w:pPr/>
            <w:r>
              <w:t xml:space="preserve">Streaming answers, optimistic UI, fast document load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Operable by a small team</w:t>
            </w:r>
          </w:p>
        </w:tc>
        <w:tc>
          <w:tcPr>
            <w:tcW w:w="5858" w:type="dxa"/>
          </w:tcPr>
          <w:p>
            <w:pPr/>
            <w:r>
              <w:t xml:space="preserve">Few moving parts, managed services where possible</w:t>
            </w:r>
          </w:p>
        </w:tc>
      </w:tr>
    </w:tbl>
    <w:p>
      <w:pPr>
        <w:pStyle w:val="Heading2"/>
      </w:pPr>
      <w:r>
        <w:t xml:space="preserve">3. System context</w:t>
      </w:r>
    </w:p>
    <w:p>
      <w:pPr>
        <w:pStyle w:val="Code"/>
      </w:pPr>
      <w:r>
        <w:t xml:space="preserve">  Users (bid managers, pre-sales, reviewers)</w:t>
        <w:br/>
        <w:t xml:space="preserve">            |</w:t>
        <w:br/>
        <w:t xml:space="preserve">            v</w:t>
        <w:br/>
        <w:t xml:space="preserve">   +--------------------+        +------------------------+</w:t>
        <w:br/>
        <w:t xml:space="preserve">   |  Web App (Next.js) |&lt;------&gt;|  Office Editor Server   |</w:t>
        <w:br/>
        <w:t xml:space="preserve">   |  UI + flow engine  | iframe |  (ONLYOFFICE / Collabora)|</w:t>
        <w:br/>
        <w:t xml:space="preserve">   +---------+----------+        +-----------+------------+</w:t>
        <w:br/>
        <w:t xml:space="preserve">             | HTTPS / SSE                   | file fetch + save callback</w:t>
        <w:br/>
        <w:t xml:space="preserve">             v                               v</w:t>
        <w:br/>
        <w:t xml:space="preserve">   +--------------------+        +------------------------+</w:t>
        <w:br/>
        <w:t xml:space="preserve">   |   API Gateway /    |-------&gt;|  Object Storage (S3)    |</w:t>
        <w:br/>
        <w:t xml:space="preserve">   |   FastAPI service  |        |  originals, working,    |</w:t>
        <w:br/>
        <w:t xml:space="preserve">   +----+----------+----+        |  exports, KB files      |</w:t>
        <w:br/>
        <w:t xml:space="preserve">        |          |             +------------------------+</w:t>
        <w:br/>
        <w:t xml:space="preserve">        |          +--&gt; Postgres (+ pgvector)</w:t>
        <w:br/>
        <w:t xml:space="preserve">        v</w:t>
        <w:br/>
        <w:t xml:space="preserve">   +--------------------+       +------------------------+</w:t>
        <w:br/>
        <w:t xml:space="preserve">   |  Job queue (Redis) |------&gt;|  Workers                |</w:t>
        <w:br/>
        <w:t xml:space="preserve">   +--------------------+       |  - answer worker (RAG)  |</w:t>
        <w:br/>
        <w:t xml:space="preserve">                                |  - KB ingestion worker  |</w:t>
        <w:br/>
        <w:t xml:space="preserve">                                +-----------+------------+</w:t>
        <w:br/>
        <w:t xml:space="preserve">                                            |</w:t>
        <w:br/>
        <w:t xml:space="preserve">                                            v</w:t>
        <w:br/>
        <w:t xml:space="preserve">                                      LLM provider (Claude API)</w:t>
      </w:r>
    </w:p>
    <w:p>
      <w:pPr>
        <w:pStyle w:val="Heading2"/>
      </w:pPr>
      <w:r>
        <w:t xml:space="preserve">4. Main 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9"/>
        <w:gridCol w:w="3863"/>
        <w:gridCol w:w="2648"/>
      </w:tblGrid>
      <w:tr>
        <w:trPr>
          <w:tblHeader/>
        </w:trPr>
        <w:tc>
          <w:tcPr>
            <w:tcW w:w="2849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863" w:type="dxa"/>
            <w:shd w:val="clear" w:color="auto" w:fill="F2F2F2"/>
          </w:tcPr>
          <w:p>
            <w:pPr/>
            <w:r>
              <w:t xml:space="preserve">Responsibility</w:t>
            </w:r>
          </w:p>
        </w:tc>
        <w:tc>
          <w:tcPr>
            <w:tcW w:w="2648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Web app</w:t>
            </w:r>
          </w:p>
        </w:tc>
        <w:tc>
          <w:tcPr>
            <w:tcW w:w="3863" w:type="dxa"/>
          </w:tcPr>
          <w:p>
            <w:pPr/>
            <w:r>
              <w:t xml:space="preserve">Pages, document box wrapper, Add Answer state machine, drawers, toasts, downloads</w:t>
            </w:r>
          </w:p>
        </w:tc>
        <w:tc>
          <w:tcPr>
            <w:tcW w:w="2648" w:type="dxa"/>
          </w:tcPr>
          <w:p>
            <w:pPr/>
            <w:r>
              <w:t xml:space="preserve">Next.js, React, TypeScript, Tailwind, shadcn/ui, Framer Motion, Zustand, TanStack Query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Editor server</w:t>
            </w:r>
          </w:p>
        </w:tc>
        <w:tc>
          <w:tcPr>
            <w:tcW w:w="3863" w:type="dxa"/>
          </w:tcPr>
          <w:p>
            <w:pPr/>
            <w:r>
              <w:t xml:space="preserve">Renders and edits the workbook; exposes selection and cell-write through its connector API; exports .xlsx</w:t>
            </w:r>
          </w:p>
        </w:tc>
        <w:tc>
          <w:tcPr>
            <w:tcW w:w="2648" w:type="dxa"/>
          </w:tcPr>
          <w:p>
            <w:pPr/>
            <w:r>
              <w:t xml:space="preserve">ONLYOFFICE Docs (or Collabora) in Docker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Editor adapter (front end)</w:t>
            </w:r>
          </w:p>
        </w:tc>
        <w:tc>
          <w:tcPr>
            <w:tcW w:w="3863" w:type="dxa"/>
          </w:tcPr>
          <w:p>
            <w:pPr/>
            <w:r>
              <w:t xml:space="preserve">Thin interface hiding the editor's API: get selection, set cell, highlight, export</w:t>
            </w:r>
          </w:p>
        </w:tc>
        <w:tc>
          <w:tcPr>
            <w:tcW w:w="2648" w:type="dxa"/>
          </w:tcPr>
          <w:p>
            <w:pPr/>
            <w:r>
              <w:t xml:space="preserve">TypeScript module, one implementation per editor and file type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API service</w:t>
            </w:r>
          </w:p>
        </w:tc>
        <w:tc>
          <w:tcPr>
            <w:tcW w:w="3863" w:type="dxa"/>
          </w:tcPr>
          <w:p>
            <w:pPr/>
            <w:r>
              <w:t xml:space="preserve">Auth, projects, files, anchors, jobs, answers, knowledge base, export orchestration, editor callbacks</w:t>
            </w:r>
          </w:p>
        </w:tc>
        <w:tc>
          <w:tcPr>
            <w:tcW w:w="2648" w:type="dxa"/>
          </w:tcPr>
          <w:p>
            <w:pPr/>
            <w:r>
              <w:t xml:space="preserve">FastAPI, SQLAlchemy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Job queue and workers</w:t>
            </w:r>
          </w:p>
        </w:tc>
        <w:tc>
          <w:tcPr>
            <w:tcW w:w="3863" w:type="dxa"/>
          </w:tcPr>
          <w:p>
            <w:pPr/>
            <w:r>
              <w:t xml:space="preserve">Run answer generation and knowledge-base ingestion outside the request cycle</w:t>
            </w:r>
          </w:p>
        </w:tc>
        <w:tc>
          <w:tcPr>
            <w:tcW w:w="2648" w:type="dxa"/>
          </w:tcPr>
          <w:p>
            <w:pPr/>
            <w:r>
              <w:t xml:space="preserve">Celery, Redis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Answer service (RAG)</w:t>
            </w:r>
          </w:p>
        </w:tc>
        <w:tc>
          <w:tcPr>
            <w:tcW w:w="3863" w:type="dxa"/>
          </w:tcPr>
          <w:p>
            <w:pPr/>
            <w:r>
              <w:t xml:space="preserve">Retrieve and generate source-backed answers</w:t>
            </w:r>
          </w:p>
        </w:tc>
        <w:tc>
          <w:tcPr>
            <w:tcW w:w="2648" w:type="dxa"/>
          </w:tcPr>
          <w:p>
            <w:pPr/>
            <w:r>
              <w:t xml:space="preserve">Python module inside the workers; swappable behind an interface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Database</w:t>
            </w:r>
          </w:p>
        </w:tc>
        <w:tc>
          <w:tcPr>
            <w:tcW w:w="3863" w:type="dxa"/>
          </w:tcPr>
          <w:p>
            <w:pPr/>
            <w:r>
              <w:t xml:space="preserve">Relational data and vector search</w:t>
            </w:r>
          </w:p>
        </w:tc>
        <w:tc>
          <w:tcPr>
            <w:tcW w:w="2648" w:type="dxa"/>
          </w:tcPr>
          <w:p>
            <w:pPr/>
            <w:r>
              <w:t xml:space="preserve">PostgreSQL with pgvector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Object storage</w:t>
            </w:r>
          </w:p>
        </w:tc>
        <w:tc>
          <w:tcPr>
            <w:tcW w:w="3863" w:type="dxa"/>
          </w:tcPr>
          <w:p>
            <w:pPr/>
            <w:r>
              <w:t xml:space="preserve">Files in all states</w:t>
            </w:r>
          </w:p>
        </w:tc>
        <w:tc>
          <w:tcPr>
            <w:tcW w:w="2648" w:type="dxa"/>
          </w:tcPr>
          <w:p>
            <w:pPr/>
            <w:r>
              <w:t xml:space="preserve">S3 or MinIO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Streaming channel</w:t>
            </w:r>
          </w:p>
        </w:tc>
        <w:tc>
          <w:tcPr>
            <w:tcW w:w="3863" w:type="dxa"/>
          </w:tcPr>
          <w:p>
            <w:pPr/>
            <w:r>
              <w:t xml:space="preserve">Push answer tokens to the browser</w:t>
            </w:r>
          </w:p>
        </w:tc>
        <w:tc>
          <w:tcPr>
            <w:tcW w:w="2648" w:type="dxa"/>
          </w:tcPr>
          <w:p>
            <w:pPr/>
            <w:r>
              <w:t xml:space="preserve">Server-sent events (SSE)</w:t>
            </w:r>
          </w:p>
        </w:tc>
      </w:tr>
      <w:tr>
        <w:tc>
          <w:tcPr>
            <w:tcW w:w="2849" w:type="dxa"/>
          </w:tcPr>
          <w:p>
            <w:pPr/>
            <w:r>
              <w:rPr>
                <w:b/>
              </w:rPr>
              <w:t xml:space="preserve">Observability</w:t>
            </w:r>
          </w:p>
        </w:tc>
        <w:tc>
          <w:tcPr>
            <w:tcW w:w="3863" w:type="dxa"/>
          </w:tcPr>
          <w:p>
            <w:pPr/>
            <w:r>
              <w:t xml:space="preserve">Logs, metrics, tracing, error tracking</w:t>
            </w:r>
          </w:p>
        </w:tc>
        <w:tc>
          <w:tcPr>
            <w:tcW w:w="2648" w:type="dxa"/>
          </w:tcPr>
          <w:p>
            <w:pPr/>
            <w:r>
              <w:t xml:space="preserve">OpenTelemetry, Prometheus/Grafana, Sentry</w:t>
            </w:r>
          </w:p>
        </w:tc>
      </w:tr>
    </w:tbl>
    <w:p>
      <w:pPr>
        <w:pStyle w:val="Heading2"/>
      </w:pPr>
      <w:r>
        <w:t xml:space="preserve">5. Key design decisions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644"/>
        <w:gridCol w:w="2749"/>
        <w:gridCol w:w="224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644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749" w:type="dxa"/>
            <w:shd w:val="clear" w:color="auto" w:fill="F2F2F2"/>
          </w:tcPr>
          <w:p>
            <w:pPr/>
            <w:r>
              <w:t xml:space="preserve">Rationale</w:t>
            </w:r>
          </w:p>
        </w:tc>
        <w:tc>
          <w:tcPr>
            <w:tcW w:w="2247" w:type="dxa"/>
            <w:shd w:val="clear" w:color="auto" w:fill="F2F2F2"/>
          </w:tcPr>
          <w:p>
            <w:pPr/>
            <w:r>
              <w:t xml:space="preserve">Alternative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</w:t>
            </w:r>
          </w:p>
        </w:tc>
        <w:tc>
          <w:tcPr>
            <w:tcW w:w="3644" w:type="dxa"/>
          </w:tcPr>
          <w:p>
            <w:pPr/>
            <w:r>
              <w:t xml:space="preserve">Embed a real office editor rather than a custom renderer</w:t>
            </w:r>
          </w:p>
        </w:tc>
        <w:tc>
          <w:tcPr>
            <w:tcW w:w="2749" w:type="dxa"/>
          </w:tcPr>
          <w:p>
            <w:pPr/>
            <w:r>
              <w:t xml:space="preserve">Only way to guarantee fidelity for Excel, Word and PPT</w:t>
            </w:r>
          </w:p>
        </w:tc>
        <w:tc>
          <w:tcPr>
            <w:tcW w:w="2247" w:type="dxa"/>
          </w:tcPr>
          <w:p>
            <w:pPr/>
            <w:r>
              <w:t xml:space="preserve">Univer plus server patching for Excel only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</w:t>
            </w:r>
          </w:p>
        </w:tc>
        <w:tc>
          <w:tcPr>
            <w:tcW w:w="3644" w:type="dxa"/>
          </w:tcPr>
          <w:p>
            <w:pPr/>
            <w:r>
              <w:t xml:space="preserve">Wrap the editor behind an adapter interface</w:t>
            </w:r>
          </w:p>
        </w:tc>
        <w:tc>
          <w:tcPr>
            <w:tcW w:w="2749" w:type="dxa"/>
          </w:tcPr>
          <w:p>
            <w:pPr/>
            <w:r>
              <w:t xml:space="preserve">Lets us switch editor or add file types without touching the flow logic</w:t>
            </w:r>
          </w:p>
        </w:tc>
        <w:tc>
          <w:tcPr>
            <w:tcW w:w="2247" w:type="dxa"/>
          </w:tcPr>
          <w:p>
            <w:pPr/>
            <w:r>
              <w:t xml:space="preserve">Direct calls from components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D3</w:t>
            </w:r>
          </w:p>
        </w:tc>
        <w:tc>
          <w:tcPr>
            <w:tcW w:w="3644" w:type="dxa"/>
          </w:tcPr>
          <w:p>
            <w:pPr/>
            <w:r>
              <w:t xml:space="preserve">Answer writes happen </w:t>
            </w:r>
            <w:r>
              <w:rPr>
                <w:b/>
              </w:rPr>
              <w:t xml:space="preserve">in the editor</w:t>
            </w:r>
            <w:r>
              <w:t xml:space="preserve"> (client-side), and the editor saves the file</w:t>
            </w:r>
          </w:p>
        </w:tc>
        <w:tc>
          <w:tcPr>
            <w:tcW w:w="2749" w:type="dxa"/>
          </w:tcPr>
          <w:p>
            <w:pPr/>
            <w:r>
              <w:t xml:space="preserve">Preserves styles exactly as the editor sees them</w:t>
            </w:r>
          </w:p>
        </w:tc>
        <w:tc>
          <w:tcPr>
            <w:tcW w:w="2247" w:type="dxa"/>
          </w:tcPr>
          <w:p>
            <w:pPr/>
            <w:r>
              <w:t xml:space="preserve">Server patching with openpyxl after each answer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D4</w:t>
            </w:r>
          </w:p>
        </w:tc>
        <w:tc>
          <w:tcPr>
            <w:tcW w:w="3644" w:type="dxa"/>
          </w:tcPr>
          <w:p>
            <w:pPr/>
            <w:r>
              <w:t xml:space="preserve">Anchors are stored as structured data, not as raw cursor state</w:t>
            </w:r>
          </w:p>
        </w:tc>
        <w:tc>
          <w:tcPr>
            <w:tcW w:w="2749" w:type="dxa"/>
          </w:tcPr>
          <w:p>
            <w:pPr/>
            <w:r>
              <w:t xml:space="preserve">Survives focus loss, refresh and replay</w:t>
            </w:r>
          </w:p>
        </w:tc>
        <w:tc>
          <w:tcPr>
            <w:tcW w:w="2247" w:type="dxa"/>
          </w:tcPr>
          <w:p>
            <w:pPr/>
            <w:r>
              <w:t xml:space="preserve">Reading the cursor at answer time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D5</w:t>
            </w:r>
          </w:p>
        </w:tc>
        <w:tc>
          <w:tcPr>
            <w:tcW w:w="3644" w:type="dxa"/>
          </w:tcPr>
          <w:p>
            <w:pPr/>
            <w:r>
              <w:t xml:space="preserve">Answer generation is an async job streamed over SSE</w:t>
            </w:r>
          </w:p>
        </w:tc>
        <w:tc>
          <w:tcPr>
            <w:tcW w:w="2749" w:type="dxa"/>
          </w:tcPr>
          <w:p>
            <w:pPr/>
            <w:r>
              <w:t xml:space="preserve">Handles long LLM calls and reconnects</w:t>
            </w:r>
          </w:p>
        </w:tc>
        <w:tc>
          <w:tcPr>
            <w:tcW w:w="2247" w:type="dxa"/>
          </w:tcPr>
          <w:p>
            <w:pPr/>
            <w:r>
              <w:t xml:space="preserve">Synchronous request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D6</w:t>
            </w:r>
          </w:p>
        </w:tc>
        <w:tc>
          <w:tcPr>
            <w:tcW w:w="3644" w:type="dxa"/>
          </w:tcPr>
          <w:p>
            <w:pPr/>
            <w:r>
              <w:t xml:space="preserve">Multi-tenant by workspace ID on every row and every storage key</w:t>
            </w:r>
          </w:p>
        </w:tc>
        <w:tc>
          <w:tcPr>
            <w:tcW w:w="2749" w:type="dxa"/>
          </w:tcPr>
          <w:p>
            <w:pPr/>
            <w:r>
              <w:t xml:space="preserve">Simple isolation model</w:t>
            </w:r>
          </w:p>
        </w:tc>
        <w:tc>
          <w:tcPr>
            <w:tcW w:w="2247" w:type="dxa"/>
          </w:tcPr>
          <w:p>
            <w:pPr/>
            <w:r>
              <w:t xml:space="preserve">Database per tenant (later for enterprise)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D7</w:t>
            </w:r>
          </w:p>
        </w:tc>
        <w:tc>
          <w:tcPr>
            <w:tcW w:w="3644" w:type="dxa"/>
          </w:tcPr>
          <w:p>
            <w:pPr/>
            <w:r>
              <w:t xml:space="preserve">RAG kept in-process in workers, with a clean interface</w:t>
            </w:r>
          </w:p>
        </w:tc>
        <w:tc>
          <w:tcPr>
            <w:tcW w:w="2749" w:type="dxa"/>
          </w:tcPr>
          <w:p>
            <w:pPr/>
            <w:r>
              <w:t xml:space="preserve">Fewer services in MVP</w:t>
            </w:r>
          </w:p>
        </w:tc>
        <w:tc>
          <w:tcPr>
            <w:tcW w:w="2247" w:type="dxa"/>
          </w:tcPr>
          <w:p>
            <w:pPr/>
            <w:r>
              <w:t xml:space="preserve">Separate microservice</w:t>
            </w:r>
          </w:p>
        </w:tc>
      </w:tr>
    </w:tbl>
    <w:p>
      <w:pPr>
        <w:pStyle w:val="Heading2"/>
      </w:pPr>
      <w:r>
        <w:t xml:space="preserve">6. Core runtime flows</w:t>
      </w:r>
    </w:p>
    <w:p>
      <w:pPr>
        <w:pStyle w:val="Heading3"/>
      </w:pPr>
      <w:r>
        <w:t xml:space="preserve">6.1 Open a project</w:t>
      </w:r>
    </w:p>
    <w:p>
      <w:pPr>
        <w:pStyle w:val="ListParagraph"/>
        <w:numPr>
          <w:ilvl w:val="0"/>
          <w:numId w:val="2"/>
        </w:numPr>
      </w:pPr>
      <w:r>
        <w:t xml:space="preserve">Browser requests the project; API checks access and returns an editor config (document URL, signed token, callback URL).</w:t>
      </w:r>
    </w:p>
    <w:p>
      <w:pPr>
        <w:pStyle w:val="ListParagraph"/>
        <w:numPr>
          <w:ilvl w:val="0"/>
          <w:numId w:val="2"/>
        </w:numPr>
      </w:pPr>
      <w:r>
        <w:t xml:space="preserve">The editor server fetches the working copy from object storage through a signed URL.</w:t>
      </w:r>
    </w:p>
    <w:p>
      <w:pPr>
        <w:pStyle w:val="ListParagraph"/>
        <w:numPr>
          <w:ilvl w:val="0"/>
          <w:numId w:val="2"/>
        </w:numPr>
      </w:pPr>
      <w:r>
        <w:t xml:space="preserve">The web app loads the editor in the document box and connects the adapter.</w:t>
      </w:r>
    </w:p>
    <w:p>
      <w:pPr>
        <w:pStyle w:val="Heading3"/>
      </w:pPr>
      <w:r>
        <w:t xml:space="preserve">6.2 Add Answer</w:t>
      </w:r>
    </w:p>
    <w:p>
      <w:pPr>
        <w:pStyle w:val="ListParagraph"/>
        <w:numPr>
          <w:ilvl w:val="0"/>
          <w:numId w:val="3"/>
        </w:numPr>
      </w:pPr>
      <w:r>
        <w:t xml:space="preserve">User clicks Add Answer; the adapter reads the active selection and the flow engine stores it as the answer anchor.</w:t>
      </w:r>
    </w:p>
    <w:p>
      <w:pPr>
        <w:pStyle w:val="ListParagraph"/>
        <w:numPr>
          <w:ilvl w:val="0"/>
          <w:numId w:val="3"/>
        </w:numPr>
      </w:pPr>
      <w:r>
        <w:t xml:space="preserve">User selects the question; the adapter reports the selection and the flow engine stores the question anchor and reads its text.</w:t>
      </w:r>
    </w:p>
    <w:p>
      <w:pPr>
        <w:pStyle w:val="ListParagraph"/>
        <w:numPr>
          <w:ilvl w:val="0"/>
          <w:numId w:val="3"/>
        </w:numPr>
      </w:pPr>
      <w:r>
        <w:t xml:space="preserve">User presses Go; the web app posts a job request (question, context, anchors).</w:t>
      </w:r>
    </w:p>
    <w:p>
      <w:pPr>
        <w:pStyle w:val="ListParagraph"/>
        <w:numPr>
          <w:ilvl w:val="0"/>
          <w:numId w:val="3"/>
        </w:numPr>
      </w:pPr>
      <w:r>
        <w:t xml:space="preserve">The API creates the job, enqueues it, and returns the job ID.</w:t>
      </w:r>
    </w:p>
    <w:p>
      <w:pPr>
        <w:pStyle w:val="ListParagraph"/>
        <w:numPr>
          <w:ilvl w:val="0"/>
          <w:numId w:val="3"/>
        </w:numPr>
      </w:pPr>
      <w:r>
        <w:t xml:space="preserve">The browser opens an SSE stream for the job.</w:t>
      </w:r>
    </w:p>
    <w:p>
      <w:pPr>
        <w:pStyle w:val="ListParagraph"/>
        <w:numPr>
          <w:ilvl w:val="0"/>
          <w:numId w:val="3"/>
        </w:numPr>
      </w:pPr>
      <w:r>
        <w:t xml:space="preserve">A worker retrieves context from pgvector, calls the LLM, and publishes tokens and the final sources.</w:t>
      </w:r>
    </w:p>
    <w:p>
      <w:pPr>
        <w:pStyle w:val="ListParagraph"/>
        <w:numPr>
          <w:ilvl w:val="0"/>
          <w:numId w:val="3"/>
        </w:numPr>
      </w:pPr>
      <w:r>
        <w:t xml:space="preserve">The browser receives tokens, the adapter writes the text into the answer anchor, and the drawer shows sources.</w:t>
      </w:r>
    </w:p>
    <w:p>
      <w:pPr>
        <w:pStyle w:val="ListParagraph"/>
        <w:numPr>
          <w:ilvl w:val="0"/>
          <w:numId w:val="3"/>
        </w:numPr>
      </w:pPr>
      <w:r>
        <w:t xml:space="preserve">The user accepts, edits, regenerates or undoes; the API records the status.</w:t>
      </w:r>
    </w:p>
    <w:p>
      <w:pPr>
        <w:pStyle w:val="Heading3"/>
      </w:pPr>
      <w:r>
        <w:t xml:space="preserve">6.3 Save and download</w:t>
      </w:r>
    </w:p>
    <w:p>
      <w:pPr>
        <w:pStyle w:val="ListParagraph"/>
        <w:numPr>
          <w:ilvl w:val="0"/>
          <w:numId w:val="4"/>
        </w:numPr>
      </w:pPr>
      <w:r>
        <w:t xml:space="preserve">The editor server sends save callbacks to the API when the document changes; the API stores the new working copy.</w:t>
      </w:r>
    </w:p>
    <w:p>
      <w:pPr>
        <w:pStyle w:val="ListParagraph"/>
        <w:numPr>
          <w:ilvl w:val="0"/>
          <w:numId w:val="4"/>
        </w:numPr>
      </w:pPr>
      <w:r>
        <w:t xml:space="preserve">On Download, the API asks the editor server for a final save, then returns a signed link to the file with the "_filled" name.</w:t>
      </w:r>
    </w:p>
    <w:p>
      <w:pPr>
        <w:pStyle w:val="Heading3"/>
      </w:pPr>
      <w:r>
        <w:t xml:space="preserve">6.4 Knowledge base ingestion</w:t>
      </w:r>
    </w:p>
    <w:p>
      <w:pPr>
        <w:pStyle w:val="ListParagraph"/>
        <w:numPr>
          <w:ilvl w:val="0"/>
          <w:numId w:val="5"/>
        </w:numPr>
      </w:pPr>
      <w:r>
        <w:t xml:space="preserve">User uploads reference documents; the API stores them and queues an ingestion job.</w:t>
      </w:r>
    </w:p>
    <w:p>
      <w:pPr>
        <w:pStyle w:val="ListParagraph"/>
        <w:numPr>
          <w:ilvl w:val="0"/>
          <w:numId w:val="5"/>
        </w:numPr>
      </w:pPr>
      <w:r>
        <w:t xml:space="preserve">A worker parses, chunks, embeds and indexes content with workspace tagging.</w:t>
      </w:r>
    </w:p>
    <w:p>
      <w:pPr>
        <w:pStyle w:val="ListParagraph"/>
        <w:numPr>
          <w:ilvl w:val="0"/>
          <w:numId w:val="5"/>
        </w:numPr>
      </w:pPr>
      <w:r>
        <w:t xml:space="preserve">Status updates appear in the knowledge base screen.</w:t>
      </w:r>
    </w:p>
    <w:p>
      <w:pPr>
        <w:pStyle w:val="Heading2"/>
      </w:pPr>
      <w:r>
        <w:t xml:space="preserve">7. Data overview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45"/>
        <w:gridCol w:w="6914"/>
      </w:tblGrid>
      <w:tr>
        <w:trPr>
          <w:tblHeader/>
        </w:trPr>
        <w:tc>
          <w:tcPr>
            <w:tcW w:w="2445" w:type="dxa"/>
            <w:shd w:val="clear" w:color="auto" w:fill="F2F2F2"/>
          </w:tcPr>
          <w:p>
            <w:pPr/>
            <w:r>
              <w:t xml:space="preserve">Store</w:t>
            </w:r>
          </w:p>
        </w:tc>
        <w:tc>
          <w:tcPr>
            <w:tcW w:w="6914" w:type="dxa"/>
            <w:shd w:val="clear" w:color="auto" w:fill="F2F2F2"/>
          </w:tcPr>
          <w:p>
            <w:pPr/>
            <w:r>
              <w:t xml:space="preserve">Contents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PostgreSQL</w:t>
            </w:r>
          </w:p>
        </w:tc>
        <w:tc>
          <w:tcPr>
            <w:tcW w:w="6914" w:type="dxa"/>
          </w:tcPr>
          <w:p>
            <w:pPr/>
            <w:r>
              <w:t xml:space="preserve">Users, workspaces, projects, anchors, jobs, answers and versions, knowledge documents, chunks and embeddings, audit events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Object storage</w:t>
            </w:r>
          </w:p>
        </w:tc>
        <w:tc>
          <w:tcPr>
            <w:tcW w:w="6914" w:type="dxa"/>
          </w:tcPr>
          <w:p>
            <w:pPr/>
            <w:r>
              <w:t xml:space="preserve">Original uploads, working copies, exports, knowledge files</w:t>
            </w:r>
          </w:p>
        </w:tc>
      </w:tr>
      <w:tr>
        <w:tc>
          <w:tcPr>
            <w:tcW w:w="2445" w:type="dxa"/>
          </w:tcPr>
          <w:p>
            <w:pPr/>
            <w:r>
              <w:t xml:space="preserve">Redis</w:t>
            </w:r>
          </w:p>
        </w:tc>
        <w:tc>
          <w:tcPr>
            <w:tcW w:w="6914" w:type="dxa"/>
          </w:tcPr>
          <w:p>
            <w:pPr/>
            <w:r>
              <w:t xml:space="preserve">Job queue, SSE pub/sub, short-lived locks</w:t>
            </w:r>
          </w:p>
        </w:tc>
      </w:tr>
    </w:tbl>
    <w:p>
      <w:pPr>
        <w:pStyle w:val="Heading2"/>
      </w:pPr>
      <w:r>
        <w:t xml:space="preserve">8. Security architecture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Authentication:</w:t>
      </w:r>
      <w:r>
        <w:t xml:space="preserve"> email/password and Google SSO; short-lived access tokens, refresh tokens in HTTP-only cookies.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Authorisation:</w:t>
      </w:r>
      <w:r>
        <w:t xml:space="preserve"> role checks in the API; every query filtered by workspace ID.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Editor access:</w:t>
      </w:r>
      <w:r>
        <w:t xml:space="preserve"> document URLs are signed, expire in minutes, and the editor server verifies a JWT shared with the API.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Data protection:</w:t>
      </w:r>
      <w:r>
        <w:t xml:space="preserve"> TLS in transit, server-side encryption at rest, per-workspace key prefixes in storage.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LLM usage:</w:t>
      </w:r>
      <w:r>
        <w:t xml:space="preserve"> provider contract with no training on customer data; prompts contain only retrieved snippets and the question.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Auditing:</w:t>
      </w:r>
      <w:r>
        <w:t xml:space="preserve"> uploads, fills, accepts, edits and downloads are logged with user and time.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Uploads:</w:t>
      </w:r>
      <w:r>
        <w:t xml:space="preserve"> size and type checks, antivirus scan, macro-enabled files rejected.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Enterprise option:</w:t>
      </w:r>
      <w:r>
        <w:t xml:space="preserve"> single-tenant deployment in the customer's cloud (later).</w:t>
      </w:r>
    </w:p>
    <w:p>
      <w:pPr>
        <w:pStyle w:val="Heading2"/>
      </w:pPr>
      <w:r>
        <w:t xml:space="preserve">9. Deployment architecture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79"/>
        <w:gridCol w:w="6280"/>
      </w:tblGrid>
      <w:tr>
        <w:trPr>
          <w:tblHeader/>
        </w:trPr>
        <w:tc>
          <w:tcPr>
            <w:tcW w:w="3079" w:type="dxa"/>
            <w:shd w:val="clear" w:color="auto" w:fill="F2F2F2"/>
          </w:tcPr>
          <w:p>
            <w:pPr/>
            <w:r>
              <w:t xml:space="preserve">Environment</w:t>
            </w:r>
          </w:p>
        </w:tc>
        <w:tc>
          <w:tcPr>
            <w:tcW w:w="6280" w:type="dxa"/>
            <w:shd w:val="clear" w:color="auto" w:fill="F2F2F2"/>
          </w:tcPr>
          <w:p>
            <w:pPr/>
            <w:r>
              <w:t xml:space="preserve">Setup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Local</w:t>
            </w:r>
          </w:p>
        </w:tc>
        <w:tc>
          <w:tcPr>
            <w:tcW w:w="6280" w:type="dxa"/>
          </w:tcPr>
          <w:p>
            <w:pPr/>
            <w:r>
              <w:t xml:space="preserve">Docker Compose: web, API, worker, Postgres, Redis, MinIO, editor server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Staging / Production</w:t>
            </w:r>
          </w:p>
        </w:tc>
        <w:tc>
          <w:tcPr>
            <w:tcW w:w="6280" w:type="dxa"/>
          </w:tcPr>
          <w:p>
            <w:pPr/>
            <w:r>
              <w:t xml:space="preserve">Containers on a managed platform (AWS ECS or Kubernetes), managed Postgres, managed Redis, S3, CDN for static assets</w:t>
            </w:r>
          </w:p>
        </w:tc>
      </w:tr>
      <w:tr>
        <w:tc>
          <w:tcPr>
            <w:tcW w:w="3079" w:type="dxa"/>
          </w:tcPr>
          <w:p>
            <w:pPr/>
            <w:r>
              <w:t xml:space="preserve">Editor server</w:t>
            </w:r>
          </w:p>
        </w:tc>
        <w:tc>
          <w:tcPr>
            <w:tcW w:w="6280" w:type="dxa"/>
          </w:tcPr>
          <w:p>
            <w:pPr/>
            <w:r>
              <w:t xml:space="preserve">Separate container group with its own scaling, reachable only from the web app and API</w:t>
            </w:r>
          </w:p>
        </w:tc>
      </w:tr>
    </w:tbl>
    <w:p>
      <w:pPr/>
      <w:r>
        <w:t xml:space="preserve">Scaling approach: the web and API tiers scale horizontally; workers scale with queue depth; the editor server scales with concurrent open documents and is the main cost driver.</w:t>
      </w:r>
    </w:p>
    <w:p>
      <w:pPr>
        <w:pStyle w:val="Heading2"/>
      </w:pPr>
      <w:r>
        <w:t xml:space="preserve">10. Extensibility to other file types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8"/>
        <w:gridCol w:w="4920"/>
        <w:gridCol w:w="2972"/>
      </w:tblGrid>
      <w:tr>
        <w:trPr>
          <w:tblHeader/>
        </w:trPr>
        <w:tc>
          <w:tcPr>
            <w:tcW w:w="1468" w:type="dxa"/>
            <w:shd w:val="clear" w:color="auto" w:fill="F2F2F2"/>
          </w:tcPr>
          <w:p>
            <w:pPr/>
            <w:r>
              <w:t xml:space="preserve">File type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Adapter behaviour</w:t>
            </w:r>
          </w:p>
        </w:tc>
        <w:tc>
          <w:tcPr>
            <w:tcW w:w="2972" w:type="dxa"/>
            <w:shd w:val="clear" w:color="auto" w:fill="F2F2F2"/>
          </w:tcPr>
          <w:p>
            <w:pPr/>
            <w:r>
              <w:t xml:space="preserve">Anchor shape</w:t>
            </w:r>
          </w:p>
        </w:tc>
      </w:tr>
      <w:tr>
        <w:tc>
          <w:tcPr>
            <w:tcW w:w="1468" w:type="dxa"/>
          </w:tcPr>
          <w:p>
            <w:pPr/>
            <w:r>
              <w:t xml:space="preserve">Excel</w:t>
            </w:r>
          </w:p>
        </w:tc>
        <w:tc>
          <w:tcPr>
            <w:tcW w:w="4920" w:type="dxa"/>
          </w:tcPr>
          <w:p>
            <w:pPr/>
            <w:r>
              <w:t xml:space="preserve">Selection is a cell or range; write to cell</w:t>
            </w:r>
          </w:p>
        </w:tc>
        <w:tc>
          <w:tcPr>
            <w:tcW w:w="2972" w:type="dxa"/>
          </w:tcPr>
          <w:p>
            <w:pPr/>
            <w:r>
              <w:t xml:space="preserve">sheet, address</w:t>
            </w:r>
          </w:p>
        </w:tc>
      </w:tr>
      <w:tr>
        <w:tc>
          <w:tcPr>
            <w:tcW w:w="1468" w:type="dxa"/>
          </w:tcPr>
          <w:p>
            <w:pPr/>
            <w:r>
              <w:t xml:space="preserve">Word</w:t>
            </w:r>
          </w:p>
        </w:tc>
        <w:tc>
          <w:tcPr>
            <w:tcW w:w="4920" w:type="dxa"/>
          </w:tcPr>
          <w:p>
            <w:pPr/>
            <w:r>
              <w:t xml:space="preserve">Selection is a paragraph, table cell or range; insert text at the cursor</w:t>
            </w:r>
          </w:p>
        </w:tc>
        <w:tc>
          <w:tcPr>
            <w:tcW w:w="2972" w:type="dxa"/>
          </w:tcPr>
          <w:p>
            <w:pPr/>
            <w:r>
              <w:t xml:space="preserve">paragraph path or content-control ID, offset</w:t>
            </w:r>
          </w:p>
        </w:tc>
      </w:tr>
      <w:tr>
        <w:tc>
          <w:tcPr>
            <w:tcW w:w="1468" w:type="dxa"/>
          </w:tcPr>
          <w:p>
            <w:pPr/>
            <w:r>
              <w:t xml:space="preserve">PowerPoint</w:t>
            </w:r>
          </w:p>
        </w:tc>
        <w:tc>
          <w:tcPr>
            <w:tcW w:w="4920" w:type="dxa"/>
          </w:tcPr>
          <w:p>
            <w:pPr/>
            <w:r>
              <w:t xml:space="preserve">Selection is a slide and shape; fill the shape</w:t>
            </w:r>
          </w:p>
        </w:tc>
        <w:tc>
          <w:tcPr>
            <w:tcW w:w="2972" w:type="dxa"/>
          </w:tcPr>
          <w:p>
            <w:pPr/>
            <w:r>
              <w:t xml:space="preserve">slide, shape ID</w:t>
            </w:r>
          </w:p>
        </w:tc>
      </w:tr>
      <w:tr>
        <w:tc>
          <w:tcPr>
            <w:tcW w:w="1468" w:type="dxa"/>
          </w:tcPr>
          <w:p>
            <w:pPr/>
            <w:r>
              <w:t xml:space="preserve">PDF</w:t>
            </w:r>
          </w:p>
        </w:tc>
        <w:tc>
          <w:tcPr>
            <w:tcW w:w="4920" w:type="dxa"/>
          </w:tcPr>
          <w:p>
            <w:pPr/>
            <w:r>
              <w:t xml:space="preserve">Overlay text at a coordinate, or export a response document</w:t>
            </w:r>
          </w:p>
        </w:tc>
        <w:tc>
          <w:tcPr>
            <w:tcW w:w="2972" w:type="dxa"/>
          </w:tcPr>
          <w:p>
            <w:pPr/>
            <w:r>
              <w:t xml:space="preserve">page, x, y, width</w:t>
            </w:r>
          </w:p>
        </w:tc>
      </w:tr>
    </w:tbl>
    <w:p>
      <w:pPr/>
      <w:r>
        <w:t xml:space="preserve">The flow engine, job pipeline, review states and storage are identical for all types; only the adapter and the anchor shape differ.</w:t>
      </w:r>
    </w:p>
    <w:p>
      <w:pPr>
        <w:pStyle w:val="Heading2"/>
      </w:pPr>
      <w:r>
        <w:t xml:space="preserve">11. Non-functional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4"/>
        <w:gridCol w:w="6825"/>
      </w:tblGrid>
      <w:tr>
        <w:trPr>
          <w:tblHeader/>
        </w:trPr>
        <w:tc>
          <w:tcPr>
            <w:tcW w:w="2534" w:type="dxa"/>
            <w:shd w:val="clear" w:color="auto" w:fill="F2F2F2"/>
          </w:tcPr>
          <w:p>
            <w:pPr/>
            <w:r>
              <w:t xml:space="preserve">Concern</w:t>
            </w:r>
          </w:p>
        </w:tc>
        <w:tc>
          <w:tcPr>
            <w:tcW w:w="6825" w:type="dxa"/>
            <w:shd w:val="clear" w:color="auto" w:fill="F2F2F2"/>
          </w:tcPr>
          <w:p>
            <w:pPr/>
            <w:r>
              <w:t xml:space="preserve">Approach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Performance</w:t>
            </w:r>
          </w:p>
        </w:tc>
        <w:tc>
          <w:tcPr>
            <w:tcW w:w="6825" w:type="dxa"/>
          </w:tcPr>
          <w:p>
            <w:pPr/>
            <w:r>
              <w:t xml:space="preserve">CDN for the app; signed direct file loading; SSE streaming; connection reuse to the editor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Availability</w:t>
            </w:r>
          </w:p>
        </w:tc>
        <w:tc>
          <w:tcPr>
            <w:tcW w:w="6825" w:type="dxa"/>
          </w:tcPr>
          <w:p>
            <w:pPr/>
            <w:r>
              <w:t xml:space="preserve">Stateless API and workers; managed data services with backups; retries with idempotent jobs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Scalability</w:t>
            </w:r>
          </w:p>
        </w:tc>
        <w:tc>
          <w:tcPr>
            <w:tcW w:w="6825" w:type="dxa"/>
          </w:tcPr>
          <w:p>
            <w:pPr/>
            <w:r>
              <w:t xml:space="preserve">Queue-based workers; per-workspace rate limits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Maintainability</w:t>
            </w:r>
          </w:p>
        </w:tc>
        <w:tc>
          <w:tcPr>
            <w:tcW w:w="6825" w:type="dxa"/>
          </w:tcPr>
          <w:p>
            <w:pPr/>
            <w:r>
              <w:t xml:space="preserve">Adapter and RAG interfaces; typed API contracts; automated tests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Observability</w:t>
            </w:r>
          </w:p>
        </w:tc>
        <w:tc>
          <w:tcPr>
            <w:tcW w:w="6825" w:type="dxa"/>
          </w:tcPr>
          <w:p>
            <w:pPr/>
            <w:r>
              <w:t xml:space="preserve">Trace ID per Add Answer flow from click to fill; metrics for time to first token and fill failures</w:t>
            </w:r>
          </w:p>
        </w:tc>
      </w:tr>
      <w:tr>
        <w:tc>
          <w:tcPr>
            <w:tcW w:w="2534" w:type="dxa"/>
          </w:tcPr>
          <w:p>
            <w:pPr/>
            <w:r>
              <w:t xml:space="preserve">Cost control</w:t>
            </w:r>
          </w:p>
        </w:tc>
        <w:tc>
          <w:tcPr>
            <w:tcW w:w="6825" w:type="dxa"/>
          </w:tcPr>
          <w:p>
            <w:pPr/>
            <w:r>
              <w:t xml:space="preserve">Cache retrieval results; limit context size; per-workspace usage meters</w:t>
            </w:r>
          </w:p>
        </w:tc>
      </w:tr>
    </w:tbl>
    <w:p>
      <w:pPr>
        <w:pStyle w:val="Heading2"/>
      </w:pPr>
      <w:r>
        <w:t xml:space="preserve">12.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Editor API cannot expose selection or cell write as needed</w:t>
            </w:r>
          </w:p>
        </w:tc>
        <w:tc>
          <w:tcPr>
            <w:tcW w:w="4920" w:type="dxa"/>
          </w:tcPr>
          <w:p>
            <w:pPr/>
            <w:r>
              <w:t xml:space="preserve">Week 1 spike before further build; fallback to Univer for Excel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Editor licence or cost problems</w:t>
            </w:r>
          </w:p>
        </w:tc>
        <w:tc>
          <w:tcPr>
            <w:tcW w:w="4920" w:type="dxa"/>
          </w:tcPr>
          <w:p>
            <w:pPr/>
            <w:r>
              <w:t xml:space="preserve">Early licence review; Collabora as alternative behind the same adapter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Focus loss when clicking the external button</w:t>
            </w:r>
          </w:p>
        </w:tc>
        <w:tc>
          <w:tcPr>
            <w:tcW w:w="4920" w:type="dxa"/>
          </w:tcPr>
          <w:p>
            <w:pPr/>
            <w:r>
              <w:t xml:space="preserve">Capture selection on pointer-down; adapter keeps last-known selection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Save callback race with download</w:t>
            </w:r>
          </w:p>
        </w:tc>
        <w:tc>
          <w:tcPr>
            <w:tcW w:w="4920" w:type="dxa"/>
          </w:tcPr>
          <w:p>
            <w:pPr/>
            <w:r>
              <w:t xml:space="preserve">Force-save and wait for confirmation before exporting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LLM latency or outage</w:t>
            </w:r>
          </w:p>
        </w:tc>
        <w:tc>
          <w:tcPr>
            <w:tcW w:w="4920" w:type="dxa"/>
          </w:tcPr>
          <w:p>
            <w:pPr/>
            <w:r>
              <w:t xml:space="preserve">Timeouts, retries, queue backpressure, clear error states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Retrieval quality</w:t>
            </w:r>
          </w:p>
        </w:tc>
        <w:tc>
          <w:tcPr>
            <w:tcW w:w="4920" w:type="dxa"/>
          </w:tcPr>
          <w:p>
            <w:pPr/>
            <w:r>
              <w:t xml:space="preserve">Evaluation set of real RFP questions; tune chunking and reranking</w:t>
            </w:r>
          </w:p>
        </w:tc>
      </w:tr>
    </w:tbl>
    <w:p>
      <w:pPr>
        <w:pStyle w:val="Heading2"/>
      </w:pPr>
      <w:r>
        <w:t xml:space="preserve">13. Assumptions and open items</w:t>
      </w:r>
    </w:p>
    <w:p>
      <w:pPr>
        <w:pStyle w:val="ListParagraph"/>
        <w:numPr>
          <w:ilvl w:val="0"/>
          <w:numId w:val="7"/>
        </w:numPr>
      </w:pPr>
      <w:r>
        <w:t xml:space="preserve">ONLYOFFICE or Collabora can be self-hosted at acceptable cost and licence terms.</w:t>
      </w:r>
    </w:p>
    <w:p>
      <w:pPr>
        <w:pStyle w:val="ListParagraph"/>
        <w:numPr>
          <w:ilvl w:val="0"/>
          <w:numId w:val="7"/>
        </w:numPr>
      </w:pPr>
      <w:r>
        <w:t xml:space="preserve">A single embedding model and a single LLM provider are used in MVP.</w:t>
      </w:r>
    </w:p>
    <w:p>
      <w:pPr>
        <w:pStyle w:val="ListParagraph"/>
        <w:numPr>
          <w:ilvl w:val="0"/>
          <w:numId w:val="7"/>
        </w:numPr>
      </w:pPr>
      <w:r>
        <w:t xml:space="preserve">Open: choose cloud provider and region; decide on SSO scope for enterprise pilots.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High-Level Design (HLD)</dc:title>
  <dc:description>Claude Docs node/50f935cf-1783@1 docx-w7</dc:description>
  <cp:revision>1</cp:revision>
</cp:coreProperties>
</file>